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mbeddings/Microsoft_Excel_Sheet1.xlsx" ContentType="application/vnd.openxmlformats-officedocument.spreadsheetml.sheet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Васильченко Роман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P32081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Быковская Елена Александровна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Тимофеева Ирина Валерьевна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drawing>
          <wp:inline distT="0" distB="0" distL="0" distR="0">
            <wp:extent cx="1849120" cy="730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</w:p>
    <w:p>
      <w:pPr>
        <w:pStyle w:val="Normal"/>
        <w:shd w:val="clear" w:fill="FFFFFF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товары с экомарки</w:t>
      </w:r>
      <w:r>
        <w:rPr>
          <w:rFonts w:eastAsia="Times New Roman" w:cs="Times New Roman" w:ascii="Times New Roman" w:hAnsi="Times New Roman"/>
          <w:sz w:val="24"/>
          <w:szCs w:val="24"/>
        </w:rPr>
        <w:t>U+0440</w:t>
      </w:r>
      <w:r>
        <w:rPr>
          <w:rFonts w:eastAsia="Times New Roman" w:cs="Times New Roman" w:ascii="Times New Roman" w:hAnsi="Times New Roman"/>
          <w:sz w:val="24"/>
          <w:szCs w:val="24"/>
        </w:rPr>
        <w:t>овкой и товары гринвошинга, представленные в настоящий момент на рынке товаров и услуг;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Концепция «Ноль отходов»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Вяземский переулок 5/7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”</w:t>
      </w:r>
    </w:p>
    <w:tbl>
      <w:tblPr>
        <w:tblStyle w:val="Table1"/>
        <w:tblW w:w="9345" w:type="dxa"/>
        <w:jc w:val="left"/>
        <w:tblInd w:w="-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Преимущества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Экологические выгоды: сокращение объема захораниваемых отходов, уменьшение загрязнения окружающей среды, снижение негативного воздействия на здоровье жителей общежития.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Экономические выгоды: возможность получения дополнительного дохода за счет переработки отходов.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Социальные выгоды: повышение экологической грамотности и ответственности жителей общежития, формирование экологической культуры.</w:t>
            </w:r>
          </w:p>
        </w:tc>
      </w:tr>
      <w:tr>
        <w:trPr>
          <w:trHeight w:val="53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Недостатки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Недостаточное понимание необходимости раздельного сбора и его преимуществ среди жителей общежития.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Сложности в организации и обслуживании системы раздельного сбора в общежитии, необходимость организации работы персонала.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дополнительных затрат на инфраструктуру и персонал.</w:t>
            </w:r>
          </w:p>
        </w:tc>
      </w:tr>
      <w:tr>
        <w:trPr>
          <w:trHeight w:val="53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Риски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Отсутствие необходимой инфраструктуры для раздельного сбора в общежитии.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Отсутствие мотивации со стороны жителей общежития.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Опасность возникновения экологически опасных ситуаций в случае неправильной сортировки отходов.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2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вклад в раздельный сбор </w:t>
      </w:r>
      <w:r>
        <w:rPr>
          <w:rFonts w:eastAsia="Times New Roman" w:cs="Times New Roman" w:ascii="Times New Roman" w:hAnsi="Times New Roman"/>
          <w:sz w:val="24"/>
          <w:szCs w:val="24"/>
        </w:rPr>
        <w:t>(Желаемый, но не исполнимый на данный момент)</w:t>
      </w:r>
    </w:p>
    <w:tbl>
      <w:tblPr>
        <w:tblStyle w:val="Table2"/>
        <w:tblW w:w="935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Пункт приема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Бумага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Урна для бумаги в общежитии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Пластик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пластика на улице, ближайший пункт приема вторсырья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Стекло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стекла на улице, ближайший пункт приема вторсырья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Металл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металла на улице, ближайший пункт приема вторсырья</w:t>
              <w:b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Органические отходы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Урна для органики в общежитии, установка компостера на территории общежития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Сокращение отходов по принципу 5R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35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18"/>
        <w:gridCol w:w="3118"/>
        <w:gridCol w:w="3119"/>
      </w:tblGrid>
      <w:tr>
        <w:trPr>
          <w:trHeight w:val="440" w:hRule="atLeast"/>
        </w:trPr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>
        <w:trPr>
          <w:trHeight w:val="440" w:hRule="atLeast"/>
        </w:trPr>
        <w:tc>
          <w:tcPr>
            <w:tcW w:w="3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 использую одноразовые стаканчиви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Отказаться от покупки одноразовых пластиковых изделий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Reduce — сократи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Покупка продуктов в небольшой упаковке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Покупка продуктов с разлагаемой упаковкой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Использую рюкзак или полиэтиленовые пакеты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Использование тканевых сумок для покупок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Разделение мусора на пластик, бумага и др.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Раздельный сбор вторсырья и сдача на переработку</w:t>
            </w:r>
          </w:p>
        </w:tc>
      </w:tr>
      <w:tr>
        <w:trPr>
          <w:trHeight w:val="15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Еще ничего не делаю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Использование органических отходов для компостирования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Экомаркировка или гринвошинг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4 – Экомаркировка vs Гринвошинг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915" w:type="dxa"/>
        <w:jc w:val="left"/>
        <w:tblInd w:w="-4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290"/>
        <w:gridCol w:w="1800"/>
        <w:gridCol w:w="1439"/>
        <w:gridCol w:w="1471"/>
        <w:gridCol w:w="1830"/>
        <w:gridCol w:w="1559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Молоко Домик в деревне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пломб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Листок жизни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Стиральный порошок Аист с оленьим мясом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Стиральный порошок Аист с оленьим мясом - имеет подделку маркировки Листок жизни, что является нарушением законодательства, так как потребитель может быть обманут и купить товар, который не соответствует заявленным критериям экологичности.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Чай Greenfield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FSC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Бумажные полотенца Zewa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Бумажные полотенца Zewa с маркировкой FSC - имеют подделку маркировки FSC, что является нарушением законодательства, так как потребитель может быть обманут и купить товар, который не является экологически чистым и устойчивым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Сок Rich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Rainforest Alliance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Куриное филе 1 весовой категории в рекламной упаковке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Куриное филе 1 весовой категории в рекламной упаковке - не соответствует весу, указанному на упаковке, что может привести к недоверию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покупателя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Рыба Norven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 xml:space="preserve"> MSC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Йогурт Активиа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подделка маркировки "без ГМО"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Крем для рук Natura Siberica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ECOCERT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Шампунь Timotei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содержит силикон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Быстрая и медленная мода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Пример выполненного задания: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5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Style w:val="Table5"/>
        <w:tblW w:w="7675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48"/>
        <w:gridCol w:w="3826"/>
      </w:tblGrid>
      <w:tr>
        <w:trPr/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Часто ношу более 80% гардероба</w:t>
            </w:r>
          </w:p>
        </w:tc>
      </w:tr>
      <w:tr>
        <w:trPr/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Отдам ненужные вещи нуждающимся.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Поучаствовать во Фри-маркете и обменяться ненужными вещами с друзьями и соседями.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Продать вещи, которые я не ношу, на бутиках секонд-хенда или в интернете на сайтах с б/у вещами.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Оставить в гардеробе только те вещи, которые действительно мне нравятся и которые я часто ношу.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Подумать о том, какие вещи мне нужны для создания базового гардероба, и приобрести их.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Пересмотреть свой гардероб и определить, какие вещи мне действительно нужны, а какие уже не нужны.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Не покупать новые вещи без необходимости, а только если есть действительно веские причины.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Периодически пересматривать свой гардероб и избавляться от вещей, которые я уже не ношу.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Подумать о том, как создать капсульный гардероб, состоящий только из базовых вещей, которые я могу комбинировать между собой.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Рассмотреть возможность аренды вещей вместо покупки новых, если нужно что-то носить только один раз.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…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ходе выполнения трех заданий по экологии и устойчивому развитию я получил богатый опыт и знания в различных областях.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первом задании я изучил основные концепции экологии и устойчивого развития, а также принципы работы с информацией и управления ею в экологических вопросах. Я познакомился с терминами, такими как углеродный след, экомаркировка, гринвошинг и другими, а также научился анализировать экологические источники данных и выделять из них основную информацию.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Во втором задании я практически применил полученные знания и навыки, исследуя товары в магазинах с экомаркировками и гринвошингом. Я научился идентифицировать сертифицированные товары с экомаркировками и определять товары, которые были привлечены к гринвошингу. Было интересно изучать различные экомаркировки, такие как "Листок жизни", "Северный лебедь", "Евролист" и другие.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третьем задании я провел ревизию своего гардероба и проанализировал частоту использования каждой вещи. Я понял, что у меня много вещей, которые я никогда не ношу или ношу редко. Оптимизация гардероба поможет мне сократить потребление и использование ресурсов, таких как ткани, вода, энергия и другие, и повысить устойчивость моего образа жизни. Я также предложил несколько способов оптимизации гардероба, таких как донат вещей, покупка качественных товаров, основанных на потребностях и др.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целом, все три задания помогли мне более глубоко понять принципы экологического мышления и образа жизни, а также научили меня применять полученные знания на практике в повседневной жизни.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1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LibreOffice/7.5.2.1$Linux_X86_64 LibreOffice_project/50$Build-1</Application>
  <AppVersion>15.0000</AppVersion>
  <Pages>8</Pages>
  <Words>989</Words>
  <Characters>6427</Characters>
  <CharactersWithSpaces>7295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2022-09-29T05:09:00Z</dcterms:created>
  <dc:creator>User</dc:creator>
  <dc:description/>
  <dc:language>en-US</dc:language>
  <cp:lastModifiedBy/>
  <dcterms:modified xsi:type="dcterms:W3CDTF">2023-04-03T16:55:56Z</dcterms:modified>
  <cp:revision>1</cp:revision>
  <dc:subject/>
  <dc:title/>
</cp:coreProperties>
</file>