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1625" w:rsidRDefault="00F033AC">
      <w:pPr>
        <w:pStyle w:val="Title"/>
      </w:pPr>
      <w:r>
        <w:t>Summative Assessment 2: Time Series Analysis</w:t>
      </w:r>
    </w:p>
    <w:p w:rsidR="00101625" w:rsidRDefault="00F033AC">
      <w:pPr>
        <w:spacing w:after="160"/>
        <w:jc w:val="center"/>
      </w:pPr>
      <w:proofErr w:type="spellStart"/>
      <w:r>
        <w:rPr>
          <w:color w:val="64748B"/>
          <w:sz w:val="20"/>
          <w:szCs w:val="20"/>
        </w:rPr>
        <w:t>Lansangan</w:t>
      </w:r>
      <w:proofErr w:type="spellEnd"/>
      <w:r>
        <w:rPr>
          <w:color w:val="64748B"/>
          <w:sz w:val="20"/>
          <w:szCs w:val="20"/>
        </w:rPr>
        <w:t xml:space="preserve">, </w:t>
      </w:r>
      <w:proofErr w:type="spellStart"/>
      <w:r>
        <w:rPr>
          <w:color w:val="64748B"/>
          <w:sz w:val="20"/>
          <w:szCs w:val="20"/>
        </w:rPr>
        <w:t>Ramilo</w:t>
      </w:r>
      <w:proofErr w:type="spellEnd"/>
      <w:r>
        <w:rPr>
          <w:color w:val="64748B"/>
          <w:sz w:val="20"/>
          <w:szCs w:val="20"/>
        </w:rPr>
        <w:t>, Yang</w:t>
      </w:r>
    </w:p>
    <w:p w:rsidR="00101625" w:rsidRDefault="00F033AC" w:rsidP="00A55C09">
      <w:pPr>
        <w:pStyle w:val="Heading1"/>
        <w:jc w:val="both"/>
      </w:pPr>
      <w:r>
        <w:t>Dataset A: GARCH Volatility Modeling</w:t>
      </w:r>
    </w:p>
    <w:p w:rsidR="00101625" w:rsidRDefault="00F033AC" w:rsidP="00A55C09">
      <w:pPr>
        <w:spacing w:after="60"/>
        <w:jc w:val="both"/>
      </w:pPr>
      <w:r>
        <w:t xml:space="preserve">We used SPY ETF daily returns from 2015–2019 (n=1,258) to model volatility clustering. After checking the ACF/PACF of squared returns, we </w:t>
      </w:r>
      <w:r w:rsidR="00AA395D">
        <w:t>conducted grid search and the best model turned out to be</w:t>
      </w:r>
      <w:r>
        <w:t xml:space="preserve"> </w:t>
      </w:r>
      <w:proofErr w:type="gramStart"/>
      <w:r>
        <w:rPr>
          <w:b/>
          <w:bCs/>
        </w:rPr>
        <w:t>GARCH(</w:t>
      </w:r>
      <w:proofErr w:type="gramEnd"/>
      <w:r>
        <w:rPr>
          <w:b/>
          <w:bCs/>
        </w:rPr>
        <w:t>1,1) with Student-t errors</w:t>
      </w:r>
      <w:r>
        <w:t xml:space="preserve">. The model gave us </w:t>
      </w:r>
      <m:oMath>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=0.088</m:t>
        </m:r>
      </m:oMath>
      <w:r>
        <w:t xml:space="preserve"> </w:t>
      </w:r>
      <w:proofErr w:type="gramStart"/>
      <w:r>
        <w:t>and</w:t>
      </w:r>
      <w:r w:rsidR="00AA395D">
        <w:t xml:space="preserve"> </w:t>
      </w:r>
      <w:proofErr w:type="gramEnd"/>
      <m:oMath>
        <m:sSub>
          <m:sSubPr>
            <m:ctrlPr>
              <w:rPr>
                <w:rFonts w:ascii="Cambria Math" w:hAnsi="Cambria Math"/>
                <w:i/>
              </w:rPr>
            </m:ctrlPr>
          </m:sSubPr>
          <m:e>
            <m:r>
              <w:rPr>
                <w:rFonts w:ascii="Cambria Math" w:hAnsi="Cambria Math"/>
              </w:rPr>
              <m:t xml:space="preserve"> β</m:t>
            </m:r>
          </m:e>
          <m:sub>
            <m:r>
              <w:rPr>
                <w:rFonts w:ascii="Cambria Math" w:hAnsi="Cambria Math"/>
              </w:rPr>
              <m:t>1</m:t>
            </m:r>
          </m:sub>
        </m:sSub>
        <m:r>
          <w:rPr>
            <w:rFonts w:ascii="Cambria Math" w:hAnsi="Cambria Math"/>
          </w:rPr>
          <m:t>=0.899</m:t>
        </m:r>
      </m:oMath>
      <w:r w:rsidR="00AA395D">
        <w:t xml:space="preserve">, </w:t>
      </w:r>
      <w:r>
        <w:t>which means volatility is highly persistent (sums to ~0.99). Ljung-Box tests on the standardized residuals showed no leftover ARCH effects, so we're confident the model captured</w:t>
      </w:r>
      <w:r>
        <w:t xml:space="preserve"> the volatility dynamics properly.</w:t>
      </w:r>
    </w:p>
    <w:p w:rsidR="00101625" w:rsidRDefault="00F033AC" w:rsidP="00A55C09">
      <w:pPr>
        <w:spacing w:after="80"/>
        <w:jc w:val="both"/>
      </w:pPr>
      <w:r>
        <w:rPr>
          <w:b/>
          <w:bCs/>
          <w:color w:val="166534"/>
        </w:rPr>
        <w:t xml:space="preserve">Recommendation: </w:t>
      </w:r>
      <w:r>
        <w:t>For traders or risk managers, this model can help set dynamic stop-losses or position sizes based on predicted volatility. When the model forecasts higher volatility, it might be wise to reduce exposure or</w:t>
      </w:r>
      <w:r>
        <w:t xml:space="preserve"> widen hedging bands. It's a simple but effective way to adapt to changing market conditions.</w:t>
      </w:r>
    </w:p>
    <w:p w:rsidR="00101625" w:rsidRDefault="00F033AC" w:rsidP="00A55C09">
      <w:pPr>
        <w:pStyle w:val="Heading1"/>
        <w:jc w:val="both"/>
      </w:pPr>
      <w:r>
        <w:t>Dataset B: ARIMAX Transfer Function Model</w:t>
      </w:r>
      <w:bookmarkStart w:id="0" w:name="_GoBack"/>
      <w:bookmarkEnd w:id="0"/>
    </w:p>
    <w:p w:rsidR="00101625" w:rsidRDefault="00F033AC" w:rsidP="00A55C09">
      <w:pPr>
        <w:spacing w:after="60"/>
        <w:jc w:val="both"/>
      </w:pPr>
      <w:r>
        <w:t xml:space="preserve">For this one, we had 36 months of sales and advertising data. We wanted to see how ads affect sales over time. We </w:t>
      </w:r>
      <w:proofErr w:type="spellStart"/>
      <w:r>
        <w:t>prewhi</w:t>
      </w:r>
      <w:r>
        <w:t>tened</w:t>
      </w:r>
      <w:proofErr w:type="spellEnd"/>
      <w:r>
        <w:t xml:space="preserve"> both series using an </w:t>
      </w:r>
      <w:proofErr w:type="gramStart"/>
      <w:r>
        <w:t>AR(</w:t>
      </w:r>
      <w:proofErr w:type="gramEnd"/>
      <w:r>
        <w:t xml:space="preserve">1) filter, then looked at the CCF to find the lag structure. The best model turned out to be </w:t>
      </w:r>
      <w:proofErr w:type="gramStart"/>
      <w:r>
        <w:rPr>
          <w:b/>
          <w:bCs/>
        </w:rPr>
        <w:t>ARIMA(</w:t>
      </w:r>
      <w:proofErr w:type="gramEnd"/>
      <w:r>
        <w:rPr>
          <w:b/>
          <w:bCs/>
        </w:rPr>
        <w:t>0,1,1)(0,1,1)₁₂</w:t>
      </w:r>
      <w:r>
        <w:t xml:space="preserve"> with advertising as an exogenous variable. The ad coefficient was 1.69 (p = 0.042), meaning there's a statistic</w:t>
      </w:r>
      <w:r>
        <w:t>ally significant but fairly modest effect.</w:t>
      </w:r>
    </w:p>
    <w:p w:rsidR="00101625" w:rsidRDefault="00F033AC" w:rsidP="00A55C09">
      <w:pPr>
        <w:spacing w:after="80"/>
        <w:jc w:val="both"/>
      </w:pPr>
      <w:r>
        <w:rPr>
          <w:b/>
          <w:bCs/>
          <w:color w:val="166534"/>
        </w:rPr>
        <w:t xml:space="preserve">Recommendation: </w:t>
      </w:r>
      <w:r>
        <w:t>Since the advertising effect is real but not huge, businesses should think carefully about their ad spend. It might be bet</w:t>
      </w:r>
      <w:r w:rsidR="00AA395D">
        <w:t xml:space="preserve">ter to focus on seasonal timing since </w:t>
      </w:r>
      <w:r>
        <w:t>our model shows strong seasonality, so push</w:t>
      </w:r>
      <w:r>
        <w:t>ing ads during peak seasons could maximize ROI. Also, don't expect immediate results; the effect takes time to show up in sales.</w:t>
      </w:r>
    </w:p>
    <w:p w:rsidR="00101625" w:rsidRDefault="00F033AC" w:rsidP="00A55C09">
      <w:pPr>
        <w:pStyle w:val="Heading1"/>
        <w:jc w:val="both"/>
      </w:pPr>
      <w:r>
        <w:t>Dataset C: SARIMAX Intervention Analysis</w:t>
      </w:r>
    </w:p>
    <w:p w:rsidR="00101625" w:rsidRDefault="00F033AC" w:rsidP="00A55C09">
      <w:pPr>
        <w:spacing w:after="60"/>
        <w:jc w:val="both"/>
      </w:pPr>
      <w:r>
        <w:t>This dataset had daily Spanish electricity demand from 2015–2019 (n=1,462). We modeled</w:t>
      </w:r>
      <w:r>
        <w:t xml:space="preserve"> the impact of a policy intervention on January 1, 2017 using pulse and step dummy variables. After grid search, the best fit was </w:t>
      </w:r>
      <w:proofErr w:type="gramStart"/>
      <w:r>
        <w:rPr>
          <w:b/>
          <w:bCs/>
        </w:rPr>
        <w:t>SARIMAX(</w:t>
      </w:r>
      <w:proofErr w:type="gramEnd"/>
      <w:r>
        <w:rPr>
          <w:b/>
          <w:bCs/>
        </w:rPr>
        <w:t>0,1,1)(1,0,1)₇</w:t>
      </w:r>
      <w:r>
        <w:t xml:space="preserve">. The step coefficient came out to −0.212 (p &lt; 0.001), which translates to roughly a </w:t>
      </w:r>
      <w:r>
        <w:rPr>
          <w:b/>
          <w:bCs/>
          <w:color w:val="166534"/>
        </w:rPr>
        <w:t>19.1% permanent dro</w:t>
      </w:r>
      <w:r>
        <w:rPr>
          <w:b/>
          <w:bCs/>
          <w:color w:val="166534"/>
        </w:rPr>
        <w:t>p</w:t>
      </w:r>
      <w:r>
        <w:t xml:space="preserve"> in demand after the intervention. The pulse effect wasn't significant (p = 0.389), so there was no immediate spike</w:t>
      </w:r>
      <w:r w:rsidR="00AA395D">
        <w:t xml:space="preserve">, </w:t>
      </w:r>
      <w:r>
        <w:t>just a sustained decrease.</w:t>
      </w:r>
    </w:p>
    <w:p w:rsidR="00101625" w:rsidRDefault="00F033AC" w:rsidP="00A55C09">
      <w:pPr>
        <w:spacing w:after="100"/>
        <w:jc w:val="both"/>
      </w:pPr>
      <w:r>
        <w:rPr>
          <w:b/>
          <w:bCs/>
          <w:color w:val="166534"/>
        </w:rPr>
        <w:t xml:space="preserve">Recommendation: </w:t>
      </w:r>
      <w:r>
        <w:t>This is pretty strong evidence that the policy worked. For policymakers, it suggests that regula</w:t>
      </w:r>
      <w:r>
        <w:t>tory interventions can have lasting effects on energy consumption. Future energy planning should account for these structural shifts. For similar interventions elsewhere, using counterfactual analysis like we did here can help quantify actual impact vs. wh</w:t>
      </w:r>
      <w:r>
        <w:t>at would have happened without the policy.</w:t>
      </w:r>
    </w:p>
    <w:p w:rsidR="00101625" w:rsidRDefault="00F033AC">
      <w:pPr>
        <w:pStyle w:val="Heading1"/>
      </w:pPr>
      <w:r>
        <w:t>Summary Table</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01625" w:rsidRPr="00F86C0B" w:rsidTr="00F86C0B">
        <w:tblPrEx>
          <w:tblCellMar>
            <w:top w:w="0" w:type="dxa"/>
            <w:bottom w:w="0" w:type="dxa"/>
          </w:tblCellMar>
        </w:tblPrEx>
        <w:trPr>
          <w:tblHeader/>
          <w:jc w:val="center"/>
        </w:trPr>
        <w:tc>
          <w:tcPr>
            <w:tcW w:w="3120" w:type="dxa"/>
            <w:tcBorders>
              <w:top w:val="single" w:sz="1" w:space="0" w:color="CCCCCC"/>
              <w:left w:val="single" w:sz="1" w:space="0" w:color="CCCCCC"/>
              <w:bottom w:val="single" w:sz="1" w:space="0" w:color="CCCCCC"/>
              <w:right w:val="single" w:sz="1" w:space="0" w:color="CCCCCC"/>
            </w:tcBorders>
            <w:shd w:val="clear" w:color="auto" w:fill="1E3A5F"/>
          </w:tcPr>
          <w:p w:rsidR="00101625" w:rsidRPr="00F86C0B" w:rsidRDefault="00F033AC">
            <w:pPr>
              <w:jc w:val="center"/>
              <w:rPr>
                <w:sz w:val="24"/>
              </w:rPr>
            </w:pPr>
            <w:r w:rsidRPr="00F86C0B">
              <w:rPr>
                <w:b/>
                <w:bCs/>
                <w:color w:val="FFFFFF"/>
                <w:sz w:val="24"/>
                <w:szCs w:val="18"/>
              </w:rPr>
              <w:t>Dataset A (GARCH)</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Pr>
          <w:p w:rsidR="00101625" w:rsidRPr="00F86C0B" w:rsidRDefault="00F033AC">
            <w:pPr>
              <w:jc w:val="center"/>
              <w:rPr>
                <w:sz w:val="24"/>
              </w:rPr>
            </w:pPr>
            <w:r w:rsidRPr="00F86C0B">
              <w:rPr>
                <w:b/>
                <w:bCs/>
                <w:color w:val="FFFFFF"/>
                <w:sz w:val="24"/>
                <w:szCs w:val="18"/>
              </w:rPr>
              <w:t>Dataset B (ARIMAX)</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Pr>
          <w:p w:rsidR="00101625" w:rsidRPr="00F86C0B" w:rsidRDefault="00F033AC">
            <w:pPr>
              <w:jc w:val="center"/>
              <w:rPr>
                <w:sz w:val="24"/>
              </w:rPr>
            </w:pPr>
            <w:r w:rsidRPr="00F86C0B">
              <w:rPr>
                <w:b/>
                <w:bCs/>
                <w:color w:val="FFFFFF"/>
                <w:sz w:val="24"/>
                <w:szCs w:val="18"/>
              </w:rPr>
              <w:t>Dataset C (SARIMAX)</w:t>
            </w:r>
          </w:p>
        </w:tc>
      </w:tr>
      <w:tr w:rsidR="00101625" w:rsidRPr="00F86C0B" w:rsidTr="00F86C0B">
        <w:tblPrEx>
          <w:tblCellMar>
            <w:top w:w="0" w:type="dxa"/>
            <w:bottom w:w="0" w:type="dxa"/>
          </w:tblCellMar>
        </w:tblPrEx>
        <w:trPr>
          <w:jc w:val="center"/>
        </w:trPr>
        <w:tc>
          <w:tcPr>
            <w:tcW w:w="3120" w:type="dxa"/>
            <w:tcBorders>
              <w:top w:val="single" w:sz="1" w:space="0" w:color="CCCCCC"/>
              <w:left w:val="single" w:sz="1" w:space="0" w:color="CCCCCC"/>
              <w:bottom w:val="single" w:sz="1" w:space="0" w:color="CCCCCC"/>
              <w:right w:val="single" w:sz="1" w:space="0" w:color="CCCCCC"/>
            </w:tcBorders>
          </w:tcPr>
          <w:p w:rsidR="00101625" w:rsidRPr="00F86C0B" w:rsidRDefault="00F033AC">
            <w:pPr>
              <w:rPr>
                <w:sz w:val="24"/>
              </w:rPr>
            </w:pPr>
            <w:r w:rsidRPr="00F86C0B">
              <w:rPr>
                <w:sz w:val="24"/>
                <w:szCs w:val="18"/>
              </w:rPr>
              <w:t>GARCH(1,1) + t-</w:t>
            </w:r>
            <w:proofErr w:type="spellStart"/>
            <w:r w:rsidRPr="00F86C0B">
              <w:rPr>
                <w:sz w:val="24"/>
                <w:szCs w:val="18"/>
              </w:rPr>
              <w:t>dist</w:t>
            </w:r>
            <w:proofErr w:type="spellEnd"/>
          </w:p>
        </w:tc>
        <w:tc>
          <w:tcPr>
            <w:tcW w:w="3120" w:type="dxa"/>
            <w:tcBorders>
              <w:top w:val="single" w:sz="1" w:space="0" w:color="CCCCCC"/>
              <w:left w:val="single" w:sz="1" w:space="0" w:color="CCCCCC"/>
              <w:bottom w:val="single" w:sz="1" w:space="0" w:color="CCCCCC"/>
              <w:right w:val="single" w:sz="1" w:space="0" w:color="CCCCCC"/>
            </w:tcBorders>
          </w:tcPr>
          <w:p w:rsidR="00101625" w:rsidRPr="00F86C0B" w:rsidRDefault="00F033AC">
            <w:pPr>
              <w:rPr>
                <w:sz w:val="24"/>
              </w:rPr>
            </w:pPr>
            <w:r w:rsidRPr="00F86C0B">
              <w:rPr>
                <w:sz w:val="24"/>
                <w:szCs w:val="18"/>
              </w:rPr>
              <w:t>ARIMA(0,1,1)(0,1,1)₁₂</w:t>
            </w:r>
          </w:p>
        </w:tc>
        <w:tc>
          <w:tcPr>
            <w:tcW w:w="3120" w:type="dxa"/>
            <w:tcBorders>
              <w:top w:val="single" w:sz="1" w:space="0" w:color="CCCCCC"/>
              <w:left w:val="single" w:sz="1" w:space="0" w:color="CCCCCC"/>
              <w:bottom w:val="single" w:sz="1" w:space="0" w:color="CCCCCC"/>
              <w:right w:val="single" w:sz="1" w:space="0" w:color="CCCCCC"/>
            </w:tcBorders>
          </w:tcPr>
          <w:p w:rsidR="00101625" w:rsidRPr="00F86C0B" w:rsidRDefault="00F033AC">
            <w:pPr>
              <w:rPr>
                <w:sz w:val="24"/>
              </w:rPr>
            </w:pPr>
            <w:r w:rsidRPr="00F86C0B">
              <w:rPr>
                <w:sz w:val="24"/>
                <w:szCs w:val="18"/>
              </w:rPr>
              <w:t>SARIMAX(0,1,1)(1,0,1)₇</w:t>
            </w:r>
          </w:p>
        </w:tc>
      </w:tr>
      <w:tr w:rsidR="00101625" w:rsidRPr="00F86C0B" w:rsidTr="00F86C0B">
        <w:tblPrEx>
          <w:tblCellMar>
            <w:top w:w="0" w:type="dxa"/>
            <w:bottom w:w="0" w:type="dxa"/>
          </w:tblCellMar>
        </w:tblPrEx>
        <w:trPr>
          <w:jc w:val="center"/>
        </w:trPr>
        <w:tc>
          <w:tcPr>
            <w:tcW w:w="3120" w:type="dxa"/>
            <w:tcBorders>
              <w:top w:val="single" w:sz="1" w:space="0" w:color="CCCCCC"/>
              <w:left w:val="single" w:sz="1" w:space="0" w:color="CCCCCC"/>
              <w:bottom w:val="single" w:sz="1" w:space="0" w:color="CCCCCC"/>
              <w:right w:val="single" w:sz="1" w:space="0" w:color="CCCCCC"/>
            </w:tcBorders>
          </w:tcPr>
          <w:p w:rsidR="00101625" w:rsidRPr="00F86C0B" w:rsidRDefault="00F033AC">
            <w:pPr>
              <w:rPr>
                <w:sz w:val="24"/>
              </w:rPr>
            </w:pPr>
            <w:r w:rsidRPr="00F86C0B">
              <w:rPr>
                <w:sz w:val="24"/>
                <w:szCs w:val="18"/>
              </w:rPr>
              <w:t>Persistence ≈ 0.99</w:t>
            </w:r>
          </w:p>
        </w:tc>
        <w:tc>
          <w:tcPr>
            <w:tcW w:w="3120" w:type="dxa"/>
            <w:tcBorders>
              <w:top w:val="single" w:sz="1" w:space="0" w:color="CCCCCC"/>
              <w:left w:val="single" w:sz="1" w:space="0" w:color="CCCCCC"/>
              <w:bottom w:val="single" w:sz="1" w:space="0" w:color="CCCCCC"/>
              <w:right w:val="single" w:sz="1" w:space="0" w:color="CCCCCC"/>
            </w:tcBorders>
          </w:tcPr>
          <w:p w:rsidR="00101625" w:rsidRPr="00F86C0B" w:rsidRDefault="00F033AC">
            <w:pPr>
              <w:rPr>
                <w:sz w:val="24"/>
              </w:rPr>
            </w:pPr>
            <w:proofErr w:type="spellStart"/>
            <w:r w:rsidRPr="00F86C0B">
              <w:rPr>
                <w:sz w:val="24"/>
                <w:szCs w:val="18"/>
              </w:rPr>
              <w:t>Ad</w:t>
            </w:r>
            <w:proofErr w:type="spellEnd"/>
            <w:r w:rsidRPr="00F86C0B">
              <w:rPr>
                <w:sz w:val="24"/>
                <w:szCs w:val="18"/>
              </w:rPr>
              <w:t xml:space="preserve"> </w:t>
            </w:r>
            <w:proofErr w:type="spellStart"/>
            <w:r w:rsidRPr="00F86C0B">
              <w:rPr>
                <w:sz w:val="24"/>
                <w:szCs w:val="18"/>
              </w:rPr>
              <w:t>coef</w:t>
            </w:r>
            <w:proofErr w:type="spellEnd"/>
            <w:r w:rsidRPr="00F86C0B">
              <w:rPr>
                <w:sz w:val="24"/>
                <w:szCs w:val="18"/>
              </w:rPr>
              <w:t>: +1.69</w:t>
            </w:r>
          </w:p>
        </w:tc>
        <w:tc>
          <w:tcPr>
            <w:tcW w:w="3120" w:type="dxa"/>
            <w:tcBorders>
              <w:top w:val="single" w:sz="1" w:space="0" w:color="CCCCCC"/>
              <w:left w:val="single" w:sz="1" w:space="0" w:color="CCCCCC"/>
              <w:bottom w:val="single" w:sz="1" w:space="0" w:color="CCCCCC"/>
              <w:right w:val="single" w:sz="1" w:space="0" w:color="CCCCCC"/>
            </w:tcBorders>
          </w:tcPr>
          <w:p w:rsidR="00101625" w:rsidRPr="00F86C0B" w:rsidRDefault="00F033AC">
            <w:pPr>
              <w:rPr>
                <w:sz w:val="24"/>
              </w:rPr>
            </w:pPr>
            <w:r w:rsidRPr="00F86C0B">
              <w:rPr>
                <w:b/>
                <w:bCs/>
                <w:color w:val="166534"/>
                <w:sz w:val="24"/>
                <w:szCs w:val="18"/>
              </w:rPr>
              <w:t>Step: −19.1%</w:t>
            </w:r>
          </w:p>
        </w:tc>
      </w:tr>
      <w:tr w:rsidR="00101625" w:rsidRPr="00F86C0B" w:rsidTr="00F86C0B">
        <w:tblPrEx>
          <w:tblCellMar>
            <w:top w:w="0" w:type="dxa"/>
            <w:bottom w:w="0" w:type="dxa"/>
          </w:tblCellMar>
        </w:tblPrEx>
        <w:trPr>
          <w:jc w:val="center"/>
        </w:trPr>
        <w:tc>
          <w:tcPr>
            <w:tcW w:w="3120" w:type="dxa"/>
            <w:tcBorders>
              <w:top w:val="single" w:sz="1" w:space="0" w:color="CCCCCC"/>
              <w:left w:val="single" w:sz="1" w:space="0" w:color="CCCCCC"/>
              <w:bottom w:val="single" w:sz="1" w:space="0" w:color="CCCCCC"/>
              <w:right w:val="single" w:sz="1" w:space="0" w:color="CCCCCC"/>
            </w:tcBorders>
          </w:tcPr>
          <w:p w:rsidR="00101625" w:rsidRPr="00F86C0B" w:rsidRDefault="00F033AC">
            <w:pPr>
              <w:rPr>
                <w:sz w:val="24"/>
              </w:rPr>
            </w:pPr>
            <w:r w:rsidRPr="00F86C0B">
              <w:rPr>
                <w:i/>
                <w:iCs/>
                <w:sz w:val="24"/>
                <w:szCs w:val="18"/>
              </w:rPr>
              <w:t xml:space="preserve">Use for risk </w:t>
            </w:r>
            <w:proofErr w:type="spellStart"/>
            <w:r w:rsidRPr="00F86C0B">
              <w:rPr>
                <w:i/>
                <w:iCs/>
                <w:sz w:val="24"/>
                <w:szCs w:val="18"/>
              </w:rPr>
              <w:t>mgmt</w:t>
            </w:r>
            <w:proofErr w:type="spellEnd"/>
          </w:p>
        </w:tc>
        <w:tc>
          <w:tcPr>
            <w:tcW w:w="3120" w:type="dxa"/>
            <w:tcBorders>
              <w:top w:val="single" w:sz="1" w:space="0" w:color="CCCCCC"/>
              <w:left w:val="single" w:sz="1" w:space="0" w:color="CCCCCC"/>
              <w:bottom w:val="single" w:sz="1" w:space="0" w:color="CCCCCC"/>
              <w:right w:val="single" w:sz="1" w:space="0" w:color="CCCCCC"/>
            </w:tcBorders>
          </w:tcPr>
          <w:p w:rsidR="00101625" w:rsidRPr="00F86C0B" w:rsidRDefault="00F033AC">
            <w:pPr>
              <w:rPr>
                <w:sz w:val="24"/>
              </w:rPr>
            </w:pPr>
            <w:r w:rsidRPr="00F86C0B">
              <w:rPr>
                <w:i/>
                <w:iCs/>
                <w:sz w:val="24"/>
                <w:szCs w:val="18"/>
              </w:rPr>
              <w:t>Time ads seasonally</w:t>
            </w:r>
          </w:p>
        </w:tc>
        <w:tc>
          <w:tcPr>
            <w:tcW w:w="3120" w:type="dxa"/>
            <w:tcBorders>
              <w:top w:val="single" w:sz="1" w:space="0" w:color="CCCCCC"/>
              <w:left w:val="single" w:sz="1" w:space="0" w:color="CCCCCC"/>
              <w:bottom w:val="single" w:sz="1" w:space="0" w:color="CCCCCC"/>
              <w:right w:val="single" w:sz="1" w:space="0" w:color="CCCCCC"/>
            </w:tcBorders>
          </w:tcPr>
          <w:p w:rsidR="00101625" w:rsidRPr="00F86C0B" w:rsidRDefault="00F033AC">
            <w:pPr>
              <w:rPr>
                <w:sz w:val="24"/>
              </w:rPr>
            </w:pPr>
            <w:r w:rsidRPr="00F86C0B">
              <w:rPr>
                <w:i/>
                <w:iCs/>
                <w:sz w:val="24"/>
                <w:szCs w:val="18"/>
              </w:rPr>
              <w:t>Policy approach works</w:t>
            </w:r>
          </w:p>
        </w:tc>
      </w:tr>
    </w:tbl>
    <w:p w:rsidR="00F033AC" w:rsidRDefault="00F033AC"/>
    <w:sectPr w:rsidR="00F033AC">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0C328BF"/>
    <w:multiLevelType w:val="hybridMultilevel"/>
    <w:tmpl w:val="D44E4568"/>
    <w:lvl w:ilvl="0" w:tplc="F96C2F36">
      <w:start w:val="1"/>
      <w:numFmt w:val="bullet"/>
      <w:lvlText w:val="●"/>
      <w:lvlJc w:val="left"/>
      <w:pPr>
        <w:ind w:left="720" w:hanging="360"/>
      </w:pPr>
    </w:lvl>
    <w:lvl w:ilvl="1" w:tplc="7ED66204">
      <w:start w:val="1"/>
      <w:numFmt w:val="bullet"/>
      <w:lvlText w:val="○"/>
      <w:lvlJc w:val="left"/>
      <w:pPr>
        <w:ind w:left="1440" w:hanging="360"/>
      </w:pPr>
    </w:lvl>
    <w:lvl w:ilvl="2" w:tplc="907A1A46">
      <w:start w:val="1"/>
      <w:numFmt w:val="bullet"/>
      <w:lvlText w:val="■"/>
      <w:lvlJc w:val="left"/>
      <w:pPr>
        <w:ind w:left="2160" w:hanging="360"/>
      </w:pPr>
    </w:lvl>
    <w:lvl w:ilvl="3" w:tplc="388CA576">
      <w:start w:val="1"/>
      <w:numFmt w:val="bullet"/>
      <w:lvlText w:val="●"/>
      <w:lvlJc w:val="left"/>
      <w:pPr>
        <w:ind w:left="2880" w:hanging="360"/>
      </w:pPr>
    </w:lvl>
    <w:lvl w:ilvl="4" w:tplc="1AF2FF98">
      <w:start w:val="1"/>
      <w:numFmt w:val="bullet"/>
      <w:lvlText w:val="○"/>
      <w:lvlJc w:val="left"/>
      <w:pPr>
        <w:ind w:left="3600" w:hanging="360"/>
      </w:pPr>
    </w:lvl>
    <w:lvl w:ilvl="5" w:tplc="F572D11E">
      <w:start w:val="1"/>
      <w:numFmt w:val="bullet"/>
      <w:lvlText w:val="■"/>
      <w:lvlJc w:val="left"/>
      <w:pPr>
        <w:ind w:left="4320" w:hanging="360"/>
      </w:pPr>
    </w:lvl>
    <w:lvl w:ilvl="6" w:tplc="2348D4E4">
      <w:start w:val="1"/>
      <w:numFmt w:val="bullet"/>
      <w:lvlText w:val="●"/>
      <w:lvlJc w:val="left"/>
      <w:pPr>
        <w:ind w:left="5040" w:hanging="360"/>
      </w:pPr>
    </w:lvl>
    <w:lvl w:ilvl="7" w:tplc="E57A0754">
      <w:start w:val="1"/>
      <w:numFmt w:val="bullet"/>
      <w:lvlText w:val="●"/>
      <w:lvlJc w:val="left"/>
      <w:pPr>
        <w:ind w:left="5760" w:hanging="360"/>
      </w:pPr>
    </w:lvl>
    <w:lvl w:ilvl="8" w:tplc="731C79B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625"/>
    <w:rsid w:val="00101625"/>
    <w:rsid w:val="00A55C09"/>
    <w:rsid w:val="00AA395D"/>
    <w:rsid w:val="00F033AC"/>
    <w:rsid w:val="00F86C0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25CFA"/>
  <w15:docId w15:val="{F9214121-151C-4010-A573-E2E7336DD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PH" w:eastAsia="en-PH"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180" w:after="60"/>
      <w:outlineLvl w:val="0"/>
    </w:pPr>
    <w:rPr>
      <w:rFonts w:ascii="Georgia" w:eastAsia="Georgia" w:hAnsi="Georgia" w:cs="Georgia"/>
      <w:b/>
      <w:bCs/>
      <w:color w:val="1E3A5F"/>
      <w:sz w:val="24"/>
      <w:szCs w:val="24"/>
    </w:rPr>
  </w:style>
  <w:style w:type="paragraph" w:styleId="Heading2">
    <w:name w:val="heading 2"/>
    <w:qFormat/>
    <w:pPr>
      <w:spacing w:before="100" w:after="40"/>
      <w:outlineLvl w:val="1"/>
    </w:pPr>
    <w:rPr>
      <w:b/>
      <w:bCs/>
      <w:color w:val="2DD4BF"/>
      <w:sz w:val="20"/>
      <w:szCs w:val="20"/>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pPr>
      <w:spacing w:after="80"/>
      <w:jc w:val="center"/>
    </w:pPr>
    <w:rPr>
      <w:rFonts w:ascii="Georgia" w:eastAsia="Georgia" w:hAnsi="Georgia" w:cs="Georgia"/>
      <w:b/>
      <w:bCs/>
      <w:color w:val="1E3A5F"/>
      <w:sz w:val="36"/>
      <w:szCs w:val="3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PlaceholderText">
    <w:name w:val="Placeholder Text"/>
    <w:basedOn w:val="DefaultParagraphFont"/>
    <w:uiPriority w:val="99"/>
    <w:semiHidden/>
    <w:rsid w:val="00AA395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434</Words>
  <Characters>2475</Characters>
  <Application>Microsoft Office Word</Application>
  <DocSecurity>0</DocSecurity>
  <Lines>20</Lines>
  <Paragraphs>5</Paragraphs>
  <ScaleCrop>false</ScaleCrop>
  <Company/>
  <LinksUpToDate>false</LinksUpToDate>
  <CharactersWithSpaces>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richersoon</cp:lastModifiedBy>
  <cp:revision>4</cp:revision>
  <dcterms:created xsi:type="dcterms:W3CDTF">2025-12-13T07:21:00Z</dcterms:created>
  <dcterms:modified xsi:type="dcterms:W3CDTF">2025-12-13T07:26:00Z</dcterms:modified>
</cp:coreProperties>
</file>