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585" w:rsidRPr="005C0797" w:rsidRDefault="00D57585" w:rsidP="00D57585">
      <w:pPr>
        <w:pStyle w:val="a3"/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65003903"/>
      <w:r w:rsidRPr="005C0797">
        <w:rPr>
          <w:rFonts w:ascii="Times New Roman" w:hAnsi="Times New Roman" w:cs="Times New Roman"/>
          <w:b/>
          <w:sz w:val="28"/>
          <w:szCs w:val="28"/>
        </w:rPr>
        <w:t>Каталожное (или Техническое) описание модифицированного объекта</w:t>
      </w:r>
      <w:bookmarkEnd w:id="0"/>
    </w:p>
    <w:p w:rsidR="00D57585" w:rsidRPr="005C0797" w:rsidRDefault="00D57585" w:rsidP="00D57585">
      <w:pPr>
        <w:spacing w:after="0" w:line="360" w:lineRule="auto"/>
        <w:ind w:right="7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07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 </w:t>
      </w:r>
      <w:r w:rsidRPr="005C07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результату работы было составлено трёхзвенное проектное соглашение</w:t>
      </w:r>
      <w:r w:rsidRPr="005C0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именно:</w:t>
      </w:r>
    </w:p>
    <w:p w:rsidR="00D57585" w:rsidRPr="005C0797" w:rsidRDefault="00D57585" w:rsidP="00D57585">
      <w:pPr>
        <w:spacing w:after="0" w:line="360" w:lineRule="auto"/>
        <w:ind w:right="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5C079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языковое / платформенное (кроссплатформенное) соглашение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6A0B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в качестве языка программирования был выбран </w:t>
      </w:r>
      <w:r w:rsidRPr="006A0B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Python</w:t>
      </w:r>
      <w:r w:rsidRPr="006A0B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, среды разработки – </w:t>
      </w:r>
      <w:r w:rsidRPr="006A0B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Google</w:t>
      </w:r>
      <w:r w:rsidRPr="006A0B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</w:t>
      </w:r>
      <w:proofErr w:type="spellStart"/>
      <w:r w:rsidRPr="006A0B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Colab</w:t>
      </w:r>
      <w:proofErr w:type="spellEnd"/>
      <w:r w:rsidRPr="006A0B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. ИМ является кроссплатформенным, однако упор делается на ОС </w:t>
      </w:r>
      <w:r w:rsidRPr="006A0B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Windows</w:t>
      </w:r>
      <w:r w:rsidRPr="006A0B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, т.к. ПК заказчика основываются на данной ОС.</w:t>
      </w:r>
    </w:p>
    <w:p w:rsidR="00D57585" w:rsidRDefault="00D57585" w:rsidP="00D57585">
      <w:pPr>
        <w:spacing w:after="0" w:line="360" w:lineRule="auto"/>
        <w:ind w:right="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5C079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онтологическое соглашение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6A0B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интеллектуальная модель основана построении нейронных сетей. В качестве моделей выбраны: логистическая регрессия, случайный лес и градиентный </w:t>
      </w:r>
      <w:proofErr w:type="spellStart"/>
      <w:r w:rsidRPr="006A0B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бустинг</w:t>
      </w:r>
      <w:proofErr w:type="spellEnd"/>
      <w:r w:rsidRPr="006A0B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. Анализ передаваемых параметров основывается на построении матрицы корреляции. Специальное оборудование: библиотеки </w:t>
      </w:r>
      <w:proofErr w:type="spellStart"/>
      <w:r w:rsidRPr="006A0B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Python</w:t>
      </w:r>
      <w:proofErr w:type="spellEnd"/>
      <w:r w:rsidRPr="006A0B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(</w:t>
      </w:r>
      <w:proofErr w:type="spellStart"/>
      <w:r w:rsidRPr="006A0B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Pandas</w:t>
      </w:r>
      <w:proofErr w:type="spellEnd"/>
      <w:r w:rsidRPr="006A0B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, </w:t>
      </w:r>
      <w:proofErr w:type="spellStart"/>
      <w:r w:rsidRPr="006A0B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NumPy</w:t>
      </w:r>
      <w:proofErr w:type="spellEnd"/>
      <w:r w:rsidRPr="006A0B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, </w:t>
      </w:r>
      <w:proofErr w:type="spellStart"/>
      <w:r w:rsidRPr="006A0B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Matplotlib</w:t>
      </w:r>
      <w:proofErr w:type="spellEnd"/>
      <w:r w:rsidRPr="006A0B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, </w:t>
      </w:r>
      <w:proofErr w:type="spellStart"/>
      <w:r w:rsidRPr="006A0B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Scikit</w:t>
      </w:r>
      <w:proofErr w:type="spellEnd"/>
      <w:r w:rsidRPr="006A0B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</w:t>
      </w:r>
      <w:proofErr w:type="spellStart"/>
      <w:r w:rsidRPr="006A0B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Learn</w:t>
      </w:r>
      <w:proofErr w:type="spellEnd"/>
      <w:r w:rsidRPr="006A0B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, </w:t>
      </w:r>
      <w:proofErr w:type="spellStart"/>
      <w:r w:rsidRPr="006A0B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Seaborn</w:t>
      </w:r>
      <w:proofErr w:type="spellEnd"/>
      <w:r w:rsidRPr="006A0B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, </w:t>
      </w:r>
      <w:proofErr w:type="spellStart"/>
      <w:r w:rsidRPr="006A0B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TensorFlow</w:t>
      </w:r>
      <w:proofErr w:type="spellEnd"/>
      <w:r w:rsidRPr="006A0B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, </w:t>
      </w:r>
      <w:proofErr w:type="spellStart"/>
      <w:r w:rsidRPr="006A0B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Plotly</w:t>
      </w:r>
      <w:proofErr w:type="spellEnd"/>
      <w:r w:rsidRPr="006A0B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). Для хранения параметров будет спроектирована БД по данной </w:t>
      </w:r>
      <w:r w:rsidRPr="006A0B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ER</w:t>
      </w:r>
      <w:r w:rsidRPr="006A0B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-модели (Рисунок 2).</w:t>
      </w:r>
    </w:p>
    <w:p w:rsidR="00D57585" w:rsidRDefault="00D57585" w:rsidP="00D57585">
      <w:pPr>
        <w:spacing w:after="0" w:line="360" w:lineRule="auto"/>
        <w:ind w:right="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16B714D" wp14:editId="11E64AD4">
            <wp:extent cx="5940425" cy="38449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585" w:rsidRPr="005C0797" w:rsidRDefault="00D57585" w:rsidP="00D57585">
      <w:pPr>
        <w:spacing w:after="0" w:line="360" w:lineRule="auto"/>
        <w:ind w:right="7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0B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Рисунок 2 – </w:t>
      </w:r>
      <w:r w:rsidRPr="006A0B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ER</w:t>
      </w:r>
      <w:r w:rsidRPr="006A0B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-</w:t>
      </w:r>
      <w:r w:rsidR="006A0BED" w:rsidRPr="006A0B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мод</w:t>
      </w:r>
      <w:r w:rsidRPr="006A0B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ель</w:t>
      </w:r>
    </w:p>
    <w:p w:rsidR="00D57585" w:rsidRPr="00C45724" w:rsidRDefault="00D57585" w:rsidP="00D57585">
      <w:pPr>
        <w:spacing w:after="0" w:line="360" w:lineRule="auto"/>
        <w:ind w:right="7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- </w:t>
      </w:r>
      <w:r w:rsidRPr="005C079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упр</w:t>
      </w:r>
      <w:r w:rsidRPr="004264F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авленческое соглашение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6A0B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в качестве методологии разработки ПО была выбрана </w:t>
      </w:r>
      <w:proofErr w:type="spellStart"/>
      <w:r w:rsidRPr="006A0B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Agile</w:t>
      </w:r>
      <w:proofErr w:type="spellEnd"/>
      <w:r w:rsidRPr="006A0B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— метод гибкой разработки программного обеспечения, предполагающий большое количество итераций. Причина: так как ведется разработка интеллектуального модуля (а не полного ПО), то важно соблюдать методологию других членов команды, которые ведут разработку других программных модулей. Они работают по </w:t>
      </w:r>
      <w:r w:rsidRPr="006A0B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Agile</w:t>
      </w:r>
      <w:r w:rsidRPr="006A0B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. </w:t>
      </w:r>
      <w:bookmarkStart w:id="1" w:name="_GoBack"/>
      <w:bookmarkEnd w:id="1"/>
      <w:r w:rsidRPr="006A0B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Жизненный цикл был описан в пункте 15 практической работы №2.</w:t>
      </w:r>
    </w:p>
    <w:p w:rsidR="00F0232B" w:rsidRDefault="006A0BED"/>
    <w:sectPr w:rsidR="00F02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C8"/>
    <w:rsid w:val="006A0BED"/>
    <w:rsid w:val="00D05AC8"/>
    <w:rsid w:val="00D57585"/>
    <w:rsid w:val="00E229AA"/>
    <w:rsid w:val="00FB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36C48"/>
  <w15:chartTrackingRefBased/>
  <w15:docId w15:val="{1EB48B13-F92A-42CC-92B2-000D3A5F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5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cp:keywords/>
  <dc:description/>
  <cp:lastModifiedBy>Надежда Братусь</cp:lastModifiedBy>
  <cp:revision>2</cp:revision>
  <dcterms:created xsi:type="dcterms:W3CDTF">2023-09-23T10:46:00Z</dcterms:created>
  <dcterms:modified xsi:type="dcterms:W3CDTF">2023-09-23T10:46:00Z</dcterms:modified>
</cp:coreProperties>
</file>