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3688357D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2143DF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77777777" w:rsidR="00D20075" w:rsidRDefault="00D20075" w:rsidP="00D20075">
          <w:pPr>
            <w:pStyle w:val="ab"/>
          </w:pPr>
          <w:r>
            <w:t>СОДЕРЖАНИЕ</w:t>
          </w:r>
        </w:p>
        <w:p w14:paraId="08A79D07" w14:textId="26DFA009" w:rsidR="000912F3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0104499" w:history="1">
            <w:r w:rsidR="000912F3" w:rsidRPr="00FC02D4">
              <w:rPr>
                <w:rStyle w:val="a7"/>
                <w:noProof/>
              </w:rPr>
              <w:t>ВВЕДЕНИЕ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_Toc160104499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3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213FBD8F" w14:textId="69E9BD62" w:rsidR="000912F3" w:rsidRDefault="00091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104500" w:history="1">
            <w:r w:rsidRPr="00FC02D4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CA47" w14:textId="252F5937" w:rsidR="000912F3" w:rsidRDefault="0009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1" w:history="1">
            <w:r w:rsidRPr="00FC02D4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C987" w14:textId="347E31BE" w:rsidR="000912F3" w:rsidRDefault="0009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2" w:history="1">
            <w:r w:rsidRPr="00FC02D4">
              <w:rPr>
                <w:rStyle w:val="a7"/>
                <w:noProof/>
              </w:rPr>
              <w:t>1.2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21AD" w14:textId="2DA88F59" w:rsidR="000912F3" w:rsidRDefault="00091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104503" w:history="1">
            <w:r w:rsidRPr="00FC02D4">
              <w:rPr>
                <w:rStyle w:val="a7"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B754" w14:textId="4507B221" w:rsidR="000912F3" w:rsidRDefault="0009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4" w:history="1">
            <w:r w:rsidRPr="00FC02D4">
              <w:rPr>
                <w:rStyle w:val="a7"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BDF3" w14:textId="4AB109DF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05" w:history="1">
            <w:r w:rsidRPr="00FC02D4">
              <w:rPr>
                <w:rStyle w:val="a7"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E21B" w14:textId="516DB1BA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06" w:history="1">
            <w:r w:rsidRPr="00FC02D4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DC95" w14:textId="5C52CEC7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07" w:history="1">
            <w:r w:rsidRPr="00FC02D4">
              <w:rPr>
                <w:rStyle w:val="a7"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1181" w14:textId="34BCE658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08" w:history="1">
            <w:r w:rsidRPr="00FC02D4">
              <w:rPr>
                <w:rStyle w:val="a7"/>
                <w:noProof/>
              </w:rPr>
              <w:t>2.1.4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3F61" w14:textId="09DAC123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09" w:history="1">
            <w:r w:rsidRPr="00FC02D4">
              <w:rPr>
                <w:rStyle w:val="a7"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4AF3" w14:textId="412240F8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0" w:history="1">
            <w:r w:rsidRPr="00FC02D4">
              <w:rPr>
                <w:rStyle w:val="a7"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1688" w14:textId="3E29019A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1" w:history="1">
            <w:r w:rsidRPr="00FC02D4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3978" w14:textId="182FAC09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2" w:history="1">
            <w:r w:rsidRPr="00FC02D4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972B" w14:textId="0882A497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3" w:history="1">
            <w:r w:rsidRPr="00FC02D4">
              <w:rPr>
                <w:rStyle w:val="a7"/>
                <w:noProof/>
              </w:rPr>
              <w:t>2.1.9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4004" w14:textId="4E03A4C3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4" w:history="1">
            <w:r w:rsidRPr="00FC02D4">
              <w:rPr>
                <w:rStyle w:val="a7"/>
                <w:noProof/>
              </w:rPr>
              <w:t>2.1.10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8271" w14:textId="38D4D128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5" w:history="1">
            <w:r w:rsidRPr="00FC02D4">
              <w:rPr>
                <w:rStyle w:val="a7"/>
                <w:noProof/>
              </w:rPr>
              <w:t>2.1.11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EA3D" w14:textId="2B32A8B1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6" w:history="1">
            <w:r w:rsidRPr="00FC02D4">
              <w:rPr>
                <w:rStyle w:val="a7"/>
                <w:noProof/>
              </w:rPr>
              <w:t>2.1.12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010D" w14:textId="14675E41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17" w:history="1">
            <w:r w:rsidRPr="00FC02D4">
              <w:rPr>
                <w:rStyle w:val="a7"/>
                <w:noProof/>
              </w:rPr>
              <w:t>2.1.13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0FDC" w14:textId="2868F367" w:rsidR="000912F3" w:rsidRDefault="0009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18" w:history="1">
            <w:r w:rsidRPr="00FC02D4">
              <w:rPr>
                <w:rStyle w:val="a7"/>
                <w:noProof/>
              </w:rPr>
              <w:t>2.2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5758" w14:textId="66E161FC" w:rsidR="000912F3" w:rsidRDefault="000912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19" w:history="1">
            <w:r w:rsidRPr="00FC02D4">
              <w:rPr>
                <w:rStyle w:val="a7"/>
                <w:noProof/>
              </w:rPr>
              <w:t>2.3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9E83" w14:textId="35EFC336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0" w:history="1">
            <w:r w:rsidRPr="00FC02D4">
              <w:rPr>
                <w:rStyle w:val="a7"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F5BC" w14:textId="7ADD8185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1" w:history="1">
            <w:r w:rsidRPr="00FC02D4">
              <w:rPr>
                <w:rStyle w:val="a7"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0796" w14:textId="2205931B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2" w:history="1">
            <w:r w:rsidRPr="00FC02D4">
              <w:rPr>
                <w:rStyle w:val="a7"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DA9C" w14:textId="2FF805D9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3" w:history="1">
            <w:r w:rsidRPr="00FC02D4">
              <w:rPr>
                <w:rStyle w:val="a7"/>
                <w:noProof/>
              </w:rPr>
              <w:t>2.3.4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79B3" w14:textId="39D0DB0A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4" w:history="1">
            <w:r w:rsidRPr="00FC02D4">
              <w:rPr>
                <w:rStyle w:val="a7"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9880" w14:textId="1F935075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5" w:history="1">
            <w:r w:rsidRPr="00FC02D4">
              <w:rPr>
                <w:rStyle w:val="a7"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437D" w14:textId="2E8DB4CC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6" w:history="1">
            <w:r w:rsidRPr="00FC02D4">
              <w:rPr>
                <w:rStyle w:val="a7"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D5D8" w14:textId="5B2148D5" w:rsidR="000912F3" w:rsidRDefault="000912F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0104527" w:history="1">
            <w:r w:rsidRPr="00FC02D4">
              <w:rPr>
                <w:rStyle w:val="a7"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1EEEAB98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0104499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0104500"/>
      <w:r w:rsidRPr="00C92C95">
        <w:lastRenderedPageBreak/>
        <w:t>ОБЩИЕ СВЕДЕНИЯ</w:t>
      </w:r>
      <w:bookmarkEnd w:id="2"/>
    </w:p>
    <w:p w14:paraId="56C56F73" w14:textId="77777777" w:rsidR="00C92C95" w:rsidRPr="00C92C95" w:rsidRDefault="00C92C95" w:rsidP="00394C66">
      <w:pPr>
        <w:pStyle w:val="2"/>
      </w:pPr>
      <w:bookmarkStart w:id="3" w:name="_Toc160104501"/>
      <w:r w:rsidRPr="00C92C95">
        <w:t>Список терминов и определений</w:t>
      </w:r>
      <w:bookmarkEnd w:id="3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4" w:name="_Toc160104502"/>
      <w:r w:rsidRPr="00C92C95">
        <w:t>Описание бизнес-ролей</w:t>
      </w:r>
      <w:bookmarkEnd w:id="4"/>
    </w:p>
    <w:p w14:paraId="218838EF" w14:textId="35562411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5" w:name="_Toc160104503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5"/>
    </w:p>
    <w:p w14:paraId="4484FA5B" w14:textId="434A230B" w:rsidR="00C92C95" w:rsidRPr="001A1A76" w:rsidRDefault="00C92C95" w:rsidP="001A1A76">
      <w:pPr>
        <w:pStyle w:val="2"/>
      </w:pPr>
      <w:bookmarkStart w:id="6" w:name="_Toc160104504"/>
      <w:r w:rsidRPr="001A1A76">
        <w:rPr>
          <w:rStyle w:val="20"/>
          <w:b/>
          <w:bCs/>
        </w:rPr>
        <w:t>Требования к системе в целом</w:t>
      </w:r>
      <w:bookmarkEnd w:id="6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7" w:name="_Toc160104505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7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4F3E27D4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доступной ячейки 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366219FD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>предоставление онформации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8" w:name="_Toc160104506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8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9" w:name="_Toc160104507"/>
      <w:r w:rsidRPr="00C92C95">
        <w:t>Показатели назначения</w:t>
      </w:r>
      <w:bookmarkEnd w:id="9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0" w:name="_Toc160104508"/>
      <w:r w:rsidRPr="00C92C95">
        <w:t>Требования к надежности</w:t>
      </w:r>
      <w:bookmarkEnd w:id="10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1" w:name="_Toc160104509"/>
      <w:r w:rsidRPr="00C92C95">
        <w:t>Требования к безопасности</w:t>
      </w:r>
      <w:bookmarkEnd w:id="11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2" w:name="_Toc160104510"/>
      <w:r w:rsidRPr="00C92C95">
        <w:t>Требования к эргономике и технической эстетике</w:t>
      </w:r>
      <w:bookmarkEnd w:id="12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3" w:name="_Toc160104511"/>
      <w:r w:rsidRPr="00C92C95">
        <w:t>Требования к эксплуатации, техническому обслуживанию, ремонту и хранению компонентов системы</w:t>
      </w:r>
      <w:bookmarkEnd w:id="13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4" w:name="_Toc160104512"/>
      <w:r w:rsidRPr="00C92C95">
        <w:t>Требования к защите информации от несанкционированного доступа</w:t>
      </w:r>
      <w:bookmarkEnd w:id="14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5" w:name="_Toc160104513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5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6" w:name="_Toc160104514"/>
      <w:r w:rsidRPr="00C92C95">
        <w:t>Требования к защите от влияния внешних воздействий</w:t>
      </w:r>
      <w:bookmarkEnd w:id="16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7" w:name="_Toc160104515"/>
      <w:r w:rsidRPr="00C92C95">
        <w:t>Требования к патентной чистоте</w:t>
      </w:r>
      <w:bookmarkEnd w:id="17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8" w:name="_Toc160104516"/>
      <w:r w:rsidRPr="00C92C95">
        <w:t>Требования по стандартизации и унификации.</w:t>
      </w:r>
      <w:bookmarkEnd w:id="18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19" w:name="_Toc160104517"/>
      <w:r w:rsidRPr="00C92C95">
        <w:t>Дополнительные требования</w:t>
      </w:r>
      <w:bookmarkEnd w:id="19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0" w:name="_Toc160104518"/>
      <w:r w:rsidRPr="00C92C95">
        <w:t>Требования к функциям (задачам), выполняемым системой</w:t>
      </w:r>
      <w:bookmarkEnd w:id="20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0100A1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 xml:space="preserve">»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1" w:name="_Toc160104519"/>
      <w:r w:rsidRPr="00E723D3">
        <w:rPr>
          <w:rStyle w:val="20"/>
          <w:b/>
          <w:bCs/>
        </w:rPr>
        <w:t>Требования к видам обеспечения</w:t>
      </w:r>
      <w:bookmarkEnd w:id="21"/>
    </w:p>
    <w:p w14:paraId="210D388D" w14:textId="4993C347" w:rsidR="00C92C95" w:rsidRPr="00E723D3" w:rsidRDefault="00C92C95" w:rsidP="00E723D3">
      <w:pPr>
        <w:pStyle w:val="3"/>
      </w:pPr>
      <w:bookmarkStart w:id="22" w:name="_Toc160104520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2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3" w:name="_Toc160104521"/>
      <w:r w:rsidRPr="00C92C95">
        <w:t>Требования к информационному обеспечению системы</w:t>
      </w:r>
      <w:bookmarkEnd w:id="23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4" w:name="_Toc160104522"/>
      <w:r w:rsidRPr="00C92C95">
        <w:t>Требования к лингвистическому обеспечению системы</w:t>
      </w:r>
      <w:bookmarkEnd w:id="24"/>
      <w:r w:rsidRPr="00C92C95">
        <w:t xml:space="preserve"> </w:t>
      </w:r>
    </w:p>
    <w:p w14:paraId="008B7E2C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5" w:name="_Toc160104523"/>
      <w:r w:rsidRPr="00C92C95">
        <w:t>Требования к программному обеспечению системы</w:t>
      </w:r>
      <w:bookmarkEnd w:id="25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6" w:name="_Toc160104524"/>
      <w:r w:rsidRPr="00C92C95">
        <w:t>Требования к техническому обеспечению системы</w:t>
      </w:r>
      <w:bookmarkEnd w:id="26"/>
    </w:p>
    <w:p w14:paraId="6052AE52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20 Мбит/с; </w:t>
      </w:r>
      <w:r w:rsidRPr="00C92C95">
        <w:rPr>
          <w:szCs w:val="28"/>
        </w:rPr>
        <w:softHyphen/>
        <w:t xml:space="preserve"> процессор с тактовой частотой не менее 3 GHz и обладать не менее 4 ядер и 4 потоков. </w:t>
      </w:r>
    </w:p>
    <w:p w14:paraId="5EF66DC8" w14:textId="2F9CB364" w:rsidR="00C92C95" w:rsidRPr="00C92C95" w:rsidRDefault="00C92C95" w:rsidP="0024797C">
      <w:pPr>
        <w:pStyle w:val="3"/>
      </w:pPr>
      <w:bookmarkStart w:id="27" w:name="_Toc160104525"/>
      <w:r w:rsidRPr="00C92C95">
        <w:t>Требования к метрологическому обеспечению системы</w:t>
      </w:r>
      <w:bookmarkEnd w:id="27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8" w:name="_Toc160104526"/>
      <w:r w:rsidRPr="00C92C95">
        <w:t>Требования к организационному обеспечению системы</w:t>
      </w:r>
      <w:bookmarkEnd w:id="28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29" w:name="_Toc160104527"/>
      <w:r w:rsidRPr="00C92C95">
        <w:t>Требования к методическому обеспечению системы</w:t>
      </w:r>
      <w:bookmarkEnd w:id="29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0327FE17" w:rsidR="00D20075" w:rsidRPr="00C92C95" w:rsidRDefault="00D20075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ОСТ 34.602-2020 [3].</w:t>
      </w:r>
    </w:p>
    <w:sectPr w:rsidR="00D2007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5"/>
  </w:num>
  <w:num w:numId="2" w16cid:durableId="8184241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2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9"/>
  </w:num>
  <w:num w:numId="8" w16cid:durableId="867909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0"/>
  </w:num>
  <w:num w:numId="13" w16cid:durableId="707604974">
    <w:abstractNumId w:val="13"/>
  </w:num>
  <w:num w:numId="14" w16cid:durableId="1077633276">
    <w:abstractNumId w:val="9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17"/>
  </w:num>
  <w:num w:numId="18" w16cid:durableId="454717073">
    <w:abstractNumId w:val="23"/>
  </w:num>
  <w:num w:numId="19" w16cid:durableId="1056590487">
    <w:abstractNumId w:val="6"/>
  </w:num>
  <w:num w:numId="20" w16cid:durableId="2069765721">
    <w:abstractNumId w:val="19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6"/>
  </w:num>
  <w:num w:numId="25" w16cid:durableId="1872643410">
    <w:abstractNumId w:val="20"/>
  </w:num>
  <w:num w:numId="26" w16cid:durableId="1165702361">
    <w:abstractNumId w:val="5"/>
  </w:num>
  <w:num w:numId="27" w16cid:durableId="2135098577">
    <w:abstractNumId w:val="14"/>
  </w:num>
  <w:num w:numId="28" w16cid:durableId="257519910">
    <w:abstractNumId w:val="22"/>
  </w:num>
  <w:num w:numId="29" w16cid:durableId="581528790">
    <w:abstractNumId w:val="8"/>
  </w:num>
  <w:num w:numId="30" w16cid:durableId="1702827092">
    <w:abstractNumId w:val="25"/>
  </w:num>
  <w:num w:numId="31" w16cid:durableId="804739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912F3"/>
    <w:rsid w:val="00096148"/>
    <w:rsid w:val="000F0406"/>
    <w:rsid w:val="00113038"/>
    <w:rsid w:val="001373F6"/>
    <w:rsid w:val="001727BB"/>
    <w:rsid w:val="0019741D"/>
    <w:rsid w:val="001A1A76"/>
    <w:rsid w:val="001D0EF6"/>
    <w:rsid w:val="001E3063"/>
    <w:rsid w:val="002143DF"/>
    <w:rsid w:val="0024797C"/>
    <w:rsid w:val="002609CD"/>
    <w:rsid w:val="00282854"/>
    <w:rsid w:val="002D7E9E"/>
    <w:rsid w:val="00307000"/>
    <w:rsid w:val="00391189"/>
    <w:rsid w:val="00392E67"/>
    <w:rsid w:val="00394C66"/>
    <w:rsid w:val="003B621D"/>
    <w:rsid w:val="004015E0"/>
    <w:rsid w:val="0040422C"/>
    <w:rsid w:val="00420272"/>
    <w:rsid w:val="0043708D"/>
    <w:rsid w:val="00453151"/>
    <w:rsid w:val="00473188"/>
    <w:rsid w:val="004C64F2"/>
    <w:rsid w:val="00515D9B"/>
    <w:rsid w:val="00594B2D"/>
    <w:rsid w:val="005C7285"/>
    <w:rsid w:val="005D3DF5"/>
    <w:rsid w:val="005E5E58"/>
    <w:rsid w:val="005F20CF"/>
    <w:rsid w:val="006364DF"/>
    <w:rsid w:val="0066428B"/>
    <w:rsid w:val="00695BBB"/>
    <w:rsid w:val="00724E2C"/>
    <w:rsid w:val="007630BF"/>
    <w:rsid w:val="00766901"/>
    <w:rsid w:val="00863EE9"/>
    <w:rsid w:val="00876483"/>
    <w:rsid w:val="008A5341"/>
    <w:rsid w:val="008F410D"/>
    <w:rsid w:val="008F6A0C"/>
    <w:rsid w:val="00934EAB"/>
    <w:rsid w:val="0093677C"/>
    <w:rsid w:val="0094488E"/>
    <w:rsid w:val="00963F35"/>
    <w:rsid w:val="00964757"/>
    <w:rsid w:val="00991B5E"/>
    <w:rsid w:val="009C7F84"/>
    <w:rsid w:val="00A23E45"/>
    <w:rsid w:val="00A825D8"/>
    <w:rsid w:val="00AC59FD"/>
    <w:rsid w:val="00AD0A5A"/>
    <w:rsid w:val="00B80F28"/>
    <w:rsid w:val="00BD46A9"/>
    <w:rsid w:val="00BF324D"/>
    <w:rsid w:val="00C45922"/>
    <w:rsid w:val="00C72AFA"/>
    <w:rsid w:val="00C92C95"/>
    <w:rsid w:val="00CE03CE"/>
    <w:rsid w:val="00CE1748"/>
    <w:rsid w:val="00D20075"/>
    <w:rsid w:val="00D37125"/>
    <w:rsid w:val="00D37457"/>
    <w:rsid w:val="00D637A8"/>
    <w:rsid w:val="00D903B8"/>
    <w:rsid w:val="00DE7170"/>
    <w:rsid w:val="00E07B72"/>
    <w:rsid w:val="00E55A64"/>
    <w:rsid w:val="00E62080"/>
    <w:rsid w:val="00E723D3"/>
    <w:rsid w:val="00EA512E"/>
    <w:rsid w:val="00F0202B"/>
    <w:rsid w:val="00F8657A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2229</Words>
  <Characters>12708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68</cp:revision>
  <dcterms:created xsi:type="dcterms:W3CDTF">2024-02-22T15:28:00Z</dcterms:created>
  <dcterms:modified xsi:type="dcterms:W3CDTF">2024-02-29T10:08:00Z</dcterms:modified>
</cp:coreProperties>
</file>