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МИНОБРНАУКИ РОССИИ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</w:t>
      </w:r>
    </w:p>
    <w:p>
      <w:pPr>
        <w:spacing w:after="12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«МИРЭА − Российский технологический университет»</w:t>
      </w:r>
    </w:p>
    <w:p>
      <w:pPr>
        <w:spacing w:after="2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РТУ МИРЭА</w:t>
      </w:r>
    </w:p>
    <w:p>
      <w:pPr>
        <w:pBdr>
          <w:top w:val="double" w:color="000000" w:sz="6" w:space="1"/>
        </w:pBdr>
        <w:spacing w:after="24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Институт информационных технологий (ИИТ)</w:t>
      </w:r>
    </w:p>
    <w:p>
      <w:pPr>
        <w:spacing w:after="4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Кафедра инструментального и прикладного программного обеспечения (ИППО)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 ПО ПРАКТИЧЕСКОЙ РАБОТЕ</w:t>
      </w:r>
    </w:p>
    <w:p>
      <w:pPr>
        <w:spacing w:after="480" w:before="0" w:line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«Архитектура, проектирование и разработка программных средств»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Практическая работа № 3</w:t>
      </w:r>
    </w:p>
    <w:p>
      <w:pPr>
        <w:spacing w:after="72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Шаблоны проектирования в архитектуре программных систем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00"/>
        <w:gridCol w:w="4800"/>
        <w:gridCol w:w="2538"/>
      </w:tblGrid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Студенты группы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ИКМО-03-25 Фомичев Р.А.</w:t>
            </w:r>
          </w:p>
        </w:tc>
        <w:tc>
          <w:tcPr>
            <w:tcW w:type="dxa" w:w="25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000000" w:sz="12" w:space="1"/>
              </w:pBdr>
              <w:spacing w:before="360"/>
            </w:pP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(подпись)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4"/>
                <w:szCs w:val="24"/>
              </w:rPr>
              <w:t xml:space="preserve">Старший</w:t>
            </w:r>
          </w:p>
          <w:p>
            <w:r>
              <w:rPr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i/>
                <w:iCs/>
                <w:sz w:val="24"/>
                <w:szCs w:val="24"/>
              </w:rPr>
              <w:t xml:space="preserve">Синицын А.В.</w:t>
            </w:r>
          </w:p>
        </w:tc>
        <w:tc>
          <w:tcPr>
            <w:tcW w:type="dxa" w:w="25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000000" w:sz="12" w:space="1"/>
              </w:pBdr>
              <w:spacing w:before="360"/>
            </w:pP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(подпись)</w:t>
            </w:r>
          </w:p>
        </w:tc>
      </w:tr>
    </w:tbl>
    <w:p>
      <w:pPr>
        <w:tabs>
          <w:tab w:val="left" w:pos="2300"/>
        </w:tabs>
        <w:spacing w:before="600"/>
      </w:pPr>
      <w:r>
        <w:rPr>
          <w:sz w:val="24"/>
          <w:szCs w:val="24"/>
        </w:rPr>
        <w:t xml:space="preserve">Отчет представлен	«___»________2026 г.</w:t>
      </w:r>
    </w:p>
    <w:p>
      <w:pPr>
        <w:spacing w:after="0" w:before="260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 2026 г.</w:t>
      </w:r>
    </w:p>
    <w:p>
      <w:pPr>
        <w:sectPr>
          <w:pgSz w:w="11906" w:h="16838" w:orient="portrait"/>
          <w:pgMar w:top="1134" w:right="567" w:bottom="1134" w:left="1701" w:header="567" w:footer="567" w:gutter="0"/>
          <w:pgNumType/>
          <w:titlePg/>
          <w:docGrid w:linePitch="360"/>
        </w:sectPr>
      </w:pPr>
    </w:p>
    <w:p>
      <w:pPr>
        <w:pBdr>
          <w:top w:val="single" w:color="1F3A5F" w:sz="24" w:space="8"/>
          <w:bottom w:val="single" w:color="1F3A5F" w:sz="24" w:space="8"/>
          <w:left w:val="single" w:color="1F3A5F" w:sz="24" w:space="8"/>
          <w:right w:val="single" w:color="1F3A5F" w:sz="24" w:space="8"/>
        </w:pBdr>
        <w:shd w:fill="1F3A5F" w:color="auto" w:val="clear"/>
        <w:spacing w:after="360" w:before="0" w:line="300"/>
        <w:ind w:left="0"/>
      </w:pPr>
      <w:r>
        <w:rPr>
          <w:b/>
          <w:bCs/>
          <w:color w:val="FFFFFF"/>
          <w:sz w:val="32"/>
          <w:szCs w:val="32"/>
        </w:rPr>
        <w:t xml:space="preserve">Шаблоны проектирования в архитектуре ИС «Учёт и обслуживание компьютерной техники»</w:t>
      </w:r>
    </w:p>
    <w:p>
      <w:pPr>
        <w:pStyle w:val="Heading1"/>
        <w:keepNext/>
        <w:pBdr>
          <w:top w:val="single" w:color="E8EEF5" w:sz="12" w:space="6"/>
          <w:bottom w:val="single" w:color="E8EEF5" w:sz="12" w:space="6"/>
          <w:left w:val="single" w:color="1F3A5F" w:sz="36" w:space="6"/>
        </w:pBdr>
        <w:shd w:fill="E8EEF5" w:color="auto" w:val="clear"/>
        <w:spacing w:after="240" w:before="360"/>
      </w:pPr>
      <w:r>
        <w:rPr>
          <w:b/>
          <w:bCs/>
          <w:color w:val="1F3A5F"/>
          <w:sz w:val="30"/>
          <w:szCs w:val="30"/>
        </w:rPr>
        <w:t xml:space="preserve">1. Цель работы и выбор системы</w:t>
      </w:r>
    </w:p>
    <w:p>
      <w:pPr>
        <w:spacing w:after="0" w:line="360"/>
        <w:ind w:firstLine="709"/>
        <w:jc w:val="both"/>
      </w:pPr>
      <w:r>
        <w:t xml:space="preserve">Цель работы — научиться видеть архитектурные проблемы в проектируемой системе и подбирать для них подходящие шаблоны проектирования, аргументируя выбор. Шаблон проектирования — типовое решение часто возникающей задачи, проверенное на практике; это не готовый код и не библиотека, а схема ролей и связей, которую реализуют на любом языке [1].</w:t>
      </w:r>
    </w:p>
    <w:p>
      <w:pPr>
        <w:spacing w:after="0" w:line="360"/>
        <w:ind w:firstLine="709"/>
        <w:jc w:val="both"/>
      </w:pPr>
      <w:r>
        <w:t xml:space="preserve">Объект проектирования продолжает практические работы № 1 и № 2 — информационная система «Учёт и обслуживание компьютерной техники» (далее — система). ИТ-отдел из шести человек ведёт в ней реестр около 2500 единиц техники, выполняет заявки, планирует ТО, проводит инвентаризацию и готовит акты для бухгалтерии. В работе № 2 методом ADD выбрана архитектура верхнего уровня — модульный монолит с SPA-клиентом, фоновым обработчиком и очередью в PostgreSQL. Это решения макроуровня; настоящая работа спускается на микроуровень — к классам внутри сервера приложений </w:t>
      </w:r>
      <w:r>
        <w:rPr>
          <w:b/>
          <w:bCs/>
          <w:color w:val="1F3A5F"/>
        </w:rPr>
        <w:t xml:space="preserve">Э3</w:t>
      </w:r>
      <w:r>
        <w:t xml:space="preserve"> — и уточняет задачу </w:t>
      </w:r>
      <w:r>
        <w:rPr>
          <w:b/>
          <w:bCs/>
          <w:color w:val="1F3A5F"/>
        </w:rPr>
        <w:t xml:space="preserve">T02</w:t>
      </w:r>
      <w:r>
        <w:t xml:space="preserve"> плана первой работы (архитектура, модель данных, API). Ссылки F01–F14 указывают на требования первой работы, Э1–Э7 и Д1–Д6 — на элементы и драйверы второй.</w:t>
      </w:r>
    </w:p>
    <w:p>
      <w:pPr>
        <w:spacing w:after="0" w:line="360"/>
        <w:ind w:firstLine="709"/>
        <w:jc w:val="both"/>
      </w:pPr>
      <w:r>
        <w:t xml:space="preserve">Система состоит из четырёх независимых прикладных модулей и двух общих подсистем (таблица 1). Модули сдаются заказчику по очереди, по итерациям первой работы, поэтому у каждого должна быть своя граница и узкий интерфейс. Серверная часть пишется на Python (ПР-1, п. 3.6); на схемах классы названы по-английски, как в коде.</w:t>
      </w:r>
    </w:p>
    <w:p>
      <w:pPr>
        <w:keepNext/>
        <w:spacing w:after="80" w:before="200"/>
      </w:pPr>
      <w:r>
        <w:rPr>
          <w:b/>
          <w:bCs/>
          <w:color w:val="D9731A"/>
          <w:sz w:val="26"/>
          <w:szCs w:val="26"/>
        </w:rPr>
        <w:t xml:space="preserve">Таблица 1</w:t>
      </w:r>
      <w:r>
        <w:rPr>
          <w:color w:val="5B6576"/>
          <w:sz w:val="26"/>
          <w:szCs w:val="26"/>
        </w:rPr>
        <w:t xml:space="preserve"> – Подсистемы системы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699"/>
        <w:gridCol w:w="1300"/>
        <w:gridCol w:w="2239"/>
      </w:tblGrid>
      <w:tr>
        <w:trPr>
          <w:cantSplit/>
          <w:tblHeader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Подсистема</w:t>
            </w:r>
          </w:p>
        </w:tc>
        <w:tc>
          <w:tcPr>
            <w:tcW w:type="dxa" w:w="3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Обязанности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Требования</w:t>
            </w:r>
          </w:p>
        </w:tc>
        <w:tc>
          <w:tcPr>
            <w:tcW w:type="dxa" w:w="22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Кому нужна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Э3.3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Учёт техники</w:t>
            </w:r>
          </w:p>
        </w:tc>
        <w:tc>
          <w:tcPr>
            <w:tcW w:type="dxa" w:w="3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Реестр и карточка единицы, комплект рабочего места, перемещения с неизменяемой историей, история ремонтов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F01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color w:val="2F6FB0"/>
                <w:sz w:val="22"/>
                <w:szCs w:val="22"/>
              </w:rPr>
              <w:t xml:space="preserve">F04</w:t>
            </w:r>
          </w:p>
        </w:tc>
        <w:tc>
          <w:tcPr>
            <w:tcW w:type="dxa" w:w="22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API-слою, модулям заявок, инвентаризации, отчётов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Э3.4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Заявки и обслуживание</w:t>
            </w:r>
          </w:p>
        </w:tc>
        <w:tc>
          <w:tcPr>
            <w:tcW w:type="dxa" w:w="3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Заявки и статусы, сроки в рабочем времени, журнал работ, ЗИП, график ТО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F05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color w:val="2F6FB0"/>
                <w:sz w:val="22"/>
                <w:szCs w:val="22"/>
              </w:rPr>
              <w:t xml:space="preserve">F09</w:t>
            </w:r>
          </w:p>
        </w:tc>
        <w:tc>
          <w:tcPr>
            <w:tcW w:type="dxa" w:w="22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API-слою, модулю инвентаризации (списание)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Э3.5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Инвентаризация и списание</w:t>
            </w:r>
          </w:p>
        </w:tc>
        <w:tc>
          <w:tcPr>
            <w:tcW w:type="dxa" w:w="3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Ведомости, отметки по штрихкоду, расхождения, процесс списания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F10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F11</w:t>
            </w:r>
          </w:p>
        </w:tc>
        <w:tc>
          <w:tcPr>
            <w:tcW w:type="dxa" w:w="22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API-слою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Э3.6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Отчёты и обмен</w:t>
            </w:r>
          </w:p>
        </w:tc>
        <w:tc>
          <w:tcPr>
            <w:tcW w:type="dxa" w:w="3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Акты, этикетки, отчёты XLSX и PDF, обмен CSV с 1С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F12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F14</w:t>
            </w:r>
          </w:p>
        </w:tc>
        <w:tc>
          <w:tcPr>
            <w:tcW w:type="dxa" w:w="22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всем модулям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Э3.2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Безопасность (общая)</w:t>
            </w:r>
          </w:p>
        </w:tc>
        <w:tc>
          <w:tcPr>
            <w:tcW w:type="dxa" w:w="3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Проверка прав authorize, журнал аудита audit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F13</w:t>
            </w:r>
          </w:p>
        </w:tc>
        <w:tc>
          <w:tcPr>
            <w:tcW w:type="dxa" w:w="22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всем модулям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Э4</w:t>
            </w:r>
          </w:p>
        </w:tc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Фоновый обработчик</w:t>
            </w:r>
          </w:p>
        </w:tc>
        <w:tc>
          <w:tcPr>
            <w:tcW w:type="dxa" w:w="3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Письма из outbox, проверка просрочки, синхронизация с AD</w:t>
            </w:r>
          </w:p>
        </w:tc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F05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F07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F09</w:t>
            </w:r>
          </w:p>
        </w:tc>
        <w:tc>
          <w:tcPr>
            <w:tcW w:type="dxa" w:w="22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модулям заявок и учёта</w:t>
            </w:r>
          </w:p>
        </w:tc>
      </w:tr>
    </w:tbl>
    <w:p>
      <w:pPr>
        <w:pStyle w:val="Heading1"/>
        <w:keepNext/>
        <w:pBdr>
          <w:top w:val="single" w:color="E8EEF5" w:sz="12" w:space="6"/>
          <w:bottom w:val="single" w:color="E8EEF5" w:sz="12" w:space="6"/>
          <w:left w:val="single" w:color="1F3A5F" w:sz="36" w:space="6"/>
        </w:pBdr>
        <w:shd w:fill="E8EEF5" w:color="auto" w:val="clear"/>
        <w:spacing w:after="240" w:before="360"/>
      </w:pPr>
      <w:r>
        <w:rPr>
          <w:b/>
          <w:bCs/>
          <w:color w:val="1F3A5F"/>
          <w:sz w:val="30"/>
          <w:szCs w:val="30"/>
        </w:rPr>
        <w:t xml:space="preserve">2. Архитектурные проблемы</w:t>
      </w:r>
    </w:p>
    <w:p>
      <w:pPr>
        <w:spacing w:after="0" w:line="360"/>
        <w:ind w:firstLine="709"/>
        <w:jc w:val="both"/>
      </w:pPr>
      <w:r>
        <w:t xml:space="preserve">Проблемы выявлены по трём источникам: связям между модулями на рисунке 1 второй работы, функциональным требованиям F01–F14 и открытым вопросам первой работы (п. 4.1) — формам актов, формату обмена, нормативным срокам и периодичности ТО. Открытые вопросы важны: всё, что от них зависит, будет меняться в ходе итераций, и такие места проекта должны допускать изменения без переделки соседних модулей. Выбраны четыре проблемы (таблица 2).</w:t>
      </w:r>
    </w:p>
    <w:p>
      <w:pPr>
        <w:keepNext/>
        <w:spacing w:after="80" w:before="200"/>
      </w:pPr>
      <w:r>
        <w:rPr>
          <w:b/>
          <w:bCs/>
          <w:color w:val="D9731A"/>
          <w:sz w:val="26"/>
          <w:szCs w:val="26"/>
        </w:rPr>
        <w:t xml:space="preserve">Таблица 2</w:t>
      </w:r>
      <w:r>
        <w:rPr>
          <w:color w:val="5B6576"/>
          <w:sz w:val="26"/>
          <w:szCs w:val="26"/>
        </w:rPr>
        <w:t xml:space="preserve"> – Проблемы проектирования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99"/>
        <w:gridCol w:w="2200"/>
        <w:gridCol w:w="1900"/>
        <w:gridCol w:w="2439"/>
      </w:tblGrid>
      <w:tr>
        <w:trPr>
          <w:cantSplit/>
          <w:tblHeader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ID</w:t>
            </w:r>
          </w:p>
        </w:tc>
        <w:tc>
          <w:tcPr>
            <w:tcW w:type="dxa" w:w="24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Где возникает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Требования, драйверы</w:t>
            </w:r>
          </w:p>
        </w:tc>
        <w:tc>
          <w:tcPr>
            <w:tcW w:type="dxa" w:w="24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Что будет, если не решить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П1</w:t>
            </w:r>
          </w:p>
        </w:tc>
        <w:tc>
          <w:tcPr>
            <w:tcW w:type="dxa" w:w="24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Как скрыть сложность подсистемы и не дать модулям зависеть от чужих внутренних классов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Учёт техники используют API-слой и три других модуля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2F6FB0"/>
                <w:sz w:val="22"/>
                <w:szCs w:val="22"/>
              </w:rPr>
              <w:t xml:space="preserve">F01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color w:val="2F6FB0"/>
                <w:sz w:val="22"/>
                <w:szCs w:val="22"/>
              </w:rPr>
              <w:t xml:space="preserve">F04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F11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F13</w:t>
            </w:r>
            <w:r>
              <w:rPr>
                <w:sz w:val="22"/>
                <w:szCs w:val="22"/>
              </w:rPr>
              <w:t xml:space="preserve">; Д2, Д6</w:t>
            </w:r>
          </w:p>
        </w:tc>
        <w:tc>
          <w:tcPr>
            <w:tcW w:type="dxa" w:w="24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Обход authorize и audit, каскад правок при изменении модели, срыв поэтапной сдачи модулей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П2</w:t>
            </w:r>
          </w:p>
        </w:tc>
        <w:tc>
          <w:tcPr>
            <w:tcW w:type="dxa" w:w="24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Как уведомлять несколько компонентов об изменении данных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Смена статуса заявки, просрочка, остаток ЗИП, перемещение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2F6FB0"/>
                <w:sz w:val="22"/>
                <w:szCs w:val="22"/>
              </w:rPr>
              <w:t xml:space="preserve">F03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F05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F07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F08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F14</w:t>
            </w:r>
            <w:r>
              <w:rPr>
                <w:sz w:val="22"/>
                <w:szCs w:val="22"/>
              </w:rPr>
              <w:t xml:space="preserve">; Д3, Д4</w:t>
            </w:r>
          </w:p>
        </w:tc>
        <w:tc>
          <w:tcPr>
            <w:tcW w:type="dxa" w:w="24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Модуль заявок знает всех получателей; каждая новая реакция — правка самого рискованного модуля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П3</w:t>
            </w:r>
          </w:p>
        </w:tc>
        <w:tc>
          <w:tcPr>
            <w:tcW w:type="dxa" w:w="24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Как поддерживать разные алгоритмы одной задачи — расчёта сроков заявок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Аварийные заявки и заявки «Плановое ТО»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2F6FB0"/>
                <w:sz w:val="22"/>
                <w:szCs w:val="22"/>
              </w:rPr>
              <w:t xml:space="preserve">F06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F07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F09</w:t>
            </w:r>
            <w:r>
              <w:rPr>
                <w:sz w:val="22"/>
                <w:szCs w:val="22"/>
              </w:rPr>
              <w:t xml:space="preserve">; Д4</w:t>
            </w:r>
          </w:p>
        </w:tc>
        <w:tc>
          <w:tcPr>
            <w:tcW w:type="dxa" w:w="24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Разрастание условных операторов в трёх местах: назначение срока, пауза, проверка просрочки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П4</w:t>
            </w:r>
          </w:p>
        </w:tc>
        <w:tc>
          <w:tcPr>
            <w:tcW w:type="dxa" w:w="24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Как централизовать создание документов и добавлять новые виды без правки клиентов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Акты, этикетки, ведомости, отчёты, CSV для 1С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2F6FB0"/>
                <w:sz w:val="22"/>
                <w:szCs w:val="22"/>
              </w:rPr>
              <w:t xml:space="preserve">F03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F10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color w:val="2F6FB0"/>
                <w:sz w:val="22"/>
                <w:szCs w:val="22"/>
              </w:rPr>
              <w:t xml:space="preserve">F12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F14</w:t>
            </w:r>
            <w:r>
              <w:rPr>
                <w:sz w:val="22"/>
                <w:szCs w:val="22"/>
              </w:rPr>
              <w:t xml:space="preserve">; О4</w:t>
            </w:r>
          </w:p>
        </w:tc>
        <w:tc>
          <w:tcPr>
            <w:tcW w:type="dxa" w:w="24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Код форм размазан по трём модулям; смена формы акта затрагивает каждый</w:t>
            </w:r>
          </w:p>
        </w:tc>
      </w:tr>
    </w:tbl>
    <w:p>
      <w:pPr>
        <w:pStyle w:val="Heading2"/>
        <w:keepNext/>
        <w:pBdr>
          <w:left w:val="single" w:color="D9731A" w:sz="24" w:space="6"/>
        </w:pBdr>
        <w:spacing w:after="120" w:before="240"/>
      </w:pPr>
      <w:r>
        <w:rPr>
          <w:b/>
          <w:bCs/>
          <w:color w:val="1F3A5F"/>
          <w:sz w:val="26"/>
          <w:szCs w:val="26"/>
        </w:rPr>
        <w:t xml:space="preserve">2.1. П1. Сложность подсистемы и связи между модулями</w:t>
      </w:r>
    </w:p>
    <w:p>
      <w:pPr>
        <w:spacing w:after="0" w:line="360"/>
        <w:ind w:firstLine="709"/>
        <w:jc w:val="both"/>
      </w:pPr>
      <w:r>
        <w:t xml:space="preserve">Модуль «Учёт техники» — центральный: внутри него шесть классов (хранилища единиц, истории перемещений и истории ремонтов, служба комплектов, проверка уникальности инвентарного номера, формирование данных для акта). Им пользуются API-слой, модуль инвентаризации (поиск единицы по штрихкоду, перевод в «Списано»), модуль заявок (нельзя подать заявку на списанную единицу, F11) и модуль отчётов. Если каждый клиент обращается к внутренним классам напрямую, нарушается ограничение второй работы: модуль меняет данные только через свои прикладные сервисы, которые вызывают authorize и audit. Тогда запрос в обход интерфейса может изменить запись без проверки прав и без записи в журнал (сценарий АК2), а любое изменение внутренней модели потребует правок в трёх модулях — и в итерациях, уже сданных заказчику.</w:t>
      </w:r>
    </w:p>
    <w:p>
      <w:pPr>
        <w:pStyle w:val="Heading2"/>
        <w:keepNext/>
        <w:pBdr>
          <w:left w:val="single" w:color="D9731A" w:sz="24" w:space="6"/>
        </w:pBdr>
        <w:spacing w:after="120" w:before="240"/>
      </w:pPr>
      <w:r>
        <w:rPr>
          <w:b/>
          <w:bCs/>
          <w:color w:val="1F3A5F"/>
          <w:sz w:val="26"/>
          <w:szCs w:val="26"/>
        </w:rPr>
        <w:t xml:space="preserve">2.2. П2. Уведомления при изменении данных</w:t>
      </w:r>
    </w:p>
    <w:p>
      <w:pPr>
        <w:spacing w:after="0" w:line="360"/>
        <w:ind w:firstLine="709"/>
        <w:jc w:val="both"/>
      </w:pPr>
      <w:r>
        <w:t xml:space="preserve">Одно изменение вызывает несколько реакций в разных местах. Смена статуса заявки: письмо заявителю (F05), остановка и возобновление срока при «Ожидает запчасть» (F07), при «Выполнена» — запись затрат в историю ремонтов единицы, без которой списание решается без данных о затратах (ПР-1, п. 1.2). Просрочка — письмо руководителю (F07); остаток ЗИП ниже минимума — письмо (F08); перемещение — акт в очередь выгрузки для бухгалтерии (F03, F14). Источник события не должен знать список получателей: этот список будет расти по ответам заказчика, а модуль заявок по оценке второй работы — элемент наибольшего риска. Кроме того, ни одно уведомление нельзя потерять (сценарий АК3).</w:t>
      </w:r>
    </w:p>
    <w:p>
      <w:pPr>
        <w:pStyle w:val="Heading2"/>
        <w:keepNext/>
        <w:pBdr>
          <w:left w:val="single" w:color="D9731A" w:sz="24" w:space="6"/>
        </w:pBdr>
        <w:spacing w:after="120" w:before="240"/>
      </w:pPr>
      <w:r>
        <w:rPr>
          <w:b/>
          <w:bCs/>
          <w:color w:val="1F3A5F"/>
          <w:sz w:val="26"/>
          <w:szCs w:val="26"/>
        </w:rPr>
        <w:t xml:space="preserve">2.3. П3. Разные алгоритмы расчёта сроков</w:t>
      </w:r>
    </w:p>
    <w:p>
      <w:pPr>
        <w:spacing w:after="0" w:line="360"/>
        <w:ind w:firstLine="709"/>
        <w:jc w:val="both"/>
      </w:pPr>
      <w:r>
        <w:t xml:space="preserve">Аварийная заявка получает нормативы реакции и решения по приоритету (1/8, 4/24, 8/40 ч), считает их только в рабочем времени по производственному календарю и останавливает часы в статусе «Ожидает запчасть». Заявка «Плановое ТО» создаётся за 7 дней до срока (F09): её срок — плановая дата по графику, а время реакции не контролируется. Алгоритм нужен в трёх местах — при создании заявки, при смене статуса и при ежеминутной проверке просрочки фоновым обработчиком. Нормы и периодичность ТО — открытые вопросы, и заказчик может добавить новый тип заявок с собственными правилами.</w:t>
      </w:r>
    </w:p>
    <w:p>
      <w:pPr>
        <w:pStyle w:val="Heading2"/>
        <w:keepNext/>
        <w:pBdr>
          <w:left w:val="single" w:color="D9731A" w:sz="24" w:space="6"/>
        </w:pBdr>
        <w:spacing w:after="120" w:before="240"/>
      </w:pPr>
      <w:r>
        <w:rPr>
          <w:b/>
          <w:bCs/>
          <w:color w:val="1F3A5F"/>
          <w:sz w:val="26"/>
          <w:szCs w:val="26"/>
        </w:rPr>
        <w:t xml:space="preserve">2.4. П4. Централизованное создание документов</w:t>
      </w:r>
    </w:p>
    <w:p>
      <w:pPr>
        <w:spacing w:after="0" w:line="360"/>
        <w:ind w:firstLine="709"/>
        <w:jc w:val="both"/>
      </w:pPr>
      <w:r>
        <w:t xml:space="preserve">Система выпускает шесть видов документов в четырёх форматах: акты перемещения и списания (PDF A4), этикетку со штрихкодом Code 128 (PDF 58 × 40 мм), ведомость расхождений, четыре отчёта в XLSX и PDF (F12) и выгрузку актов в CSV для учётной системы бухгалтерии (F14). Заказывают документы три модуля. Формы актов и формат файла обмена — открытые вопросы первой работы, поэтому именно этот код будет меняться чаще всего. Нужно, чтобы модуль-клиент не зависел от конкретного класса документа и его формата, а новый вид документа добавлялся без правки клиентов.</w:t>
      </w:r>
    </w:p>
    <w:p>
      <w:pPr>
        <w:pStyle w:val="Heading1"/>
        <w:keepNext/>
        <w:pBdr>
          <w:top w:val="single" w:color="E8EEF5" w:sz="12" w:space="6"/>
          <w:bottom w:val="single" w:color="E8EEF5" w:sz="12" w:space="6"/>
          <w:left w:val="single" w:color="1F3A5F" w:sz="36" w:space="6"/>
        </w:pBdr>
        <w:shd w:fill="E8EEF5" w:color="auto" w:val="clear"/>
        <w:spacing w:after="240" w:before="360"/>
      </w:pPr>
      <w:r>
        <w:rPr>
          <w:b/>
          <w:bCs/>
          <w:color w:val="1F3A5F"/>
          <w:sz w:val="30"/>
          <w:szCs w:val="30"/>
        </w:rPr>
        <w:t xml:space="preserve">3. Подбор шаблонов</w:t>
      </w:r>
    </w:p>
    <w:p>
      <w:pPr>
        <w:spacing w:after="0" w:line="360"/>
        <w:ind w:firstLine="709"/>
        <w:jc w:val="both"/>
      </w:pPr>
      <w:r>
        <w:t xml:space="preserve">Для каждой проблемы рассмотрены несколько решений; выбор и причины отказа от альтернатив сведены в таблицу 3 и раскрыты в пп. 3.1–3.4. Критерии выбора одни и те же: связность модулей, трудозатраты одного серверного разработчика (Д6), риск потери данных и уведомлений (Д3), а также стоимость изменений по открытым вопросам.</w:t>
      </w:r>
    </w:p>
    <w:p>
      <w:pPr>
        <w:keepNext/>
        <w:spacing w:after="80" w:before="200"/>
      </w:pPr>
      <w:r>
        <w:rPr>
          <w:b/>
          <w:bCs/>
          <w:color w:val="D9731A"/>
          <w:sz w:val="26"/>
          <w:szCs w:val="26"/>
        </w:rPr>
        <w:t xml:space="preserve">Таблица 3</w:t>
      </w:r>
      <w:r>
        <w:rPr>
          <w:color w:val="5B6576"/>
          <w:sz w:val="26"/>
          <w:szCs w:val="26"/>
        </w:rPr>
        <w:t xml:space="preserve"> – Проблемы, шаблоны и рассмотренные альтернативы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000"/>
        <w:gridCol w:w="3638"/>
      </w:tblGrid>
      <w:tr>
        <w:trPr>
          <w:cantSplit/>
          <w:tblHeader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Шаблон (группа GoF)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Альтернативы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Почему альтернативы хуже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П1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Фасад (структурный) — по одному на модуль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а) прямой доступ к классам модуля; б) Посредник; в) модули как отдельные службы с REST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а) обход authorize/audit, высокая связность; б) посредник знает все модули и становится «божественным объектом»; в) микросервисы отклонены в ПР-2 из-за Д6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П2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Наблюдатель (поведенческий) + транзакционный outbox из ПР-2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а) прямые вызовы; б) триггеры БД, LISTEN/NOTIFY; в) внешний брокер; г) асинхронная шина в памяти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а) см. раздел 5; б) не знают автора, логика уходит в SQL, NOTIFY теряется без слушателя; в) отклонён в ПР-2; г) теряет события при перезапуске, нарушает АК3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П3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Стратегия (поведенческий)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а) условные операторы по типу заявки; б) Состояние; в) Шаблонный метод через наследование заявок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а) правило разносится по трём методам; б) решает другую задачу — статусы, а не сроки; в) смешивает сущность и правило, усложняет ORM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П4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Фабричный метод (порождающий) с реестром создателей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а) создание через конструктор в каждом модуле; б) Абстрактная фабрика; в) Строитель; г) внешний генератор отчётов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а) дублирование, смена формы затрагивает три модуля; б) нет семейств связанных продуктов; в) документ не собирается клиентом по шагам; г) ещё один процесс и память на сервере 8 ГБ</w:t>
            </w:r>
          </w:p>
        </w:tc>
      </w:tr>
    </w:tbl>
    <w:p>
      <w:pPr>
        <w:pStyle w:val="Heading2"/>
        <w:keepNext/>
        <w:pBdr>
          <w:left w:val="single" w:color="D9731A" w:sz="24" w:space="6"/>
        </w:pBdr>
        <w:spacing w:after="120" w:before="240"/>
      </w:pPr>
      <w:r>
        <w:rPr>
          <w:b/>
          <w:bCs/>
          <w:color w:val="1F3A5F"/>
          <w:sz w:val="26"/>
          <w:szCs w:val="26"/>
        </w:rPr>
        <w:t xml:space="preserve">3.1. Фасад для модулей (П1)</w:t>
      </w:r>
    </w:p>
    <w:p>
      <w:pPr>
        <w:spacing w:after="0" w:line="360"/>
        <w:ind w:firstLine="709"/>
        <w:jc w:val="both"/>
      </w:pPr>
      <w:r>
        <w:t xml:space="preserve">Каждый из четырёх модулей открывает наружу ровно один класс — фасад (</w:t>
      </w:r>
      <w:r>
        <w:rPr>
          <w:b/>
          <w:bCs/>
          <w:color w:val="1F3A5F"/>
        </w:rPr>
        <w:t xml:space="preserve">AssetRegistryFacade</w:t>
      </w:r>
      <w:r>
        <w:t xml:space="preserve">, </w:t>
      </w:r>
      <w:r>
        <w:rPr>
          <w:b/>
          <w:bCs/>
          <w:color w:val="1F3A5F"/>
        </w:rPr>
        <w:t xml:space="preserve">RequestsFacade</w:t>
      </w:r>
      <w:r>
        <w:t xml:space="preserve">, </w:t>
      </w:r>
      <w:r>
        <w:rPr>
          <w:b/>
          <w:bCs/>
          <w:color w:val="1F3A5F"/>
        </w:rPr>
        <w:t xml:space="preserve">InventoryFacade</w:t>
      </w:r>
      <w:r>
        <w:t xml:space="preserve">, </w:t>
      </w:r>
      <w:r>
        <w:rPr>
          <w:b/>
          <w:bCs/>
          <w:color w:val="1F3A5F"/>
        </w:rPr>
        <w:t xml:space="preserve">ReportsFacade</w:t>
      </w:r>
      <w:r>
        <w:t xml:space="preserve">). Метод фасада соответствует одному сценарию использования и служит границей транзакции: authorize → действие внутренних классов → audit → commit. Внутренние классы лежат во внутреннем пакете модуля, импорт которого из других модулей запрещает правило проверки зависимостей в автосборке (T05). Так шаблон закрепляет в коде решение второй работы о единой политике доступа: обойти authorize через другой модуль нельзя, потому что других входов нет.</w:t>
      </w:r>
    </w:p>
    <w:p>
      <w:pPr>
        <w:spacing w:after="0" w:line="360"/>
        <w:ind w:firstLine="709"/>
        <w:jc w:val="both"/>
      </w:pPr>
      <w:r>
        <w:t xml:space="preserve">Посредник рассматривался как способ упорядочить взаимодействие модулей, но здесь нет многосторонних связей, которые он упрощает: зависимости идут в одну сторону — от инвентаризации и заявок к учёту техники и к отчётам. Общий посредник знал бы обо всех модулях и рос бы с каждой итерацией. Вынос модулей в отдельные службы с REST-интерфейсом дал бы ту же изоляцию, но был отклонён во второй работе: несколько процессов на сервере с 8 ГБ ОЗУ и межсервисные контракты не по силам одному серверному разработчику.</w:t>
      </w:r>
    </w:p>
    <w:p>
      <w:pPr>
        <w:spacing w:after="0" w:line="360"/>
        <w:ind w:firstLine="709"/>
        <w:jc w:val="both"/>
      </w:pPr>
      <w:r>
        <w:t xml:space="preserve">Риск шаблона — «толстый» фасад, в который постепенно переезжает логика. Правило: фасад только координирует, бизнес-правила живут во внутренних классах; ориентир — не более 10–12 методов на фасад, при превышении модуль делится.</w:t>
      </w:r>
    </w:p>
    <w:p>
      <w:pPr>
        <w:pStyle w:val="Heading2"/>
        <w:keepNext/>
        <w:pBdr>
          <w:left w:val="single" w:color="D9731A" w:sz="24" w:space="6"/>
        </w:pBdr>
        <w:spacing w:after="120" w:before="240"/>
      </w:pPr>
      <w:r>
        <w:rPr>
          <w:b/>
          <w:bCs/>
          <w:color w:val="1F3A5F"/>
          <w:sz w:val="26"/>
          <w:szCs w:val="26"/>
        </w:rPr>
        <w:t xml:space="preserve">3.2. Наблюдатель для уведомлений (П2)</w:t>
      </w:r>
    </w:p>
    <w:p>
      <w:pPr>
        <w:spacing w:after="0" w:line="360"/>
        <w:ind w:firstLine="709"/>
        <w:jc w:val="both"/>
      </w:pPr>
      <w:r>
        <w:t xml:space="preserve">Издатели — фасады модулей, служба ЗИП и задание проверки просрочки — публикуют доменное событие в шину </w:t>
      </w:r>
      <w:r>
        <w:rPr>
          <w:b/>
          <w:bCs/>
          <w:color w:val="1F3A5F"/>
        </w:rPr>
        <w:t xml:space="preserve">DomainEventBus</w:t>
      </w:r>
      <w:r>
        <w:t xml:space="preserve"> (роль Subject) и не знают, кто его получит. Наблюдатели реализуют интерфейс </w:t>
      </w:r>
      <w:r>
        <w:rPr>
          <w:b/>
          <w:bCs/>
          <w:color w:val="1F3A5F"/>
        </w:rPr>
        <w:t xml:space="preserve">EventHandler</w:t>
      </w:r>
      <w:r>
        <w:t xml:space="preserve"> с одним методом handle(event); подписки собраны в одном месте — классе </w:t>
      </w:r>
      <w:r>
        <w:rPr>
          <w:b/>
          <w:bCs/>
          <w:color w:val="1F3A5F"/>
        </w:rPr>
        <w:t xml:space="preserve">EventWiring</w:t>
      </w:r>
      <w:r>
        <w:t xml:space="preserve">, где их можно прочитать списком. Состав событий и подписчиков приведён в таблице 4.</w:t>
      </w:r>
    </w:p>
    <w:p>
      <w:pPr>
        <w:keepNext/>
        <w:spacing w:after="80" w:before="200"/>
      </w:pPr>
      <w:r>
        <w:rPr>
          <w:b/>
          <w:bCs/>
          <w:color w:val="D9731A"/>
          <w:sz w:val="26"/>
          <w:szCs w:val="26"/>
        </w:rPr>
        <w:t xml:space="preserve">Таблица 4</w:t>
      </w:r>
      <w:r>
        <w:rPr>
          <w:color w:val="5B6576"/>
          <w:sz w:val="26"/>
          <w:szCs w:val="26"/>
        </w:rPr>
        <w:t xml:space="preserve"> – События и наблюдатели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100"/>
        <w:gridCol w:w="12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Издатель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Наблюдатели и их реакция</w:t>
            </w:r>
          </w:p>
        </w:tc>
        <w:tc>
          <w:tcPr>
            <w:tcW w:type="dxa" w:w="1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Требования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RequestStatusChanged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RequestsFacade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RequesterNotifier — письмо заявителю в outbox; SlaClock — пауза и возобновление срока, фиксация времени решения; RepairHistoryRecorder — затраты в историю ремонтов единицы</w:t>
            </w:r>
          </w:p>
        </w:tc>
        <w:tc>
          <w:tcPr>
            <w:tcW w:type="dxa" w:w="1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F05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color w:val="2F6FB0"/>
                <w:sz w:val="22"/>
                <w:szCs w:val="22"/>
              </w:rPr>
              <w:t xml:space="preserve">F07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RequestOverdue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OverdueCheckJob (Э4)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ManagerNotifier — письмо руководителю ИТ-отдела</w:t>
            </w:r>
          </w:p>
        </w:tc>
        <w:tc>
          <w:tcPr>
            <w:tcW w:type="dxa" w:w="1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StockBelowMinimum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SparePartsService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ManagerNotifier — письмо о пополнении ЗИП</w:t>
            </w:r>
          </w:p>
        </w:tc>
        <w:tc>
          <w:tcPr>
            <w:tcW w:type="dxa" w:w="1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AssetMoved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AssetRegistryFacade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MoveActExporter — акт перемещения в очередь выгрузки для 1С</w:t>
            </w:r>
          </w:p>
        </w:tc>
        <w:tc>
          <w:tcPr>
            <w:tcW w:type="dxa" w:w="1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2F6FB0"/>
                <w:sz w:val="22"/>
                <w:szCs w:val="22"/>
              </w:rPr>
              <w:t xml:space="preserve">F03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color w:val="2F6FB0"/>
                <w:sz w:val="22"/>
                <w:szCs w:val="22"/>
              </w:rPr>
              <w:t xml:space="preserve">F14</w:t>
            </w:r>
          </w:p>
        </w:tc>
      </w:tr>
    </w:tbl>
    <w:p>
      <w:pPr>
        <w:spacing w:after="0" w:line="360"/>
        <w:ind w:firstLine="709"/>
        <w:jc w:val="both"/>
      </w:pPr>
      <w:r>
        <w:t xml:space="preserve">Важная деталь — комбинация с транзакционным outbox из второй работы. Обработчики вызываются синхронно, в транзакции издателя, и сами ничего во внешний мир не отправляют: письмо лишь записывается в таблицу outbox, а уходит позже через фоновый обработчик </w:t>
      </w:r>
      <w:r>
        <w:rPr>
          <w:b/>
          <w:bCs/>
          <w:color w:val="1F3A5F"/>
        </w:rPr>
        <w:t xml:space="preserve">Э4</w:t>
      </w:r>
      <w:r>
        <w:t xml:space="preserve">. Поэтому событие не теряется при перезапуске, а ошибка обработчика откатывает и исходное изменение — данные остаются согласованными. Асинхронная шина в памяти выглядела бы проще, но потеряла бы события при сбое процесса и нарушила сценарий АК3. Триггеры БД и LISTEN/NOTIFY отклонены по причине из второй работы: триггер не знает автора действия, а уведомление NOTIFY пропадает, если в этот момент нет слушателя.</w:t>
      </w:r>
    </w:p>
    <w:p>
      <w:pPr>
        <w:spacing w:after="0" w:line="360"/>
        <w:ind w:firstLine="709"/>
        <w:jc w:val="both"/>
      </w:pPr>
      <w:r>
        <w:t xml:space="preserve">Журнал аудита сознательно не сделан наблюдателем: запись аудита обязательна для каждого изменения (F13), и её отсутствие должно быть видно в коде метода фасада, а не зависеть от того, зарегистрирована ли подписка.</w:t>
      </w:r>
    </w:p>
    <w:p>
      <w:pPr>
        <w:pStyle w:val="Heading2"/>
        <w:keepNext/>
        <w:pBdr>
          <w:left w:val="single" w:color="D9731A" w:sz="24" w:space="6"/>
        </w:pBdr>
        <w:spacing w:after="120" w:before="240"/>
      </w:pPr>
      <w:r>
        <w:rPr>
          <w:b/>
          <w:bCs/>
          <w:color w:val="1F3A5F"/>
          <w:sz w:val="26"/>
          <w:szCs w:val="26"/>
        </w:rPr>
        <w:t xml:space="preserve">3.3. Стратегия для расчёта сроков (П3)</w:t>
      </w:r>
    </w:p>
    <w:p>
      <w:pPr>
        <w:spacing w:after="0" w:line="360"/>
        <w:ind w:firstLine="709"/>
        <w:jc w:val="both"/>
      </w:pPr>
      <w:r>
        <w:t xml:space="preserve">Интерфейс </w:t>
      </w:r>
      <w:r>
        <w:rPr>
          <w:b/>
          <w:bCs/>
          <w:color w:val="1F3A5F"/>
        </w:rPr>
        <w:t xml:space="preserve">SlaPolicy</w:t>
      </w:r>
      <w:r>
        <w:t xml:space="preserve"> объявляет три операции — назначить сроки, учесть смену статуса и проверить просрочку. Реализации: </w:t>
      </w:r>
      <w:r>
        <w:rPr>
          <w:b/>
          <w:bCs/>
          <w:color w:val="1F3A5F"/>
        </w:rPr>
        <w:t xml:space="preserve">IncidentSlaPolicy</w:t>
      </w:r>
      <w:r>
        <w:t xml:space="preserve"> (нормы по приоритету, рабочее время, пауза в «Ожидает запчасть») и </w:t>
      </w:r>
      <w:r>
        <w:rPr>
          <w:b/>
          <w:bCs/>
          <w:color w:val="1F3A5F"/>
        </w:rPr>
        <w:t xml:space="preserve">PlannedMaintenanceSlaPolicy</w:t>
      </w:r>
      <w:r>
        <w:t xml:space="preserve"> (срок — дата ТО по графику). Контекст </w:t>
      </w:r>
      <w:r>
        <w:rPr>
          <w:b/>
          <w:bCs/>
          <w:color w:val="1F3A5F"/>
        </w:rPr>
        <w:t xml:space="preserve">DeadlineService</w:t>
      </w:r>
      <w:r>
        <w:t xml:space="preserve"> получает нужную стратегию из реестра по типу заявки. Его вызывают фасад заявок при создании, наблюдатель SlaClock при смене статуса и фоновое задание проверки просрочки, так что правило расчёта находится в одном классе, а не в трёх местах.</w:t>
      </w:r>
    </w:p>
    <w:p>
      <w:pPr>
        <w:spacing w:after="0" w:line="360"/>
        <w:ind w:firstLine="709"/>
        <w:jc w:val="both"/>
      </w:pPr>
      <w:r>
        <w:t xml:space="preserve">Нормы 1/8, 4/24 и 8/40 ч остаются данными: они хранятся в таблице, и руководитель меняет их без изменения кода. Стратегия отвечает за способ расчёта, а не за числа, поэтому для приоритетов отдельные классы не созданы — они отличаются только значениями. Новый тип заявок с другими правилами — это новый класс и одна строка регистрации.</w:t>
      </w:r>
    </w:p>
    <w:p>
      <w:pPr>
        <w:spacing w:after="0" w:line="360"/>
        <w:ind w:firstLine="709"/>
        <w:jc w:val="both"/>
      </w:pPr>
      <w:r>
        <w:t xml:space="preserve">Рассматривался шаблон Состояние для статусной модели заявки (F06). Он подходит, когда поведение объекта сильно зависит от состояния; здесь шесть статусов отличаются лишь допустимыми переходами, и их достаточно описать таблицей переходов. Шесть классов состояний были бы оверинжинирингом — использованием шаблона «ради галочки». Условные операторы по типу заявки сейчас короче стратегии, но правило размазалось бы по трём методам, и каждое уточнение норм по открытым вопросам затрагивало бы все три.</w:t>
      </w:r>
    </w:p>
    <w:p>
      <w:pPr>
        <w:pStyle w:val="Heading2"/>
        <w:keepNext/>
        <w:pBdr>
          <w:left w:val="single" w:color="D9731A" w:sz="24" w:space="6"/>
        </w:pBdr>
        <w:spacing w:after="120" w:before="240"/>
      </w:pPr>
      <w:r>
        <w:rPr>
          <w:b/>
          <w:bCs/>
          <w:color w:val="1F3A5F"/>
          <w:sz w:val="26"/>
          <w:szCs w:val="26"/>
        </w:rPr>
        <w:t xml:space="preserve">3.4. Фабричный метод для документов (П4)</w:t>
      </w:r>
    </w:p>
    <w:p>
      <w:pPr>
        <w:spacing w:after="0" w:line="360"/>
        <w:ind w:firstLine="709"/>
        <w:jc w:val="both"/>
      </w:pPr>
      <w:r>
        <w:t xml:space="preserve">Абстрактный создатель </w:t>
      </w:r>
      <w:r>
        <w:rPr>
          <w:b/>
          <w:bCs/>
          <w:color w:val="1F3A5F"/>
        </w:rPr>
        <w:t xml:space="preserve">DocumentCreator</w:t>
      </w:r>
      <w:r>
        <w:t xml:space="preserve"> задаёт общий порядок выпуска документа в методе produce(): собрать данные → проверить → получить отрисовщик через фабричный метод createRenderer() → отрисовать → сохранить. Конкретные создатели (</w:t>
      </w:r>
      <w:r>
        <w:rPr>
          <w:b/>
          <w:bCs/>
          <w:color w:val="1F3A5F"/>
        </w:rPr>
        <w:t xml:space="preserve">MoveActCreator</w:t>
      </w:r>
      <w:r>
        <w:t xml:space="preserve">, </w:t>
      </w:r>
      <w:r>
        <w:rPr>
          <w:b/>
          <w:bCs/>
          <w:color w:val="1F3A5F"/>
        </w:rPr>
        <w:t xml:space="preserve">WriteOffActCreator</w:t>
      </w:r>
      <w:r>
        <w:t xml:space="preserve">, </w:t>
      </w:r>
      <w:r>
        <w:rPr>
          <w:b/>
          <w:bCs/>
          <w:color w:val="1F3A5F"/>
        </w:rPr>
        <w:t xml:space="preserve">AssetLabelCreator</w:t>
      </w:r>
      <w:r>
        <w:t xml:space="preserve">, </w:t>
      </w:r>
      <w:r>
        <w:rPr>
          <w:b/>
          <w:bCs/>
          <w:color w:val="1F3A5F"/>
        </w:rPr>
        <w:t xml:space="preserve">RequestsReportCreator</w:t>
      </w:r>
      <w:r>
        <w:t xml:space="preserve">, </w:t>
      </w:r>
      <w:r>
        <w:rPr>
          <w:b/>
          <w:bCs/>
          <w:color w:val="1F3A5F"/>
        </w:rPr>
        <w:t xml:space="preserve">AccountingCsvCreator</w:t>
      </w:r>
      <w:r>
        <w:t xml:space="preserve">) сами решают, какой продукт — </w:t>
      </w:r>
      <w:r>
        <w:rPr>
          <w:b/>
          <w:bCs/>
          <w:color w:val="1F3A5F"/>
        </w:rPr>
        <w:t xml:space="preserve">PdfA4Renderer</w:t>
      </w:r>
      <w:r>
        <w:t xml:space="preserve">, </w:t>
      </w:r>
      <w:r>
        <w:rPr>
          <w:b/>
          <w:bCs/>
          <w:color w:val="1F3A5F"/>
        </w:rPr>
        <w:t xml:space="preserve">PdfLabelRenderer</w:t>
      </w:r>
      <w:r>
        <w:t xml:space="preserve">, </w:t>
      </w:r>
      <w:r>
        <w:rPr>
          <w:b/>
          <w:bCs/>
          <w:color w:val="1F3A5F"/>
        </w:rPr>
        <w:t xml:space="preserve">XlsxRenderer</w:t>
      </w:r>
      <w:r>
        <w:t xml:space="preserve"> или </w:t>
      </w:r>
      <w:r>
        <w:rPr>
          <w:b/>
          <w:bCs/>
          <w:color w:val="1F3A5F"/>
        </w:rPr>
        <w:t xml:space="preserve">CsvRenderer</w:t>
      </w:r>
      <w:r>
        <w:t xml:space="preserve"> — создать. Реестр </w:t>
      </w:r>
      <w:r>
        <w:rPr>
          <w:b/>
          <w:bCs/>
          <w:color w:val="1F3A5F"/>
        </w:rPr>
        <w:t xml:space="preserve">DocumentFactory</w:t>
      </w:r>
      <w:r>
        <w:t xml:space="preserve"> сопоставляет виду и формату документа нужного создателя, а модули обращаются только к фасаду отчётов: makeDocument(вид, источник, формат).</w:t>
      </w:r>
    </w:p>
    <w:p>
      <w:pPr>
        <w:spacing w:after="0" w:line="360"/>
        <w:ind w:firstLine="709"/>
        <w:jc w:val="both"/>
      </w:pPr>
      <w:r>
        <w:t xml:space="preserve">Когда заказчик утвердит формы актов, изменится один класс создателя, а не код трёх модулей; когда будет согласован формат обмена с 1С — один класс CsvRenderer. Абстрактная фабрика не выбрана, потому что у системы нет семейств взаимосвязанных продуктов: каждый документ — один продукт одного формата. Строитель полезен для пошаговой сборки сложного объекта клиентом, а здесь клиент лишь заказывает документ; при необходимости Строитель можно применить внутри XlsxRenderer. Внешний генератор отчётов потребовал бы ещё одного процесса и памяти на сервере, что противоречит драйверу Д6.</w:t>
      </w:r>
    </w:p>
    <w:p>
      <w:pPr>
        <w:spacing w:after="0" w:line="360"/>
        <w:ind w:firstLine="709"/>
        <w:jc w:val="both"/>
      </w:pPr>
      <w:r>
        <w:t xml:space="preserve">Ещё два шаблона упомянуты для полноты. Адаптер уже применён во второй работе (элемент Э6 — LDAP, SMTP, каталог CSV) и здесь не пересматривается. Одиночка сознательно не используется: единственный экземпляр шины и реестра документов создаётся в точке сборки приложения и передаётся через конструкторы, без глобального состояния, — так классы проще тестировать.</w:t>
      </w:r>
    </w:p>
    <w:p>
      <w:pPr>
        <w:pStyle w:val="Heading1"/>
        <w:keepNext/>
        <w:pBdr>
          <w:top w:val="single" w:color="E8EEF5" w:sz="12" w:space="6"/>
          <w:bottom w:val="single" w:color="E8EEF5" w:sz="12" w:space="6"/>
          <w:left w:val="single" w:color="1F3A5F" w:sz="36" w:space="6"/>
        </w:pBdr>
        <w:shd w:fill="E8EEF5" w:color="auto" w:val="clear"/>
        <w:spacing w:after="240" w:before="360"/>
      </w:pPr>
      <w:r>
        <w:rPr>
          <w:b/>
          <w:bCs/>
          <w:color w:val="1F3A5F"/>
          <w:sz w:val="30"/>
          <w:szCs w:val="30"/>
        </w:rPr>
        <w:t xml:space="preserve">4. Архитектурные схемы</w:t>
      </w:r>
    </w:p>
    <w:p>
      <w:pPr>
        <w:spacing w:after="0" w:line="360"/>
        <w:ind w:firstLine="709"/>
        <w:jc w:val="both"/>
      </w:pPr>
      <w:r>
        <w:t xml:space="preserve">Схемы построены в нотации UML. Принадлежность элемента шаблону показана двумя способами: стереотипом с ролью в шаблоне («Facade», «Subject», «Observer», «Strategy», «Creator», «Product» и т. д.) и цветом: синий — Фасад, зелёный — Наблюдатель, оранжевый — Стратегия, фиолетовый — Фабричный метод; белым показаны классы, не играющие роли в шаблонах. На рисунке 1 — обзор всех четырёх шаблонов в модулях сервера приложений.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color w:val="D9731A"/>
          <w:sz w:val="26"/>
          <w:szCs w:val="26"/>
        </w:rPr>
        <w:t xml:space="preserve">Рисунок 1</w:t>
      </w:r>
      <w:r>
        <w:rPr>
          <w:color w:val="5B6576"/>
          <w:sz w:val="26"/>
          <w:szCs w:val="26"/>
        </w:rPr>
        <w:t xml:space="preserve"> – Обзорная диаграмма классов: шаблоны в модулях сервера приложений</w:t>
      </w:r>
    </w:p>
    <w:p>
      <w:pPr>
        <w:spacing w:after="0" w:line="360"/>
        <w:ind w:firstLine="709"/>
        <w:jc w:val="both"/>
      </w:pPr>
      <w:r>
        <w:t xml:space="preserve">Каждый контроллер API-слоя обращается только к фасаду своего модуля, модули связаны между собой тоже только через фасады. Стратегия находится внутри модуля заявок, фабричный метод — внутри модуля отчётов, а шина событий и интерфейс наблюдателя — в общих сервисах, потому что подписчики есть в разных модулях. Детальные диаграммы каждого шаблона приведены на рисунках 2–5.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color w:val="D9731A"/>
          <w:sz w:val="26"/>
          <w:szCs w:val="26"/>
        </w:rPr>
        <w:t xml:space="preserve">Рисунок 2</w:t>
      </w:r>
      <w:r>
        <w:rPr>
          <w:color w:val="5B6576"/>
          <w:sz w:val="26"/>
          <w:szCs w:val="26"/>
        </w:rPr>
        <w:t xml:space="preserve"> – Диаграмма классов шаблона Фасад для модуля «Учёт техники»</w:t>
      </w:r>
    </w:p>
    <w:p>
      <w:pPr>
        <w:spacing w:after="0" w:line="360"/>
        <w:ind w:firstLine="709"/>
        <w:jc w:val="both"/>
      </w:pPr>
      <w:r>
        <w:t xml:space="preserve">Три клиента модуля видят только AssetRegistryFacade. За фасадом — пять внутренних классов модуля и общие сервисы: проверка прав, журнал аудита, управление транзакцией и шина событий, в которую фасад публикует событие AssetMoved.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color w:val="D9731A"/>
          <w:sz w:val="26"/>
          <w:szCs w:val="26"/>
        </w:rPr>
        <w:t xml:space="preserve">Рисунок 3</w:t>
      </w:r>
      <w:r>
        <w:rPr>
          <w:color w:val="5B6576"/>
          <w:sz w:val="26"/>
          <w:szCs w:val="26"/>
        </w:rPr>
        <w:t xml:space="preserve"> – Диаграмма классов шаблона Наблюдатель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4958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color w:val="D9731A"/>
          <w:sz w:val="26"/>
          <w:szCs w:val="26"/>
        </w:rPr>
        <w:t xml:space="preserve">Рисунок 4</w:t>
      </w:r>
      <w:r>
        <w:rPr>
          <w:color w:val="5B6576"/>
          <w:sz w:val="26"/>
          <w:szCs w:val="26"/>
        </w:rPr>
        <w:t xml:space="preserve"> – Диаграмма классов шаблона Стратегия для расчёта сроков</w:t>
      </w:r>
    </w:p>
    <w:p>
      <w:pPr>
        <w:spacing w:after="0" w:line="360"/>
        <w:ind w:firstLine="709"/>
        <w:jc w:val="both"/>
      </w:pPr>
      <w:r>
        <w:t xml:space="preserve">SlaClock на рисунке 4 одновременно конкретный наблюдатель и клиент контекста стратегии: так два шаблона соединяются без прямой зависимости фасада заявок от правил расчёта при смене статуса.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color w:val="D9731A"/>
          <w:sz w:val="26"/>
          <w:szCs w:val="26"/>
        </w:rPr>
        <w:t xml:space="preserve">Рисунок 5</w:t>
      </w:r>
      <w:r>
        <w:rPr>
          <w:color w:val="5B6576"/>
          <w:sz w:val="26"/>
          <w:szCs w:val="26"/>
        </w:rPr>
        <w:t xml:space="preserve"> – Диаграмма классов шаблона Фабричный метод для документов</w:t>
      </w:r>
    </w:p>
    <w:p>
      <w:pPr>
        <w:spacing w:after="0" w:line="360"/>
        <w:ind w:firstLine="709"/>
        <w:jc w:val="both"/>
      </w:pPr>
      <w:r>
        <w:t xml:space="preserve">Совместную работу шаблонов показывает диаграмма последовательности на рисунке 6 — специалист переводит заявку в статус «Выполнена».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color w:val="D9731A"/>
          <w:sz w:val="26"/>
          <w:szCs w:val="26"/>
        </w:rPr>
        <w:t xml:space="preserve">Рисунок 6</w:t>
      </w:r>
      <w:r>
        <w:rPr>
          <w:color w:val="5B6576"/>
          <w:sz w:val="26"/>
          <w:szCs w:val="26"/>
        </w:rPr>
        <w:t xml:space="preserve"> – Последовательность смены статуса заявки: Фасад, Наблюдатель и Стратегия</w:t>
      </w:r>
    </w:p>
    <w:p>
      <w:pPr>
        <w:spacing w:after="0" w:line="360"/>
        <w:ind w:firstLine="709"/>
        <w:jc w:val="both"/>
      </w:pPr>
      <w:r>
        <w:t xml:space="preserve">Фасад заявок проверяет права, проверяет допустимость перехода, пишет аудит и публикует событие (сообщения 1–6). В той же транзакции шина вызывает трёх наблюдателей: SlaClock через контекст DeadlineService передаёт расчёт стратегии IncidentSlaPolicy, RequesterNotifier записывает письмо в outbox, RepairHistoryRecorder передаёт затраты в модуль учёта техники — снова через фасад (сообщения 7–14). После фиксации транзакции клиент получает ответ, а письмо отправляет фоновый обработчик. Роли всех классов на схемах сведены в таблицу 5.</w:t>
      </w:r>
    </w:p>
    <w:p>
      <w:pPr>
        <w:keepNext/>
        <w:spacing w:after="80" w:before="200"/>
      </w:pPr>
      <w:r>
        <w:rPr>
          <w:b/>
          <w:bCs/>
          <w:color w:val="D9731A"/>
          <w:sz w:val="26"/>
          <w:szCs w:val="26"/>
        </w:rPr>
        <w:t xml:space="preserve">Таблица 5</w:t>
      </w:r>
      <w:r>
        <w:rPr>
          <w:color w:val="5B6576"/>
          <w:sz w:val="26"/>
          <w:szCs w:val="26"/>
        </w:rPr>
        <w:t xml:space="preserve"> – Классы и их роли в шаблонах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4100"/>
        <w:gridCol w:w="1438"/>
      </w:tblGrid>
      <w:tr>
        <w:trPr>
          <w:cantSplit/>
          <w:tblHeader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Шаблон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Роль в шаблоне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Классы системы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Модуль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Фасад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Facade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AssetRegistryFacade, RequestsFacade, InventoryFacade, ReportsFacade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Э3.3–Э3.6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Фасад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Подсистема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AssetRepository, MoveHistoryRepository, KitService, InventoryNumberValidator, RepairHistoryRepository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Э3.3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Наблюдатель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Subject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DomainEventBus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общие сервисы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Наблюдатель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Observer / ConcreteObserver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EventHandler / RequesterNotifier, SlaClock, RepairHistoryRecorder, ManagerNotifier, MoveActExporter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Э3.3, Э3.4, общие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Наблюдатель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RequestStatusChanged, RequestOverdue, StockBelowMinimum, AssetMoved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общие сервисы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Context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DeadlineService (выбор через SlaPolicyRegistry)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Э3.4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Strategy / ConcreteStrategy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SlaPolicy / IncidentSlaPolicy, PlannedMaintenanceSlaPolicy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Э3.4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Фабричный метод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Creator / ConcreteCreator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DocumentCreator / MoveActCreator, WriteOffActCreator, AssetLabelCreator, RequestsReportCreator, AccountingCsvCreator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Э3.6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Фабричный метод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Product / ConcreteProduct</w:t>
            </w:r>
          </w:p>
        </w:tc>
        <w:tc>
          <w:tcPr>
            <w:tcW w:type="dxa" w:w="4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DocumentRenderer / PdfA4Renderer, PdfLabelRenderer, XlsxRenderer, CsvRenderer</w:t>
            </w:r>
          </w:p>
        </w:tc>
        <w:tc>
          <w:tcPr>
            <w:tcW w:type="dxa" w:w="1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Э3.6</w:t>
            </w:r>
          </w:p>
        </w:tc>
      </w:tr>
    </w:tbl>
    <w:p>
      <w:pPr>
        <w:pStyle w:val="Heading1"/>
        <w:keepNext/>
        <w:pBdr>
          <w:top w:val="single" w:color="E8EEF5" w:sz="12" w:space="6"/>
          <w:bottom w:val="single" w:color="E8EEF5" w:sz="12" w:space="6"/>
          <w:left w:val="single" w:color="1F3A5F" w:sz="36" w:space="6"/>
        </w:pBdr>
        <w:shd w:fill="E8EEF5" w:color="auto" w:val="clear"/>
        <w:spacing w:after="240" w:before="360"/>
      </w:pPr>
      <w:r>
        <w:rPr>
          <w:b/>
          <w:bCs/>
          <w:color w:val="1F3A5F"/>
          <w:sz w:val="30"/>
          <w:szCs w:val="30"/>
        </w:rPr>
        <w:t xml:space="preserve">5. Сравнение альтернатив</w:t>
      </w:r>
    </w:p>
    <w:p>
      <w:pPr>
        <w:spacing w:after="0" w:line="360"/>
        <w:ind w:firstLine="709"/>
        <w:jc w:val="both"/>
      </w:pPr>
      <w:r>
        <w:t xml:space="preserve">Для сравнения выбран Наблюдатель: у него есть очевидная простая альтернатива — прямой вызов методов получателей из фасада заявок. Фрагменты метода changeStatus для обоих вариантов приведены ниже, связи — на рисунке 7.</w:t>
      </w:r>
    </w:p>
    <w:p>
      <w:pPr>
        <w:keepNext/>
        <w:spacing w:after="60" w:before="120" w:line="300"/>
      </w:pPr>
      <w:r>
        <w:rPr>
          <w:i/>
          <w:iCs/>
        </w:rPr>
        <w:t xml:space="preserve">а) Прямые вызовы</w:t>
      </w:r>
    </w:p>
    <w:p>
      <w:pPr>
        <w:keepNext/>
        <w:pBdr>
          <w:top w:val="single" w:color="C9D1DC" w:sz="4"/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def change_status(self, user, request_id, new_status):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    req, old = self._check_and_apply(user, request_id, new_status)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    self._deadlines.on_status_changed(req, old, new_status)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    self._mail_queue.add(requester_letter(req))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    if new_status == Status.DONE: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        self._assets.add_repair_record(req.asset_id, req.id, req.cost)</w:t>
      </w:r>
    </w:p>
    <w:p>
      <w:pPr>
        <w:keepNext w:val="false"/>
        <w:pBdr>
          <w:bottom w:val="single" w:color="C9D1DC" w:sz="4"/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    # каждая новая реакция — новая строка и новая зависимость здесь</w:t>
      </w:r>
    </w:p>
    <w:p>
      <w:pPr>
        <w:keepNext/>
        <w:spacing w:after="60" w:before="160" w:line="300"/>
      </w:pPr>
      <w:r>
        <w:rPr>
          <w:i/>
          <w:iCs/>
        </w:rPr>
        <w:t xml:space="preserve">б) Наблюдатель</w:t>
      </w:r>
    </w:p>
    <w:p>
      <w:pPr>
        <w:keepNext/>
        <w:pBdr>
          <w:top w:val="single" w:color="C9D1DC" w:sz="4"/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def change_status(self, user, request_id, new_status):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    req, old = self._check_and_apply(user, request_id, new_status)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    self._bus.publish(RequestStatusChanged(req.id, old, new_status, user.id))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# events_wiring.py — все подписки в одном месте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bus.subscribe(RequestStatusChanged, sla_clock)</w:t>
      </w:r>
    </w:p>
    <w:p>
      <w:pPr>
        <w:keepNext/>
        <w:pBdr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bus.subscribe(RequestStatusChanged, requester_notifier)</w:t>
      </w:r>
    </w:p>
    <w:p>
      <w:pPr>
        <w:keepNext w:val="false"/>
        <w:pBdr>
          <w:bottom w:val="single" w:color="C9D1DC" w:sz="4"/>
          <w:left w:val="single" w:color="C9D1DC" w:sz="4"/>
          <w:right w:val="single" w:color="C9D1DC" w:sz="4"/>
        </w:pBdr>
        <w:shd w:fill="F5F8FB" w:color="auto" w:val="clear"/>
        <w:spacing w:after="0" w:line="240"/>
        <w:ind w:left="284" w:right="284"/>
      </w:pPr>
      <w:r>
        <w:rPr>
          <w:rFonts w:ascii="Courier New" w:cs="Courier New" w:eastAsia="Courier New" w:hAnsi="Courier New"/>
          <w:sz w:val="19"/>
          <w:szCs w:val="19"/>
        </w:rPr>
        <w:t xml:space="preserve">bus.subscribe(RequestStatusChanged, repair_history_recorder)</w:t>
      </w:r>
    </w:p>
    <w:p>
      <w:pPr>
        <w:spacing w:after="0" w:line="24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5816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b/>
          <w:bCs/>
          <w:color w:val="D9731A"/>
          <w:sz w:val="26"/>
          <w:szCs w:val="26"/>
        </w:rPr>
        <w:t xml:space="preserve">Рисунок 7</w:t>
      </w:r>
      <w:r>
        <w:rPr>
          <w:color w:val="5B6576"/>
          <w:sz w:val="26"/>
          <w:szCs w:val="26"/>
        </w:rPr>
        <w:t xml:space="preserve"> – Зависимости фасада заявок: а) прямые вызовы; б) Наблюдатель</w:t>
      </w:r>
    </w:p>
    <w:p>
      <w:pPr>
        <w:keepNext/>
        <w:spacing w:after="80" w:before="200"/>
      </w:pPr>
      <w:r>
        <w:rPr>
          <w:b/>
          <w:bCs/>
          <w:color w:val="D9731A"/>
          <w:sz w:val="26"/>
          <w:szCs w:val="26"/>
        </w:rPr>
        <w:t xml:space="preserve">Таблица 6</w:t>
      </w:r>
      <w:r>
        <w:rPr>
          <w:color w:val="5B6576"/>
          <w:sz w:val="26"/>
          <w:szCs w:val="26"/>
        </w:rPr>
        <w:t xml:space="preserve"> – Сравнение прямых вызовов и шаблона Наблюдатель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cantSplit/>
          <w:tblHeader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Прямые вызовы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Наблюдатель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Связность</w:t>
            </w:r>
          </w:p>
        </w:tc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– RequestsFacade зависит от всех получателей (уже 3–4 класса, в том числе из модуля учёта техники)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+ одна зависимость — шина; получатели не известны издателю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Новая реакция на событие</w:t>
            </w:r>
          </w:p>
        </w:tc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– правка и повторное тестирование метода самого рискованного модуля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+ новый класс-обработчик и строка в EventWiring; фасад не меняется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Наглядность потока</w:t>
            </w:r>
          </w:p>
        </w:tc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+ вся последовательность видна в одном методе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– поток распределён; нужно смотреть список подписок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Порядок выполнения</w:t>
            </w:r>
          </w:p>
        </w:tc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+ задан явно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– по порядку регистрации; на порядок нельзя опираться в логике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Транзакция и ошибки</w:t>
            </w:r>
          </w:p>
        </w:tc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+ всё в одной транзакции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= то же при синхронной шине; асинхронная шина нарушила бы АК3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Тестирование</w:t>
            </w:r>
          </w:p>
        </w:tc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– для теста фасада нужны заглушки всех получателей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+ фасад проверяется по опубликованному событию, обработчики — отдельно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Объём кода и вхождение</w:t>
            </w:r>
          </w:p>
        </w:tc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+ меньше классов, понятно новичку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– шина, классы событий и обработчиков, правило «где искать реакцию»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+ без накладных расходов</w:t>
            </w:r>
          </w:p>
        </w:tc>
        <w:tc>
          <w:tcPr>
            <w:tcW w:type="dxa" w:w="3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22"/>
                <w:szCs w:val="22"/>
              </w:rPr>
              <w:t xml:space="preserve">= несколько вызовов через словарь подписок — пренебрежимо при десятках событий в минуту</w:t>
            </w:r>
          </w:p>
        </w:tc>
      </w:tr>
    </w:tbl>
    <w:p>
      <w:pPr>
        <w:spacing w:after="0" w:line="360"/>
        <w:ind w:firstLine="709"/>
        <w:jc w:val="both"/>
      </w:pPr>
      <w:r>
        <w:t xml:space="preserve">Прямые вызовы выигрывают по простоте и наглядности, пока реакций мало и они не меняются. В системе уже четыре вида событий и пять реакций, а их состав зависит от открытых вопросов первой работы, поэтому решающими стали критерии связности и стоимости изменений: с Наблюдателем добавление реакции не трогает модуль заявок, который вторая работа назвала элементом наибольшего риска. Минусы Наблюдателя компенсируются правилами: все подписки — в одном файле EventWiring, обработчики не зависят от порядка вызова, а автотест проверяет, что у каждого события есть ожидаемые подписчики.</w:t>
      </w:r>
    </w:p>
    <w:p>
      <w:pPr>
        <w:spacing w:after="0" w:line="360"/>
        <w:ind w:firstLine="709"/>
        <w:jc w:val="both"/>
      </w:pPr>
      <w:r>
        <w:t xml:space="preserve">При этом прямой вызов оставлен там, где действие обязательно и должно быть видно в коде: authorize и audit вызываются фасадом явно (п. 3.2). Шаблон применяется к необязательным, растущим реакциям, а не ко всем вызовам подряд.</w:t>
      </w:r>
    </w:p>
    <w:p>
      <w:pPr>
        <w:pStyle w:val="Heading1"/>
        <w:keepNext/>
        <w:pBdr>
          <w:top w:val="single" w:color="E8EEF5" w:sz="12" w:space="6"/>
          <w:bottom w:val="single" w:color="E8EEF5" w:sz="12" w:space="6"/>
          <w:left w:val="single" w:color="1F3A5F" w:sz="36" w:space="6"/>
        </w:pBdr>
        <w:shd w:fill="E8EEF5" w:color="auto" w:val="clear"/>
        <w:spacing w:after="240" w:before="360"/>
      </w:pPr>
      <w:r>
        <w:rPr>
          <w:b/>
          <w:bCs/>
          <w:color w:val="1F3A5F"/>
          <w:sz w:val="30"/>
          <w:szCs w:val="30"/>
        </w:rPr>
        <w:t xml:space="preserve">6. Выводы</w:t>
      </w:r>
    </w:p>
    <w:p>
      <w:pPr>
        <w:keepNext/>
        <w:spacing w:after="0" w:line="360"/>
        <w:ind w:firstLine="709"/>
      </w:pPr>
      <w:r>
        <w:rPr>
          <w:b/>
          <w:bCs/>
          <w:color w:val="1F3A5F"/>
        </w:rPr>
        <w:t xml:space="preserve">Преимущества интеграции шаблонов.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Фасады закрепили в коде границы модулей из второй работы и единую политику доступа: у каждого модуля один вход, и каждый метод этого входа проверяет права и пишет аудит. Модули можно сдавать по итерациям, не боясь, что изменение внутренней модели сломает уже принятые.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Наблюдатель вместе с транзакционным outbox отделил источники событий от получателей и сохранил гарантию второй работы: уведомление не теряется при отказе почты и перезапуске сервера.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Стратегия собрала правила расчёта сроков — самую сложную часть требований (F06–F07) — в один класс на тип заявки; нормы остались данными, которые меняет руководитель без программиста.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Фабричный метод сосредоточил места, зависящие от открытых вопросов (формы актов, формат обмена с 1С), в отдельных классах: ответы заказчика меняют один класс, а не три модуля.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Шаблоны дали команде общий словарь: в задачах и обсуждениях достаточно сказать «новый наблюдатель на AssetMoved» или «новый создатель документа».</w:t>
      </w:r>
    </w:p>
    <w:p>
      <w:pPr>
        <w:keepNext/>
        <w:spacing w:after="0" w:line="360"/>
        <w:ind w:firstLine="709"/>
      </w:pPr>
      <w:r>
        <w:rPr>
          <w:b/>
          <w:bCs/>
          <w:color w:val="1F3A5F"/>
        </w:rPr>
        <w:t xml:space="preserve">Новые риски и сложности.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Больше классов и уровней косвенности: вместо одного метода — фасад, шина, события, обработчики, реестры. Для одного серверного разработчика (Д6) это дополнительная работа в итерации 2; по грубой оценке, около 8–16 ч из 96 ч задачи T09.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Поток управления при Наблюдателе неявный: реакцию на событие нужно искать в списке подписок; ошибка в обработчике откатывает исходную операцию пользователя.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Фасад может разрастись в «божественный объект», а реестры стратегий и создателей — стать местом, которое забывают дополнить при добавлении класса.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t xml:space="preserve">Есть соблазн оверинжиниринга — добавлять шаблоны «на будущее». Поэтому Состояние, Одиночка, Абстрактная фабрика и Посредник рассмотрены и сознательно не применены.</w:t>
      </w:r>
    </w:p>
    <w:p>
      <w:pPr>
        <w:spacing w:after="0" w:line="360"/>
        <w:ind w:firstLine="709"/>
        <w:jc w:val="both"/>
      </w:pPr>
      <w:r>
        <w:t xml:space="preserve">Риски закрываются правилами разработки, которые проверяются автоматически в сборке (T05): запрет импорта внутренних пакетов чужих модулей, ориентир по числу методов фасада, тест полноты подписок и реестров, а также правило, что обработчик события не опирается на порядок вызова. Следующий шаг — детальное проектирование модуля «Заявки и обслуживание» в итерации 2 по выбранным шаблонам.</w:t>
      </w:r>
    </w:p>
    <w:p>
      <w:pPr>
        <w:pStyle w:val="Heading1"/>
        <w:keepNext/>
        <w:pBdr>
          <w:top w:val="single" w:color="E8EEF5" w:sz="12" w:space="6"/>
          <w:bottom w:val="single" w:color="E8EEF5" w:sz="12" w:space="6"/>
          <w:left w:val="single" w:color="1F3A5F" w:sz="36" w:space="6"/>
        </w:pBdr>
        <w:shd w:fill="E8EEF5" w:color="auto" w:val="clear"/>
        <w:spacing w:after="240" w:before="360"/>
      </w:pPr>
      <w:r>
        <w:rPr>
          <w:b/>
          <w:bCs/>
          <w:color w:val="1F3A5F"/>
          <w:sz w:val="30"/>
          <w:szCs w:val="30"/>
        </w:rPr>
        <w:t xml:space="preserve">7. Ссылки</w:t>
      </w:r>
    </w:p>
    <w:p>
      <w:pPr>
        <w:spacing w:after="0" w:line="360"/>
        <w:ind w:firstLine="709"/>
        <w:jc w:val="both"/>
      </w:pPr>
      <w:r>
        <w:rPr>
          <w:b/>
          <w:bCs/>
          <w:color w:val="2F6FB0"/>
        </w:rPr>
        <w:t xml:space="preserve">[1]</w:t>
      </w:r>
      <w:r>
        <w:t xml:space="preserve"> Гамма Э., Хелм Р., Джонсон Р., Влиссидес Дж. Приёмы объектно-ориентированного проектирования. Паттерны проектирования. — СПб.: Питер (оригинал: Gamma E. et al. Design Patterns: Elements of Reusable Object-Oriented Software. Addison-Wesley, 1994).</w:t>
      </w:r>
    </w:p>
    <w:p>
      <w:pPr>
        <w:spacing w:after="0" w:line="360"/>
        <w:ind w:firstLine="709"/>
        <w:jc w:val="both"/>
      </w:pPr>
      <w:r>
        <w:rPr>
          <w:b/>
          <w:bCs/>
          <w:color w:val="2F6FB0"/>
        </w:rPr>
        <w:t xml:space="preserve">[2]</w:t>
      </w:r>
      <w:r>
        <w:t xml:space="preserve"> Fowler M. Patterns of Enterprise Application Architecture. Boston: Addison-Wesley, 2002.</w:t>
      </w:r>
    </w:p>
    <w:p>
      <w:pPr>
        <w:spacing w:after="0" w:line="360"/>
        <w:ind w:firstLine="709"/>
        <w:jc w:val="both"/>
      </w:pPr>
      <w:r>
        <w:rPr>
          <w:b/>
          <w:bCs/>
          <w:color w:val="2F6FB0"/>
        </w:rPr>
        <w:t xml:space="preserve">[3]</w:t>
      </w:r>
      <w:r>
        <w:t xml:space="preserve"> Freeman E., Robson E. Head First Design Patterns. Sebastopol: O’Reilly, 2004.</w:t>
      </w:r>
    </w:p>
    <w:p>
      <w:pPr>
        <w:spacing w:after="0" w:line="360"/>
        <w:ind w:firstLine="709"/>
        <w:jc w:val="both"/>
      </w:pPr>
      <w:r>
        <w:rPr>
          <w:b/>
          <w:bCs/>
          <w:color w:val="2F6FB0"/>
        </w:rPr>
        <w:t xml:space="preserve">[4]</w:t>
      </w:r>
      <w:r>
        <w:t xml:space="preserve"> Richardson C. Pattern: Transactional outbox: https://microservices.io/patterns/data/transactional-outbox.html</w:t>
      </w:r>
    </w:p>
    <w:p>
      <w:pPr>
        <w:spacing w:after="0" w:line="360"/>
        <w:ind w:firstLine="709"/>
        <w:jc w:val="both"/>
      </w:pPr>
      <w:r>
        <w:rPr>
          <w:b/>
          <w:bCs/>
          <w:color w:val="2F6FB0"/>
        </w:rPr>
        <w:t xml:space="preserve">[5]</w:t>
      </w:r>
      <w:r>
        <w:t xml:space="preserve"> Фомичев Р.А. Практическая работа № 1. Программный проект. Процесс разработки ПО (документ требований ИС «Учёт и обслуживание компьютерной техники»). РТУ МИРЭА, 2026.</w:t>
      </w:r>
    </w:p>
    <w:p>
      <w:pPr>
        <w:spacing w:after="0" w:line="360"/>
        <w:ind w:firstLine="709"/>
        <w:jc w:val="both"/>
      </w:pPr>
      <w:r>
        <w:rPr>
          <w:b/>
          <w:bCs/>
          <w:color w:val="2F6FB0"/>
        </w:rPr>
        <w:t xml:space="preserve">[6]</w:t>
      </w:r>
      <w:r>
        <w:t xml:space="preserve"> Фомичев Р.А. Практическая работа № 2. Атрибутный метод проектирования архитектуры. РТУ МИРЭА, 2026.</w:t>
      </w:r>
    </w:p>
    <w:p>
      <w:pPr>
        <w:pStyle w:val="Heading1"/>
        <w:keepNext/>
        <w:pBdr>
          <w:top w:val="single" w:color="E8EEF5" w:sz="12" w:space="6"/>
          <w:bottom w:val="single" w:color="E8EEF5" w:sz="12" w:space="6"/>
          <w:left w:val="single" w:color="1F3A5F" w:sz="36" w:space="6"/>
        </w:pBdr>
        <w:shd w:fill="E8EEF5" w:color="auto" w:val="clear"/>
        <w:spacing w:after="240" w:before="360"/>
      </w:pPr>
      <w:r>
        <w:rPr>
          <w:b/>
          <w:bCs/>
          <w:color w:val="1F3A5F"/>
          <w:sz w:val="30"/>
          <w:szCs w:val="30"/>
        </w:rPr>
        <w:t xml:space="preserve">Заключение</w:t>
      </w:r>
    </w:p>
    <w:p>
      <w:pPr>
        <w:spacing w:after="0" w:line="360"/>
        <w:ind w:firstLine="709"/>
        <w:jc w:val="both"/>
      </w:pPr>
      <w:r>
        <w:t xml:space="preserve">Для системы учёта и обслуживания компьютерной техники выявлены четыре проблемы проектирования микроуровня и для каждой выбран шаблон: Фасад скрывает сложность модулей и закрепляет единую политику доступа, Наблюдатель в связке с транзакционным outbox доставляет уведомления об изменениях без потерь, Стратегия разделяет алгоритмы расчёта сроков заявок, Фабричный метод централизует создание документов, формы которых ещё уточняются. Для каждого выбора рассмотрены и отклонены альтернативы; построены обзорная и четыре детальные диаграммы классов и диаграмма последовательности с пометкой ролей шаблонов. Сравнение Наблюдателя с прямыми вызовами показало, что шаблон выигрывает по связности и стоимости изменений ценой меньшей наглядности потока. Интеграция шаблонов уменьшила связность и локализовала будущие изменения, но добавила классы и косвенность; эти риски ограничены автоматически проверяемыми правилами разработки.</w:t>
      </w:r>
    </w:p>
    <w:sectPr>
      <w:headerReference w:type="default" r:id="rId7"/>
      <w:footerReference w:type="default" r:id="rId8"/>
      <w:pgSz w:w="11906" w:h="16838" w:orient="portrait"/>
      <w:pgMar w:top="1134" w:right="567" w:bottom="1134" w:left="1701" w:header="567" w:footer="567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5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19AAB"/>
        <w:sz w:val="16"/>
        <w:szCs w:val="16"/>
      </w:rPr>
      <w:t xml:space="preserve">ПР-3 · Шаблоны проектирования в архитектуре программных систем · Отчёт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57d1812ca63bf154098019c88cfad940268fe0.png"/><Relationship Id="rId10" Type="http://schemas.openxmlformats.org/officeDocument/2006/relationships/image" Target="media/c33c9cd561ccb4f10184d56960f81ab18466b4b6.png"/><Relationship Id="rId11" Type="http://schemas.openxmlformats.org/officeDocument/2006/relationships/image" Target="media/33fe49d67c91e8104c1f6789abc9deeb55beef57.png"/><Relationship Id="rId12" Type="http://schemas.openxmlformats.org/officeDocument/2006/relationships/image" Target="media/c05ddc1c188dec268da570ddd1e94443368100e1.png"/><Relationship Id="rId13" Type="http://schemas.openxmlformats.org/officeDocument/2006/relationships/image" Target="media/7161480753bb4157714a1f0355caa5442d970223.png"/><Relationship Id="rId14" Type="http://schemas.openxmlformats.org/officeDocument/2006/relationships/image" Target="media/88c9861be6d1f64aa6753eb897bc02e19ea8b836.png"/><Relationship Id="rId15" Type="http://schemas.openxmlformats.org/officeDocument/2006/relationships/image" Target="media/56d51932819b6b24c82109b5fb9cab758ee03abd.png"/><Relationship Id="rId16" Type="http://schemas.openxmlformats.org/officeDocument/2006/relationships/image" Target="media/5c33df82acf17c823604f25adde135871a66819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3. Шаблоны проектирования</dc:title>
  <dc:creator>Фомичев Р.А.</dc:creator>
  <cp:lastModifiedBy>Un-named</cp:lastModifiedBy>
  <cp:revision>1</cp:revision>
  <dcterms:created xsi:type="dcterms:W3CDTF">2026-10-18T09:21:55.473Z</dcterms:created>
  <dcterms:modified xsi:type="dcterms:W3CDTF">2026-10-18T09:21:55.473Z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