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pPr>
        <w:pStyle w:val="Title"/>
      </w:pPr>
      <w:r>
        <w:t>CAHIER DES CHARGES</w:t>
      </w:r>
    </w:p>
    <w:p>
      <w:pPr>
        <w:pStyle w:val="Heading1"/>
      </w:pPr>
      <w:r>
        <w:t>Application de gestion des boutiques</w:t>
      </w:r>
    </w:p>
    <w:p>
      <w:pPr>
        <w:spacing w:after="120" w:line="276" w:lineRule="auto"/>
        <w:jc w:val="both"/>
        <w:rPr>
          <w:rFonts w:ascii="Helvetica Neue" w:eastAsia="Helvetica Neue" w:hAnsi="Helvetica Neue" w:cs="Helvetica Neue"/>
        </w:rPr>
      </w:pPr>
      <w:r>
        <w:t>Fonctionnalités et règles de gestion soumises à validation</w:t>
      </w:r>
    </w:p>
    <w:p>
      <w:pPr>
        <w:spacing w:after="120" w:line="276" w:lineRule="auto"/>
        <w:jc w:val="both"/>
        <w:rPr>
          <w:rFonts w:ascii="Helvetica Neue" w:eastAsia="Helvetica Neue" w:hAnsi="Helvetica Neue" w:cs="Helvetica Neue"/>
        </w:rPr>
      </w:pPr>
      <w:r>
        <w:t>Version 1.0 • 19 septembre 2026</w:t>
      </w:r>
    </w:p>
    <w:p>
      <w:pPr>
        <w:spacing w:after="120" w:line="276" w:lineRule="auto"/>
        <w:jc w:val="both"/>
        <w:rPr>
          <w:rFonts w:ascii="Helvetica Neue" w:eastAsia="Helvetica Neue" w:hAnsi="Helvetica Neue" w:cs="Helvetica Neue"/>
        </w:rPr>
      </w:pPr>
      <w:r>
        <w:t>Destinataire : le propriétaire des boutiques</w:t>
      </w:r>
    </w:p>
    <w:p>
      <w:pPr>
        <w:spacing w:after="120" w:line="276" w:lineRule="auto"/>
        <w:jc w:val="both"/>
        <w:rPr>
          <w:rFonts w:ascii="Helvetica Neue" w:eastAsia="Helvetica Neue" w:hAnsi="Helvetica Neue" w:cs="Helvetica Neue"/>
        </w:rPr>
      </w:pPr>
      <w:r>
        <w:t>Entreprise et nom du représentant : à compléter</w:t>
      </w:r>
    </w:p>
    <w:p>
      <w:pPr>
        <w:pStyle w:val="Heading2"/>
      </w:pPr>
      <w:r>
        <w:t>Objet de la validation</w:t>
      </w:r>
    </w:p>
    <w:p>
      <w:pPr>
        <w:spacing w:after="120" w:line="276" w:lineRule="auto"/>
        <w:jc w:val="both"/>
        <w:rPr>
          <w:rFonts w:ascii="Helvetica Neue" w:eastAsia="Helvetica Neue" w:hAnsi="Helvetica Neue" w:cs="Helvetica Neue"/>
        </w:rPr>
      </w:pPr>
      <w:r>
        <w:t>Ce document décrit les fonctionnalités proposées pour suivre les ventes, les fonds et les stocks de plusieurs boutiques. Il précise les responsabilités du propriétaire et des gérants, les circuits de réapprovisionnement et les contrôles nécessaires pour disposer de données vérifiables.</w:t>
      </w:r>
    </w:p>
    <w:p>
      <w:pPr>
        <w:spacing w:after="120" w:line="276" w:lineRule="auto"/>
        <w:jc w:val="both"/>
        <w:rPr>
          <w:rFonts w:ascii="Helvetica Neue" w:eastAsia="Helvetica Neue" w:hAnsi="Helvetica Neue" w:cs="Helvetica Neue"/>
        </w:rPr>
      </w:pPr>
      <w:r>
        <w:t>Le client est invité à confirmer le périmètre, à répondre aux points ouverts et à indiquer les modifications souhaitées. La validation porte sur le besoin fonctionnel ; elle ne constitue pas un engagement sur un prix ou un délai de réalisation.</w:t>
      </w:r>
    </w:p>
    <w:p>
      <w:pPr>
        <w:pStyle w:val="Heading2"/>
      </w:pPr>
      <w:r>
        <w:t>Besoin central</w:t>
      </w:r>
    </w:p>
    <w:p>
      <w:pPr>
        <w:spacing w:after="120" w:line="276" w:lineRule="auto"/>
        <w:jc w:val="both"/>
        <w:rPr>
          <w:rFonts w:ascii="Helvetica Neue" w:eastAsia="Helvetica Neue" w:hAnsi="Helvetica Neue" w:cs="Helvetica Neue"/>
        </w:rPr>
      </w:pPr>
      <w:r>
        <w:t>Permettre au propriétaire de retracer les opérations de son activité, globalement et par boutique, depuis leur enregistrement jusqu’à leur vérification, en conservant leur auteur, leurs justificatifs et les éventuels écarts.</w:t>
      </w:r>
    </w:p>
    <w:p>
      <w:pPr>
        <w:pStyle w:val="Heading1"/>
        <w:pageBreakBefore/>
      </w:pPr>
      <w:r>
        <w:t>1 Contexte et périmètre</w:t>
      </w:r>
    </w:p>
    <w:p>
      <w:pPr>
        <w:pStyle w:val="Heading2"/>
      </w:pPr>
      <w:r>
        <w:t>1 1 Situation actuelle et besoins confirmés</w:t>
      </w:r>
    </w:p>
    <w:p>
      <w:pPr>
        <w:spacing w:after="120" w:line="276" w:lineRule="auto"/>
        <w:jc w:val="both"/>
        <w:rPr>
          <w:rFonts w:ascii="Helvetica Neue" w:eastAsia="Helvetica Neue" w:hAnsi="Helvetica Neue" w:cs="Helvetica Neue"/>
        </w:rPr>
      </w:pPr>
      <w:r>
        <w:t>Le client possède actuellement trois boutiques. Il se déplace régulièrement et confie leur gestion à des gérants. Les enregistrements actuels sont peu fiables et ne permettent pas de retracer avec suffisamment de précision les fonds, les revenus et les stocks. Des sorties de fonds peuvent ainsi rester sans explication vérifiable.</w:t>
      </w:r>
    </w:p>
    <w:p>
      <w:pPr>
        <w:spacing w:after="120" w:line="276" w:lineRule="auto"/>
        <w:jc w:val="both"/>
        <w:rPr>
          <w:rFonts w:ascii="Helvetica Neue" w:eastAsia="Helvetica Neue" w:hAnsi="Helvetica Neue" w:cs="Helvetica Neue"/>
        </w:rPr>
      </w:pPr>
      <w:r>
        <w:t>Les besoins confirmés sont la création de nouvelles boutiques, une interface propre à chaque gérant, une vue globale pour le propriétaire, des demandes soumises à validation et deux circuits d’achat : achat par le gérant après autorisation, ou achat par le propriétaire suivi d’une remise au gérant.</w:t>
      </w:r>
    </w:p>
    <w:p>
      <w:pPr>
        <w:pStyle w:val="Heading2"/>
      </w:pPr>
      <w:r>
        <w:t>1 2 Périmètre fonctionnel proposé</w:t>
      </w:r>
    </w:p>
    <w:p>
      <w:pPr>
        <w:spacing w:after="120" w:line="276" w:lineRule="auto"/>
        <w:jc w:val="both"/>
        <w:rPr>
          <w:rFonts w:ascii="Helvetica Neue" w:eastAsia="Helvetica Neue" w:hAnsi="Helvetica Neue" w:cs="Helvetica Neue"/>
        </w:rPr>
      </w:pPr>
      <w:r>
        <w:t>Le périmètre comprend les boutiques et utilisateurs, le catalogue de produits, les ventes et encaissements, les dépenses et remises de fonds, les achats et réapprovisionnements, les transferts, les clôtures de caisse, les inventaires, les validations, les rapports et l’historique des opérations.</w:t>
      </w:r>
    </w:p>
    <w:p>
      <w:pPr>
        <w:spacing w:after="120" w:line="276" w:lineRule="auto"/>
        <w:jc w:val="both"/>
        <w:rPr>
          <w:rFonts w:ascii="Helvetica Neue" w:eastAsia="Helvetica Neue" w:hAnsi="Helvetica Neue" w:cs="Helvetica Neue"/>
        </w:rPr>
      </w:pPr>
      <w:r>
        <w:t>Les règles présentées comme « proposées » ou « à confirmer » devront être approuvées avant la conception détaillée. Les fonctions optionnelles ne sont pas considérées comme incluses automatiquement.</w:t>
      </w:r>
    </w:p>
    <w:p>
      <w:pPr>
        <w:pStyle w:val="Heading2"/>
      </w:pPr>
      <w:r>
        <w:t>1 3 Limite de la source de vérité</w:t>
      </w:r>
    </w:p>
    <w:p>
      <w:pPr>
        <w:spacing w:after="120" w:line="276" w:lineRule="auto"/>
        <w:jc w:val="both"/>
        <w:rPr>
          <w:rFonts w:ascii="Helvetica Neue" w:eastAsia="Helvetica Neue" w:hAnsi="Helvetica Neue" w:cs="Helvetica Neue"/>
        </w:rPr>
      </w:pPr>
      <w:r>
        <w:t>L’application doit devenir le registre de référence de l’activité. Elle garantit la cohérence et la traçabilité des opérations enregistrées, mais ne constate pas seule une vente physique non saisie, la présence réelle des espèces ou l’existence des marchandises. Les clôtures, les inventaires et la vérification des justificatifs sont indispensables.</w:t>
      </w:r>
    </w:p>
    <w:p>
      <w:pPr>
        <w:pStyle w:val="Heading2"/>
      </w:pPr>
      <w:r>
        <w:t>Repères de lecture</w:t>
      </w:r>
    </w:p>
    <w:p>
      <w:pPr>
        <w:spacing w:after="120" w:line="276" w:lineRule="auto"/>
        <w:jc w:val="both"/>
        <w:rPr>
          <w:rFonts w:ascii="Helvetica Neue" w:eastAsia="Helvetica Neue" w:hAnsi="Helvetica Neue" w:cs="Helvetica Neue"/>
        </w:rPr>
      </w:pPr>
      <w:r>
        <w:t>Sections 2 à 4 : accès, produits et ventes. Sections 5 à 8 : fonds, achats, réapprovisionnements et transferts. Sections 9 à 12 : validations, contrôles, rapports et protection des données. Sections 13 à 15 : mise en service, critères de recette et validation client.</w:t>
      </w:r>
    </w:p>
    <w:p>
      <w:pPr>
        <w:pStyle w:val="Heading1"/>
        <w:pageBreakBefore/>
      </w:pPr>
      <w:r>
        <w:t>2 Utilisateurs et espaces de travail</w:t>
      </w:r>
    </w:p>
    <w:p>
      <w:pPr>
        <w:pStyle w:val="Heading2"/>
      </w:pPr>
      <w:r>
        <w:t>2 1 Espace du propriétaire</w:t>
      </w:r>
    </w:p>
    <w:p>
      <w:pPr>
        <w:spacing w:after="120" w:line="276" w:lineRule="auto"/>
        <w:jc w:val="both"/>
        <w:rPr>
          <w:rFonts w:ascii="Helvetica Neue" w:eastAsia="Helvetica Neue" w:hAnsi="Helvetica Neue" w:cs="Helvetica Neue"/>
        </w:rPr>
      </w:pPr>
      <w:r>
        <w:t>Le propriétaire accède à toutes les boutiques et peut filtrer les données par boutique, période, produit, utilisateur et statut. Il crée les boutiques, affecte les gérants, définit les prix et droits, traite les demandes et consulte les opérations à l’origine des indicateurs.</w:t>
      </w:r>
    </w:p>
    <w:p>
      <w:pPr>
        <w:spacing w:after="120" w:line="276" w:lineRule="auto"/>
        <w:jc w:val="both"/>
        <w:rPr>
          <w:rFonts w:ascii="Helvetica Neue" w:eastAsia="Helvetica Neue" w:hAnsi="Helvetica Neue" w:cs="Helvetica Neue"/>
        </w:rPr>
      </w:pPr>
      <w:r>
        <w:t>Son espace regroupe une synthèse d’activité, une liste des demandes en attente, les écarts à examiner, les achats en cours, les réceptions non confirmées et les clôtures manquantes. Il peut également enregistrer ses propres achats, apports de fonds, retraits et remises de marchandises.</w:t>
      </w:r>
    </w:p>
    <w:p>
      <w:pPr>
        <w:pStyle w:val="Heading2"/>
      </w:pPr>
      <w:r>
        <w:t>2 2 Espace du gérant</w:t>
      </w:r>
    </w:p>
    <w:p>
      <w:pPr>
        <w:spacing w:after="120" w:line="276" w:lineRule="auto"/>
        <w:jc w:val="both"/>
        <w:rPr>
          <w:rFonts w:ascii="Helvetica Neue" w:eastAsia="Helvetica Neue" w:hAnsi="Helvetica Neue" w:cs="Helvetica Neue"/>
        </w:rPr>
      </w:pPr>
      <w:r>
        <w:t>Le gérant accède uniquement aux boutiques qui lui sont affectées. Son interface permet d’enregistrer les ventes et paiements, consulter le stock, demander un réapprovisionnement ou des fonds, réaliser les achats autorisés, déclarer les dépenses, confirmer les réceptions et clôturer la caisse.</w:t>
      </w:r>
    </w:p>
    <w:p>
      <w:pPr>
        <w:spacing w:after="120" w:line="276" w:lineRule="auto"/>
        <w:jc w:val="both"/>
        <w:rPr>
          <w:rFonts w:ascii="Helvetica Neue" w:eastAsia="Helvetica Neue" w:hAnsi="Helvetica Neue" w:cs="Helvetica Neue"/>
        </w:rPr>
      </w:pPr>
      <w:r>
        <w:t>Il suit ses demandes et les décisions du propriétaire. Il peut transmettre une explication ou un justificatif complémentaire et déclarer une anomalie. Il ne peut pas approuver lui-même une demande nécessitant l’accord du propriétaire.</w:t>
      </w:r>
    </w:p>
    <w:p>
      <w:pPr>
        <w:pStyle w:val="Heading2"/>
      </w:pPr>
      <w:r>
        <w:t>2 3 Gestion des accès</w:t>
      </w:r>
    </w:p>
    <w:p>
      <w:pPr>
        <w:spacing w:after="120" w:line="276" w:lineRule="auto"/>
        <w:jc w:val="both"/>
        <w:rPr>
          <w:rFonts w:ascii="Helvetica Neue" w:eastAsia="Helvetica Neue" w:hAnsi="Helvetica Neue" w:cs="Helvetica Neue"/>
        </w:rPr>
      </w:pPr>
      <w:r>
        <w:t>Chaque personne utilise un compte nominatif. Les actions restent rattachées à leur auteur même après son départ. La désactivation d’un utilisateur empêche de nouvelles connexions sans effacer son historique. Une réaffectation ne modifie pas la boutique d’origine des opérations passées.</w:t>
      </w:r>
    </w:p>
    <w:p>
      <w:pPr>
        <w:spacing w:after="120" w:line="276" w:lineRule="auto"/>
        <w:jc w:val="both"/>
        <w:rPr>
          <w:rFonts w:ascii="Helvetica Neue" w:eastAsia="Helvetica Neue" w:hAnsi="Helvetica Neue" w:cs="Helvetica Neue"/>
        </w:rPr>
      </w:pPr>
      <w:r>
        <w:t>Le propriétaire peut créer, modifier et désactiver une boutique. La fermeture d’une boutique conserve les données ; les stocks restants, fonds et opérations ouvertes doivent être traités avant sa clôture définitive.</w:t>
      </w:r>
    </w:p>
    <w:p>
      <w:pPr>
        <w:pStyle w:val="Heading2"/>
      </w:pPr>
      <w:r>
        <w:t>Décisions attendues</w:t>
      </w:r>
    </w:p>
    <w:p>
      <w:pPr>
        <w:spacing w:after="120" w:line="276" w:lineRule="auto"/>
        <w:jc w:val="both"/>
        <w:rPr>
          <w:rFonts w:ascii="Helvetica Neue" w:eastAsia="Helvetica Neue" w:hAnsi="Helvetica Neue" w:cs="Helvetica Neue"/>
        </w:rPr>
      </w:pPr>
      <w:r>
        <w:t>Confirmer le nombre de gérants par boutique, la possibilité de gérer plusieurs boutiques, la visibilité des coûts et marges pour les gérants, ainsi que le besoin de profils vendeur, caissier, comptable ou superviseur. Ces profils supplémentaires sont optionnels à ce stade.</w:t>
      </w:r>
    </w:p>
    <w:p>
      <w:pPr>
        <w:pStyle w:val="Heading1"/>
        <w:pageBreakBefore/>
      </w:pPr>
      <w:r>
        <w:t>3 Produits et suivi des stocks</w:t>
      </w:r>
    </w:p>
    <w:p>
      <w:pPr>
        <w:pStyle w:val="Heading2"/>
      </w:pPr>
      <w:r>
        <w:t>3 1 Catalogue des produits</w:t>
      </w:r>
    </w:p>
    <w:p>
      <w:pPr>
        <w:spacing w:after="120" w:line="276" w:lineRule="auto"/>
        <w:jc w:val="both"/>
        <w:rPr>
          <w:rFonts w:ascii="Helvetica Neue" w:eastAsia="Helvetica Neue" w:hAnsi="Helvetica Neue" w:cs="Helvetica Neue"/>
        </w:rPr>
      </w:pPr>
      <w:r>
        <w:t>Chaque produit possède une référence unique, une désignation, une catégorie, une unité de gestion et un statut actif ou inactif. Le catalogue indique les prix de vente, les coûts d’achat utiles au suivi des marges et les boutiques dans lesquelles le produit est commercialisé. Une modification du prix courant ne réécrit pas les ventes passées.</w:t>
      </w:r>
    </w:p>
    <w:p>
      <w:pPr>
        <w:spacing w:after="120" w:line="276" w:lineRule="auto"/>
        <w:jc w:val="both"/>
        <w:rPr>
          <w:rFonts w:ascii="Helvetica Neue" w:eastAsia="Helvetica Neue" w:hAnsi="Helvetica Neue" w:cs="Helvetica Neue"/>
        </w:rPr>
      </w:pPr>
      <w:r>
        <w:t>Les seuils de stock minimum peuvent varier par produit et par boutique. L’archivage d’un produit conserve ses ventes et mouvements. Les codes-barres, tailles, couleurs, lots, dates de péremption et conversions carton/unité sont à confirmer selon l’activité.</w:t>
      </w:r>
    </w:p>
    <w:p>
      <w:pPr>
        <w:pStyle w:val="Heading2"/>
      </w:pPr>
      <w:r>
        <w:t>3 2 Registre des mouvements</w:t>
      </w:r>
    </w:p>
    <w:p>
      <w:pPr>
        <w:spacing w:after="120" w:line="276" w:lineRule="auto"/>
        <w:jc w:val="both"/>
        <w:rPr>
          <w:rFonts w:ascii="Helvetica Neue" w:eastAsia="Helvetica Neue" w:hAnsi="Helvetica Neue" w:cs="Helvetica Neue"/>
        </w:rPr>
      </w:pPr>
      <w:r>
        <w:t>Tout changement de quantité correspond à un mouvement identifié : stock initial, achat réceptionné, vente, retour, expédition, réception de transfert, perte, casse ou ajustement d’inventaire. Le mouvement précise le produit, la quantité, le lieu, la date, le responsable, le motif et l’opération d’origine.</w:t>
      </w:r>
    </w:p>
    <w:p>
      <w:pPr>
        <w:spacing w:after="120" w:line="276" w:lineRule="auto"/>
        <w:jc w:val="both"/>
        <w:rPr>
          <w:rFonts w:ascii="Helvetica Neue" w:eastAsia="Helvetica Neue" w:hAnsi="Helvetica Neue" w:cs="Helvetica Neue"/>
        </w:rPr>
      </w:pPr>
      <w:r>
        <w:t>Le stock ne peut pas être remplacé directement par une nouvelle valeur sans mouvement explicatif. Un ajustement requiert une justification et une validation selon les règles retenues. Le stock disponible exclut les produits encore en transit et les articles déclarés non vendables.</w:t>
      </w:r>
    </w:p>
    <w:p>
      <w:pPr>
        <w:pStyle w:val="Heading2"/>
      </w:pPr>
      <w:r>
        <w:t>3 3 Vue globale et localisation</w:t>
      </w:r>
    </w:p>
    <w:p>
      <w:pPr>
        <w:spacing w:after="120" w:line="276" w:lineRule="auto"/>
        <w:jc w:val="both"/>
        <w:rPr>
          <w:rFonts w:ascii="Helvetica Neue" w:eastAsia="Helvetica Neue" w:hAnsi="Helvetica Neue" w:cs="Helvetica Neue"/>
        </w:rPr>
      </w:pPr>
      <w:r>
        <w:t>Le propriétaire consulte le stock par boutique et le stock total du réseau. Les marchandises acquises mais non remises à une boutique restent localisées : détenues par le propriétaire, dans un dépôt éventuel, en transit ou à retirer chez le fournisseur si elles appartiennent déjà à l’activité.</w:t>
      </w:r>
    </w:p>
    <w:p>
      <w:pPr>
        <w:spacing w:after="120" w:line="276" w:lineRule="auto"/>
        <w:jc w:val="both"/>
        <w:rPr>
          <w:rFonts w:ascii="Helvetica Neue" w:eastAsia="Helvetica Neue" w:hAnsi="Helvetica Neue" w:cs="Helvetica Neue"/>
        </w:rPr>
      </w:pPr>
      <w:r>
        <w:t>Les quantités disponibles, en transit et non vendables sont présentées séparément. Une marchandise ne doit être comptée qu’une seule fois dans le stock global. Une demande approuvée ou une commande non réceptionnée ne crée pas de stock disponible.</w:t>
      </w:r>
    </w:p>
    <w:p>
      <w:pPr>
        <w:pStyle w:val="Heading2"/>
      </w:pPr>
      <w:r>
        <w:t>Règles proposées à valider</w:t>
      </w:r>
    </w:p>
    <w:p>
      <w:pPr>
        <w:spacing w:after="120" w:line="276" w:lineRule="auto"/>
        <w:jc w:val="both"/>
        <w:rPr>
          <w:rFonts w:ascii="Helvetica Neue" w:eastAsia="Helvetica Neue" w:hAnsi="Helvetica Neue" w:cs="Helvetica Neue"/>
        </w:rPr>
      </w:pPr>
      <w:r>
        <w:t>Bloquer par défaut une vente dépassant le stock disponible. Toute dérogation devra être autorisée et signalée. Confirmer l’existence d’un dépôt central et définir la méthode de valorisation du stock et du coût des produits vendus avant d’afficher des marges consolidées.</w:t>
      </w:r>
    </w:p>
    <w:p>
      <w:pPr>
        <w:pStyle w:val="Heading1"/>
        <w:pageBreakBefore/>
      </w:pPr>
      <w:r>
        <w:t>4 Ventes et encaissements</w:t>
      </w:r>
    </w:p>
    <w:p>
      <w:pPr>
        <w:pStyle w:val="Heading2"/>
      </w:pPr>
      <w:r>
        <w:t>4 1 Enregistrement des ventes</w:t>
      </w:r>
    </w:p>
    <w:p>
      <w:pPr>
        <w:spacing w:after="120" w:line="276" w:lineRule="auto"/>
        <w:jc w:val="both"/>
        <w:rPr>
          <w:rFonts w:ascii="Helvetica Neue" w:eastAsia="Helvetica Neue" w:hAnsi="Helvetica Neue" w:cs="Helvetica Neue"/>
        </w:rPr>
      </w:pPr>
      <w:r>
        <w:t>Le gérant sélectionne les produits, les quantités, les prix réellement appliqués et les éventuelles remises. La vente reçoit une référence unique et conserve la boutique, l’auteur, la date de l’opération et la date de saisie. Le total est calculé automatiquement. La validation diminue le stock une seule fois.</w:t>
      </w:r>
    </w:p>
    <w:p>
      <w:pPr>
        <w:spacing w:after="120" w:line="276" w:lineRule="auto"/>
        <w:jc w:val="both"/>
        <w:rPr>
          <w:rFonts w:ascii="Helvetica Neue" w:eastAsia="Helvetica Neue" w:hAnsi="Helvetica Neue" w:cs="Helvetica Neue"/>
        </w:rPr>
      </w:pPr>
      <w:r>
        <w:t>Les paiements précisent le montant, le mode utilisé et une référence de transaction lorsque nécessaire. Les modes proposés sont les espèces, le Mobile Money, le virement et la carte, à retenir selon les pratiques du client. La vente et son paiement restent des événements distincts et liés.</w:t>
      </w:r>
    </w:p>
    <w:p>
      <w:pPr>
        <w:pStyle w:val="Heading2"/>
      </w:pPr>
      <w:r>
        <w:t>4 2 Corrections et retours</w:t>
      </w:r>
    </w:p>
    <w:p>
      <w:pPr>
        <w:spacing w:after="120" w:line="276" w:lineRule="auto"/>
        <w:jc w:val="both"/>
        <w:rPr>
          <w:rFonts w:ascii="Helvetica Neue" w:eastAsia="Helvetica Neue" w:hAnsi="Helvetica Neue" w:cs="Helvetica Neue"/>
        </w:rPr>
      </w:pPr>
      <w:r>
        <w:t>Une vente validée ne peut pas être effacée discrètement. Une annulation, une remise exceptionnelle ou un remboursement suit un circuit d’autorisation et conserve la vente d’origine. Le remboursement est enregistré séparément avec son montant et son mode de paiement.</w:t>
      </w:r>
    </w:p>
    <w:p>
      <w:pPr>
        <w:spacing w:after="120" w:line="276" w:lineRule="auto"/>
        <w:jc w:val="both"/>
        <w:rPr>
          <w:rFonts w:ascii="Helvetica Neue" w:eastAsia="Helvetica Neue" w:hAnsi="Helvetica Neue" w:cs="Helvetica Neue"/>
        </w:rPr>
      </w:pPr>
      <w:r>
        <w:t>Un retour ne remet le produit en stock vendable qu’après confirmation de sa réception et de son état. Un article détérioré est identifié comme non vendable. Le retour d’un article et le remboursement du client peuvent avoir des dates différentes sans perdre leur lien.</w:t>
      </w:r>
    </w:p>
    <w:p>
      <w:pPr>
        <w:pStyle w:val="Heading2"/>
      </w:pPr>
      <w:r>
        <w:t>4 3 Règles de contrôle</w:t>
      </w:r>
    </w:p>
    <w:p>
      <w:pPr>
        <w:spacing w:after="120" w:line="276" w:lineRule="auto"/>
        <w:jc w:val="both"/>
        <w:rPr>
          <w:rFonts w:ascii="Helvetica Neue" w:eastAsia="Helvetica Neue" w:hAnsi="Helvetica Neue" w:cs="Helvetica Neue"/>
        </w:rPr>
      </w:pPr>
      <w:r>
        <w:t>Les ventes ordinaires respectant les prix et droits autorisés ne nécessitent pas d’accord préalable du propriétaire. Les prix, remises et exceptions sont encadrés par ses paramètres. Les montants du tableau de bord restent consultables jusqu’au détail de la vente et du paiement.</w:t>
      </w:r>
    </w:p>
    <w:p>
      <w:pPr>
        <w:spacing w:after="120" w:line="276" w:lineRule="auto"/>
        <w:jc w:val="both"/>
        <w:rPr>
          <w:rFonts w:ascii="Helvetica Neue" w:eastAsia="Helvetica Neue" w:hAnsi="Helvetica Neue" w:cs="Helvetica Neue"/>
        </w:rPr>
      </w:pPr>
      <w:r>
        <w:t>Un reçu pourra reprendre la référence, la boutique, la date, les articles, le total et le paiement. Le format, l’impression et le besoin de facturation sont à confirmer. Aucun paiement en ligne n’est exécuté par l’application dans le périmètre de base.</w:t>
      </w:r>
    </w:p>
    <w:p>
      <w:pPr>
        <w:pStyle w:val="Heading2"/>
      </w:pPr>
      <w:r>
        <w:t>Options à confirmer</w:t>
      </w:r>
    </w:p>
    <w:p>
      <w:pPr>
        <w:spacing w:after="120" w:line="276" w:lineRule="auto"/>
        <w:jc w:val="both"/>
        <w:rPr>
          <w:rFonts w:ascii="Helvetica Neue" w:eastAsia="Helvetica Neue" w:hAnsi="Helvetica Neue" w:cs="Helvetica Neue"/>
        </w:rPr>
      </w:pPr>
      <w:r>
        <w:t>Si le crédit est autorisé : identification du client, montant dû, échéance, paiements partiels successifs et liste des impayés. Les paiements mixtes et les plafonds de crédit doivent également être validés. Une vente à crédit ne doit jamais être présentée comme entièrement encaissée.</w:t>
      </w:r>
    </w:p>
    <w:p>
      <w:pPr>
        <w:pStyle w:val="Heading1"/>
        <w:pageBreakBefore/>
      </w:pPr>
      <w:r>
        <w:t>5 Fonds dépenses et remises d’argent</w:t>
      </w:r>
    </w:p>
    <w:p>
      <w:pPr>
        <w:pStyle w:val="Heading2"/>
      </w:pPr>
      <w:r>
        <w:t>5 1 Mouvements à distinguer</w:t>
      </w:r>
    </w:p>
    <w:p>
      <w:pPr>
        <w:spacing w:after="120" w:line="276" w:lineRule="auto"/>
        <w:jc w:val="both"/>
        <w:rPr>
          <w:rFonts w:ascii="Helvetica Neue" w:eastAsia="Helvetica Neue" w:hAnsi="Helvetica Neue" w:cs="Helvetica Neue"/>
        </w:rPr>
      </w:pPr>
      <w:r>
        <w:t>Le registre financier distingue les ventes encaissées, les apports du propriétaire, les avances pour achat, les dépenses, les achats payés, les remboursements clients, les transferts entre caisses et les sommes reversées au propriétaire. Un apport de fonds n’est pas une vente ; un transfert interne n’est pas un revenu supplémentaire.</w:t>
      </w:r>
    </w:p>
    <w:p>
      <w:pPr>
        <w:spacing w:after="120" w:line="276" w:lineRule="auto"/>
        <w:jc w:val="both"/>
        <w:rPr>
          <w:rFonts w:ascii="Helvetica Neue" w:eastAsia="Helvetica Neue" w:hAnsi="Helvetica Neue" w:cs="Helvetica Neue"/>
        </w:rPr>
      </w:pPr>
      <w:r>
        <w:t>Chaque mouvement précise la boutique ou le lieu concerné, le montant, la devise retenue, la date, l’auteur, le motif, la source et la destination des fonds, le mode de paiement et le justificatif applicable. Les opérations personnelles du propriétaire sont identifiées séparément des charges de fonctionnement.</w:t>
      </w:r>
    </w:p>
    <w:p>
      <w:pPr>
        <w:pStyle w:val="Heading2"/>
      </w:pPr>
      <w:r>
        <w:t>5 2 Demandes et réalisation des dépenses</w:t>
      </w:r>
    </w:p>
    <w:p>
      <w:pPr>
        <w:spacing w:after="120" w:line="276" w:lineRule="auto"/>
        <w:jc w:val="both"/>
        <w:rPr>
          <w:rFonts w:ascii="Helvetica Neue" w:eastAsia="Helvetica Neue" w:hAnsi="Helvetica Neue" w:cs="Helvetica Neue"/>
        </w:rPr>
      </w:pPr>
      <w:r>
        <w:t>Le gérant soumet une demande indiquant le motif, la catégorie, le montant estimé et l’urgence. Le propriétaire approuve, ajuste ou refuse. L’enregistrement de la dépense réelle indique le montant payé, la date, le bénéficiaire et les justificatifs. Une autorisation ne crée pas automatiquement une sortie d’argent.</w:t>
      </w:r>
    </w:p>
    <w:p>
      <w:pPr>
        <w:spacing w:after="120" w:line="276" w:lineRule="auto"/>
        <w:jc w:val="both"/>
        <w:rPr>
          <w:rFonts w:ascii="Helvetica Neue" w:eastAsia="Helvetica Neue" w:hAnsi="Helvetica Neue" w:cs="Helvetica Neue"/>
        </w:rPr>
      </w:pPr>
      <w:r>
        <w:t>Les seuils de validation préalable, les dépenses récurrentes et les urgences devront être définis. Une dépense réalisée sans autorisation, si sa déclaration est permise, reste marquée comme non autorisée et à régulariser. Un refus ultérieur ne doit pas effacer une sortie d’argent réellement survenue.</w:t>
      </w:r>
    </w:p>
    <w:p>
      <w:pPr>
        <w:pStyle w:val="Heading2"/>
      </w:pPr>
      <w:r>
        <w:t>5 3 Remises et avances</w:t>
      </w:r>
    </w:p>
    <w:p>
      <w:pPr>
        <w:spacing w:after="120" w:line="276" w:lineRule="auto"/>
        <w:jc w:val="both"/>
        <w:rPr>
          <w:rFonts w:ascii="Helvetica Neue" w:eastAsia="Helvetica Neue" w:hAnsi="Helvetica Neue" w:cs="Helvetica Neue"/>
        </w:rPr>
      </w:pPr>
      <w:r>
        <w:t>Toute remise de fonds suit deux confirmations : montant déclaré envoyé et montant déclaré reçu. Un écart est conservé et signalé. Les avances destinées à un achat sont liées à la demande concernée ; leur remise puis leur utilisation ne doivent pas être comptées comme deux dépenses du réseau.</w:t>
      </w:r>
    </w:p>
    <w:p>
      <w:pPr>
        <w:spacing w:after="120" w:line="276" w:lineRule="auto"/>
        <w:jc w:val="both"/>
        <w:rPr>
          <w:rFonts w:ascii="Helvetica Neue" w:eastAsia="Helvetica Neue" w:hAnsi="Helvetica Neue" w:cs="Helvetica Neue"/>
        </w:rPr>
      </w:pPr>
      <w:r>
        <w:t>À la clôture d’un achat, l’application rapproche les fonds confiés, les paiements justifiés et le reliquat. Le reliquat est restitué, remis en caisse ou réaffecté avec autorisation. Sa localisation doit rester connue. Le gérant ne peut pas déclarer la demande soldée en laissant des fonds inexpliqués.</w:t>
      </w:r>
    </w:p>
    <w:p>
      <w:pPr>
        <w:pStyle w:val="Heading2"/>
      </w:pPr>
      <w:r>
        <w:t>Exemple de contrôle</w:t>
      </w:r>
    </w:p>
    <w:p>
      <w:pPr>
        <w:spacing w:after="120" w:line="276" w:lineRule="auto"/>
        <w:jc w:val="both"/>
        <w:rPr>
          <w:rFonts w:ascii="Helvetica Neue" w:eastAsia="Helvetica Neue" w:hAnsi="Helvetica Neue" w:cs="Helvetica Neue"/>
        </w:rPr>
      </w:pPr>
      <w:r>
        <w:t>Pour une avance de 100 000 et un achat réel de 92 000 dans la devise retenue, le dossier doit expliquer les 8 000 restants. Le paiement de 92 000 est lié à l’achat sans créer une dépense supplémentaire lorsqu’il apparaît dans le registre financier.</w:t>
      </w:r>
    </w:p>
    <w:p>
      <w:pPr>
        <w:pStyle w:val="Heading1"/>
        <w:pageBreakBefore/>
      </w:pPr>
      <w:r>
        <w:t>6 Réapprovisionnement acheté par le gérant</w:t>
      </w:r>
    </w:p>
    <w:p>
      <w:pPr>
        <w:pStyle w:val="Heading2"/>
      </w:pPr>
      <w:r>
        <w:t>6 1 Demande et décision</w:t>
      </w:r>
    </w:p>
    <w:p>
      <w:pPr>
        <w:spacing w:after="120" w:line="276" w:lineRule="auto"/>
        <w:jc w:val="both"/>
        <w:rPr>
          <w:rFonts w:ascii="Helvetica Neue" w:eastAsia="Helvetica Neue" w:hAnsi="Helvetica Neue" w:cs="Helvetica Neue"/>
        </w:rPr>
      </w:pPr>
      <w:r>
        <w:t>Le gérant crée une demande pour sa boutique avec les produits, quantités, prix estimés, frais prévus, budget total, fournisseur envisagé et justification. Il indique s’il propose d’utiliser des fonds déjà disponibles ou demande une avance complémentaire. Il peut enregistrer un brouillon avant soumission.</w:t>
      </w:r>
    </w:p>
    <w:p>
      <w:pPr>
        <w:spacing w:after="120" w:line="276" w:lineRule="auto"/>
        <w:jc w:val="both"/>
        <w:rPr>
          <w:rFonts w:ascii="Helvetica Neue" w:eastAsia="Helvetica Neue" w:hAnsi="Helvetica Neue" w:cs="Helvetica Neue"/>
        </w:rPr>
      </w:pPr>
      <w:r>
        <w:t>Le propriétaire consulte la demande et le stock disponible. Il approuve, modifie ou refuse les lignes demandées. L’autorisation conserve les quantités, le budget plafond, la source de financement et les éventuelles conditions. Une décision partielle est possible et doit être clairement visible.</w:t>
      </w:r>
    </w:p>
    <w:p>
      <w:pPr>
        <w:pStyle w:val="Heading2"/>
      </w:pPr>
      <w:r>
        <w:t>6 2 Achat réalisé par le gérant</w:t>
      </w:r>
    </w:p>
    <w:p>
      <w:pPr>
        <w:spacing w:after="120" w:line="276" w:lineRule="auto"/>
        <w:jc w:val="both"/>
        <w:rPr>
          <w:rFonts w:ascii="Helvetica Neue" w:eastAsia="Helvetica Neue" w:hAnsi="Helvetica Neue" w:cs="Helvetica Neue"/>
        </w:rPr>
      </w:pPr>
      <w:r>
        <w:t>Après approbation et disponibilité des fonds, le gérant effectue lui-même l’achat. Il enregistre le fournisseur, la date, les produits acquis, les quantités, les prix unitaires réels, les frais et les justificatifs. Le paiement est lié à l’achat et à la demande approuvée.</w:t>
      </w:r>
    </w:p>
    <w:p>
      <w:pPr>
        <w:spacing w:after="120" w:line="276" w:lineRule="auto"/>
        <w:jc w:val="both"/>
        <w:rPr>
          <w:rFonts w:ascii="Helvetica Neue" w:eastAsia="Helvetica Neue" w:hAnsi="Helvetica Neue" w:cs="Helvetica Neue"/>
        </w:rPr>
      </w:pPr>
      <w:r>
        <w:t>Un dépassement ou une substitution dépassant les conditions accordées nécessite une demande complémentaire avant engagement. Si l’écart a déjà eu lieu, sa déclaration doit rester possible pour refléter la réalité, avec un statut de non-conformité à traiter. L’autorisation initiale reste consultable.</w:t>
      </w:r>
    </w:p>
    <w:p>
      <w:pPr>
        <w:pStyle w:val="Heading2"/>
      </w:pPr>
      <w:r>
        <w:t>6 3 Acquisition et entrée du stock</w:t>
      </w:r>
    </w:p>
    <w:p>
      <w:pPr>
        <w:spacing w:after="120" w:line="276" w:lineRule="auto"/>
        <w:jc w:val="both"/>
        <w:rPr>
          <w:rFonts w:ascii="Helvetica Neue" w:eastAsia="Helvetica Neue" w:hAnsi="Helvetica Neue" w:cs="Helvetica Neue"/>
        </w:rPr>
      </w:pPr>
      <w:r>
        <w:t>Le gérant confirme les quantités effectivement reçues en boutique et l’état des produits. Seules ces quantités deviennent disponibles à la vente. Si une partie reste chez le fournisseur ou en transit, elle est suivie séparément. Les réceptions partielles et livraisons complémentaires restent liées au même dossier.</w:t>
      </w:r>
    </w:p>
    <w:p>
      <w:pPr>
        <w:spacing w:after="120" w:line="276" w:lineRule="auto"/>
        <w:jc w:val="both"/>
        <w:rPr>
          <w:rFonts w:ascii="Helvetica Neue" w:eastAsia="Helvetica Neue" w:hAnsi="Helvetica Neue" w:cs="Helvetica Neue"/>
        </w:rPr>
      </w:pPr>
      <w:r>
        <w:t>La déclaration de réception du gérant rend le stock disponible sans attendre le contrôle documentaire final du propriétaire. Le dossier conserve une mention de contrôle en attente. Cette règle proposée évite de bloquer la vente de produits physiquement présents et reste à valider par le client.</w:t>
      </w:r>
    </w:p>
    <w:p>
      <w:pPr>
        <w:pStyle w:val="Heading2"/>
      </w:pPr>
      <w:r>
        <w:t>6 4 Contrôle et clôture</w:t>
      </w:r>
    </w:p>
    <w:p>
      <w:pPr>
        <w:spacing w:after="120" w:line="276" w:lineRule="auto"/>
        <w:jc w:val="both"/>
        <w:rPr>
          <w:rFonts w:ascii="Helvetica Neue" w:eastAsia="Helvetica Neue" w:hAnsi="Helvetica Neue" w:cs="Helvetica Neue"/>
        </w:rPr>
      </w:pPr>
      <w:r>
        <w:t>Le propriétaire rapproche l’autorisation, l’achat, le paiement, les justificatifs, les quantités reçues et le reliquat. Le dossier est clôturé lorsque les livraisons et fonds sont soldés et que les écarts ont reçu une décision explicite. Le fait que le même gérant achète et réceptionne reste visible dans l’historique.</w:t>
      </w:r>
    </w:p>
    <w:p>
      <w:pPr>
        <w:pStyle w:val="Heading1"/>
        <w:pageBreakBefore/>
      </w:pPr>
      <w:r>
        <w:t>7 Réapprovisionnement acheté par le propriétaire</w:t>
      </w:r>
    </w:p>
    <w:p>
      <w:pPr>
        <w:pStyle w:val="Heading2"/>
      </w:pPr>
      <w:r>
        <w:t>7 1 Déclenchement et achat</w:t>
      </w:r>
    </w:p>
    <w:p>
      <w:pPr>
        <w:spacing w:after="120" w:line="276" w:lineRule="auto"/>
        <w:jc w:val="both"/>
        <w:rPr>
          <w:rFonts w:ascii="Helvetica Neue" w:eastAsia="Helvetica Neue" w:hAnsi="Helvetica Neue" w:cs="Helvetica Neue"/>
        </w:rPr>
      </w:pPr>
      <w:r>
        <w:t>Le propriétaire peut répondre à une demande du gérant en choisissant de réaliser lui-même l’achat. Il peut aussi initier directement un réapprovisionnement sans demande préalable. Dans les deux cas, le dossier indique qu’il est l’acheteur et conserve le besoin ou le motif d’origine.</w:t>
      </w:r>
    </w:p>
    <w:p>
      <w:pPr>
        <w:spacing w:after="120" w:line="276" w:lineRule="auto"/>
        <w:jc w:val="both"/>
        <w:rPr>
          <w:rFonts w:ascii="Helvetica Neue" w:eastAsia="Helvetica Neue" w:hAnsi="Helvetica Neue" w:cs="Helvetica Neue"/>
        </w:rPr>
      </w:pPr>
      <w:r>
        <w:t>Il enregistre le fournisseur, les produits, les quantités, les coûts unitaires, les frais, les paiements et les justificatifs. Les marchandises sont localisées dès leur acquisition effective. La date d’achat, la date de paiement et la date de réception peuvent être différentes.</w:t>
      </w:r>
    </w:p>
    <w:p>
      <w:pPr>
        <w:pStyle w:val="Heading2"/>
      </w:pPr>
      <w:r>
        <w:t>7 2 Répartition et remise aux boutiques</w:t>
      </w:r>
    </w:p>
    <w:p>
      <w:pPr>
        <w:spacing w:after="120" w:line="276" w:lineRule="auto"/>
        <w:jc w:val="both"/>
        <w:rPr>
          <w:rFonts w:ascii="Helvetica Neue" w:eastAsia="Helvetica Neue" w:hAnsi="Helvetica Neue" w:cs="Helvetica Neue"/>
        </w:rPr>
      </w:pPr>
      <w:r>
        <w:t>Un même achat peut être réparti entre plusieurs boutiques. Le propriétaire indique pour chacune les produits et quantités affectés, puis confirme les quantités réellement expédiées ou remises. Chaque envoi possède une référence et un destinataire identifiable.</w:t>
      </w:r>
    </w:p>
    <w:p>
      <w:pPr>
        <w:spacing w:after="120" w:line="276" w:lineRule="auto"/>
        <w:jc w:val="both"/>
        <w:rPr>
          <w:rFonts w:ascii="Helvetica Neue" w:eastAsia="Helvetica Neue" w:hAnsi="Helvetica Neue" w:cs="Helvetica Neue"/>
        </w:rPr>
      </w:pPr>
      <w:r>
        <w:t>L’expédition diminue le stock disponible au lieu de départ et place les marchandises en transit. Elle ne les rend pas encore disponibles dans la boutique destinataire. Lors d’une remise directe, les confirmations de remise et de réception peuvent se suivre immédiatement mais restent distinctes.</w:t>
      </w:r>
    </w:p>
    <w:p>
      <w:pPr>
        <w:pStyle w:val="Heading2"/>
      </w:pPr>
      <w:r>
        <w:t>7 3 Confirmation par le gérant</w:t>
      </w:r>
    </w:p>
    <w:p>
      <w:pPr>
        <w:spacing w:after="120" w:line="276" w:lineRule="auto"/>
        <w:jc w:val="both"/>
        <w:rPr>
          <w:rFonts w:ascii="Helvetica Neue" w:eastAsia="Helvetica Neue" w:hAnsi="Helvetica Neue" w:cs="Helvetica Neue"/>
        </w:rPr>
      </w:pPr>
      <w:r>
        <w:t>Le gérant destinataire consulte l’envoi et saisit les quantités effectivement reçues ainsi que les produits manquants, supplémentaires ou détériorés. Il peut ajouter un commentaire et des photos. Il ne modifie pas la quantité déclarée expédiée par le propriétaire.</w:t>
      </w:r>
    </w:p>
    <w:p>
      <w:pPr>
        <w:spacing w:after="120" w:line="276" w:lineRule="auto"/>
        <w:jc w:val="both"/>
        <w:rPr>
          <w:rFonts w:ascii="Helvetica Neue" w:eastAsia="Helvetica Neue" w:hAnsi="Helvetica Neue" w:cs="Helvetica Neue"/>
        </w:rPr>
      </w:pPr>
      <w:r>
        <w:t>La confirmation met à jour le stock disponible de la boutique pour les quantités reçues et vendables. Une différence ouvre un écart à examiner ; le solde non reçu reste en transit ou litigieux jusqu’à une décision documentée. Un surplus ne doit pas créer de stock sans rapprochement de son origine.</w:t>
      </w:r>
    </w:p>
    <w:p>
      <w:pPr>
        <w:pStyle w:val="Heading2"/>
      </w:pPr>
      <w:r>
        <w:t>7 4 Traitement des différences</w:t>
      </w:r>
    </w:p>
    <w:p>
      <w:pPr>
        <w:spacing w:after="120" w:line="276" w:lineRule="auto"/>
        <w:jc w:val="both"/>
        <w:rPr>
          <w:rFonts w:ascii="Helvetica Neue" w:eastAsia="Helvetica Neue" w:hAnsi="Helvetica Neue" w:cs="Helvetica Neue"/>
        </w:rPr>
      </w:pPr>
      <w:r>
        <w:t>Le propriétaire peut faire compléter la livraison, corriger une erreur par une opération tracée ou constater une perte justifiée. La clôture exige le traitement du reliquat. Pour 50 articles expédiés et 45 reçus, les 5 articles restants restent visibles jusqu’à résolution.</w:t>
      </w:r>
    </w:p>
    <w:p>
      <w:pPr>
        <w:spacing w:after="120" w:line="276" w:lineRule="auto"/>
        <w:jc w:val="both"/>
        <w:rPr>
          <w:rFonts w:ascii="Helvetica Neue" w:eastAsia="Helvetica Neue" w:hAnsi="Helvetica Neue" w:cs="Helvetica Neue"/>
        </w:rPr>
      </w:pPr>
      <w:r>
        <w:t>La remise de produits déjà achetés n’enregistre aucune nouvelle dépense d’achat. Les frais de transport éventuels sont enregistrés séparément et reliés à l’envoi.</w:t>
      </w:r>
    </w:p>
    <w:p>
      <w:pPr>
        <w:pStyle w:val="Heading1"/>
        <w:pageBreakBefore/>
      </w:pPr>
      <w:r>
        <w:t>8 Transferts et suivi des dossiers</w:t>
      </w:r>
    </w:p>
    <w:p>
      <w:pPr>
        <w:pStyle w:val="Heading2"/>
      </w:pPr>
      <w:r>
        <w:t>8 1 Transferts entre boutiques</w:t>
      </w:r>
    </w:p>
    <w:p>
      <w:pPr>
        <w:spacing w:after="120" w:line="276" w:lineRule="auto"/>
        <w:jc w:val="both"/>
        <w:rPr>
          <w:rFonts w:ascii="Helvetica Neue" w:eastAsia="Helvetica Neue" w:hAnsi="Helvetica Neue" w:cs="Helvetica Neue"/>
        </w:rPr>
      </w:pPr>
      <w:r>
        <w:t>Un transfert peut être initié par le propriétaire ou demandé par un gérant. Il précise l’origine, la destination, les produits, les quantités et le motif. Après autorisation, le responsable de départ confirme l’expédition et le gérant destinataire confirme la réception réelle.</w:t>
      </w:r>
    </w:p>
    <w:p>
      <w:pPr>
        <w:spacing w:after="120" w:line="276" w:lineRule="auto"/>
        <w:jc w:val="both"/>
        <w:rPr>
          <w:rFonts w:ascii="Helvetica Neue" w:eastAsia="Helvetica Neue" w:hAnsi="Helvetica Neue" w:cs="Helvetica Neue"/>
        </w:rPr>
      </w:pPr>
      <w:r>
        <w:t>Le stock global est inchangé par un transfert normal. Le stock disponible de départ diminue à l’expédition ; le stock disponible d’arrivée augmente à la réception. Les quantités en transit sont identifiées séparément. Les retours de transfert suivent un mouvement inverse tracé.</w:t>
      </w:r>
    </w:p>
    <w:p>
      <w:pPr>
        <w:pStyle w:val="Heading2"/>
      </w:pPr>
      <w:r>
        <w:t>8 2 États suivis séparément</w:t>
      </w:r>
    </w:p>
    <w:p>
      <w:pPr>
        <w:spacing w:after="120" w:line="276" w:lineRule="auto"/>
        <w:jc w:val="both"/>
        <w:rPr>
          <w:rFonts w:ascii="Helvetica Neue" w:eastAsia="Helvetica Neue" w:hAnsi="Helvetica Neue" w:cs="Helvetica Neue"/>
        </w:rPr>
      </w:pPr>
      <w:r>
        <w:t>Pour éviter les ambiguïtés, chaque dossier présente séparément la décision, l’exécution, le règlement et le contrôle. Une demande peut être approuvée tout en restant non financée, partiellement achetée ou partiellement réceptionnée.</w:t>
      </w:r>
    </w:p>
    <w:tbl>
      <w:tblPr>
        <w:tblStyle w:val="a0"/>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200"/>
        <w:gridCol w:w="7160"/>
      </w:tblGrid>
      <w:tr w14:paraId="35733155" w14:textId="77777777">
        <w:trPr>
          <w:tblHeader/>
          <w:cantSplit/>
          <w:tblHeader/>
        </w:trPr>
        <w:tc>
          <w:tcPr>
            <w:tcW w:w="2200" w:type="dxa"/>
            <w:tcBorders>
              <w:top w:val="single" w:sz="4" w:space="0" w:color="BFBFBF"/>
              <w:left w:val="single" w:sz="4" w:space="0" w:color="BFBFBF"/>
              <w:bottom w:val="single" w:sz="4" w:space="0" w:color="BFBFBF"/>
              <w:right w:val="single" w:sz="4" w:space="0" w:color="BFBFBF"/>
            </w:tcBorders>
            <w:shd w:val="clear" w:color="auto" w:fill="E8EBF6"/>
            <w:tcMar>
              <w:top w:w="60" w:type="dxa"/>
              <w:left w:w="110" w:type="dxa"/>
              <w:bottom w:w="60" w:type="dxa"/>
              <w:right w:w="110" w:type="dxa"/>
            </w:tcMar>
            <w:vAlign w:val="center"/>
          </w:tcPr>
          <w:p>
            <w:pPr>
              <w:spacing w:before="50" w:after="50"/>
            </w:pPr>
            <w:r>
              <w:rPr>
                <w:sz w:val="20"/>
                <w:b/>
                <w:color w:val="000000"/>
              </w:rPr>
              <w:t>Suivi</w:t>
            </w:r>
          </w:p>
        </w:tc>
        <w:tc>
          <w:tcPr>
            <w:tcW w:w="7160" w:type="dxa"/>
            <w:tcBorders>
              <w:top w:val="single" w:sz="4" w:space="0" w:color="BFBFBF"/>
              <w:left w:val="single" w:sz="4" w:space="0" w:color="BFBFBF"/>
              <w:bottom w:val="single" w:sz="4" w:space="0" w:color="BFBFBF"/>
              <w:right w:val="single" w:sz="4" w:space="0" w:color="BFBFBF"/>
            </w:tcBorders>
            <w:shd w:val="clear" w:color="auto" w:fill="E8EBF6"/>
            <w:tcMar>
              <w:top w:w="60" w:type="dxa"/>
              <w:left w:w="110" w:type="dxa"/>
              <w:bottom w:w="60" w:type="dxa"/>
              <w:right w:w="110" w:type="dxa"/>
            </w:tcMar>
            <w:vAlign w:val="center"/>
          </w:tcPr>
          <w:p>
            <w:pPr>
              <w:spacing w:before="50" w:after="50"/>
            </w:pPr>
            <w:r>
              <w:rPr>
                <w:sz w:val="20"/>
                <w:b/>
                <w:color w:val="000000"/>
              </w:rPr>
              <w:t>États proposés</w:t>
            </w:r>
          </w:p>
        </w:tc>
      </w:tr>
      <w:tr w14:paraId="3DA7EC29" w14:textId="77777777">
        <w:trPr>
          <w:cantSplit/>
        </w:trPr>
        <w:tc>
          <w:tcPr>
            <w:tcW w:w="220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pPr>
              <w:spacing w:before="50" w:after="50"/>
            </w:pPr>
            <w:r>
              <w:rPr>
                <w:sz w:val="20"/>
                <w:color w:val="000000"/>
              </w:rPr>
              <w:t>Décision</w:t>
            </w:r>
          </w:p>
        </w:tc>
        <w:tc>
          <w:tcPr>
            <w:tcW w:w="716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pPr>
              <w:spacing w:before="50" w:after="50"/>
            </w:pPr>
            <w:r>
              <w:rPr>
                <w:sz w:val="20"/>
                <w:color w:val="000000"/>
              </w:rPr>
              <w:t>Brouillon, soumise, approuvée, partiellement approuvée, refusée, annulée</w:t>
            </w:r>
          </w:p>
        </w:tc>
      </w:tr>
      <w:tr w14:paraId="3DA7EC29" w14:textId="77777777">
        <w:trPr>
          <w:cantSplit/>
        </w:trPr>
        <w:tc>
          <w:tcPr>
            <w:tcW w:w="220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pPr>
              <w:spacing w:before="50" w:after="50"/>
            </w:pPr>
            <w:r>
              <w:rPr>
                <w:sz w:val="20"/>
                <w:color w:val="000000"/>
              </w:rPr>
              <w:t>Exécution</w:t>
            </w:r>
          </w:p>
        </w:tc>
        <w:tc>
          <w:tcPr>
            <w:tcW w:w="716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pPr>
              <w:spacing w:before="50" w:after="50"/>
            </w:pPr>
            <w:r>
              <w:rPr>
                <w:sz w:val="20"/>
                <w:color w:val="000000"/>
              </w:rPr>
              <w:t>À réaliser, en cours, partiellement réalisée, réalisée</w:t>
            </w:r>
          </w:p>
        </w:tc>
      </w:tr>
      <w:tr w14:paraId="3DA7EC29" w14:textId="77777777">
        <w:trPr>
          <w:cantSplit/>
        </w:trPr>
        <w:tc>
          <w:tcPr>
            <w:tcW w:w="220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pPr>
              <w:spacing w:before="50" w:after="50"/>
            </w:pPr>
            <w:r>
              <w:rPr>
                <w:sz w:val="20"/>
                <w:color w:val="000000"/>
              </w:rPr>
              <w:t>Réception</w:t>
            </w:r>
          </w:p>
        </w:tc>
        <w:tc>
          <w:tcPr>
            <w:tcW w:w="716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pPr>
              <w:spacing w:before="50" w:after="50"/>
            </w:pPr>
            <w:r>
              <w:rPr>
                <w:sz w:val="20"/>
                <w:color w:val="000000"/>
              </w:rPr>
              <w:t>Non reçue, partiellement reçue, reçue, écart à résoudre</w:t>
            </w:r>
          </w:p>
        </w:tc>
      </w:tr>
      <w:tr w14:paraId="3DA7EC29" w14:textId="77777777">
        <w:trPr>
          <w:cantSplit/>
        </w:trPr>
        <w:tc>
          <w:tcPr>
            <w:tcW w:w="220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pPr>
              <w:spacing w:before="50" w:after="50"/>
            </w:pPr>
            <w:r>
              <w:rPr>
                <w:sz w:val="20"/>
                <w:color w:val="000000"/>
              </w:rPr>
              <w:t>Fonds</w:t>
            </w:r>
          </w:p>
        </w:tc>
        <w:tc>
          <w:tcPr>
            <w:tcW w:w="716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pPr>
              <w:spacing w:before="50" w:after="50"/>
            </w:pPr>
            <w:r>
              <w:rPr>
                <w:sz w:val="20"/>
                <w:color w:val="000000"/>
              </w:rPr>
              <w:t>À financer, fonds reçus, utilisés en partie, reliquat à solder, soldés</w:t>
            </w:r>
          </w:p>
        </w:tc>
      </w:tr>
      <w:tr w14:paraId="3DA7EC29" w14:textId="77777777">
        <w:trPr>
          <w:cantSplit/>
        </w:trPr>
        <w:tc>
          <w:tcPr>
            <w:tcW w:w="220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pPr>
              <w:spacing w:before="50" w:after="50"/>
            </w:pPr>
            <w:r>
              <w:rPr>
                <w:sz w:val="20"/>
                <w:color w:val="000000"/>
              </w:rPr>
              <w:t>Contrôle</w:t>
            </w:r>
          </w:p>
        </w:tc>
        <w:tc>
          <w:tcPr>
            <w:tcW w:w="716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pPr>
              <w:spacing w:before="50" w:after="50"/>
            </w:pPr>
            <w:r>
              <w:rPr>
                <w:sz w:val="20"/>
                <w:color w:val="000000"/>
              </w:rPr>
              <w:t>À contrôler, complément demandé, écart en traitement, clôturé</w:t>
            </w:r>
          </w:p>
        </w:tc>
      </w:tr>
    </w:tbl>
    <w:p>
      <w:pPr>
        <w:pStyle w:val="Heading2"/>
      </w:pPr>
      <w:r>
        <w:t>8 3 Modification et annulation</w:t>
      </w:r>
    </w:p>
    <w:p>
      <w:pPr>
        <w:spacing w:after="120" w:line="276" w:lineRule="auto"/>
        <w:jc w:val="both"/>
        <w:rPr>
          <w:rFonts w:ascii="Helvetica Neue" w:eastAsia="Helvetica Neue" w:hAnsi="Helvetica Neue" w:cs="Helvetica Neue"/>
        </w:rPr>
      </w:pPr>
      <w:r>
        <w:t>Avant soumission, le demandeur peut modifier son brouillon. Après approbation, une modification importante produit une nouvelle version à valider ; l’accord précédent reste consultable. Une demande non exécutée peut être annulée avec motif.</w:t>
      </w:r>
    </w:p>
    <w:p>
      <w:pPr>
        <w:spacing w:after="120" w:line="276" w:lineRule="auto"/>
        <w:jc w:val="both"/>
        <w:rPr>
          <w:rFonts w:ascii="Helvetica Neue" w:eastAsia="Helvetica Neue" w:hAnsi="Helvetica Neue" w:cs="Helvetica Neue"/>
        </w:rPr>
      </w:pPr>
      <w:r>
        <w:t>Après un achat, une remise de fonds ou une expédition, l’annulation ne supprime pas les faits déjà enregistrés. Elle déclenche les opérations nécessaires : restitution de fonds, retour de produits ou ajustement autorisé. Un dossier clos peut être réexaminé uniquement avec une trace de réouverture.</w:t>
      </w:r>
    </w:p>
    <w:p>
      <w:pPr>
        <w:pStyle w:val="Heading1"/>
        <w:pageBreakBefore/>
      </w:pPr>
      <w:r>
        <w:t>9 Autorisations et responsabilités</w:t>
      </w:r>
    </w:p>
    <w:p>
      <w:pPr>
        <w:spacing w:after="120" w:line="276" w:lineRule="auto"/>
        <w:jc w:val="both"/>
        <w:rPr>
          <w:rFonts w:ascii="Helvetica Neue" w:eastAsia="Helvetica Neue" w:hAnsi="Helvetica Neue" w:cs="Helvetica Neue"/>
        </w:rPr>
      </w:pPr>
      <w:r>
        <w:t>La matrice suivante est une proposition à valider. Le propriétaire conserve la décision sur les opérations sensibles ; les ventes ordinaires doivent rester rapides. Toute décision enregistre son auteur, sa date, son périmètre et, en cas de refus ou d’exception, un motif.</w:t>
      </w:r>
    </w:p>
    <w:tbl>
      <w:tblPr>
        <w:tblStyle w:val="a0"/>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550"/>
        <w:gridCol w:w="3350"/>
        <w:gridCol w:w="3460"/>
      </w:tblGrid>
      <w:tr w14:paraId="35733155" w14:textId="77777777">
        <w:trPr>
          <w:tblHeader/>
          <w:cantSplit/>
          <w:tblHeader/>
        </w:trPr>
        <w:tc>
          <w:tcPr>
            <w:tcW w:w="2550" w:type="dxa"/>
            <w:tcBorders>
              <w:top w:val="single" w:sz="4" w:space="0" w:color="BFBFBF"/>
              <w:left w:val="single" w:sz="4" w:space="0" w:color="BFBFBF"/>
              <w:bottom w:val="single" w:sz="4" w:space="0" w:color="BFBFBF"/>
              <w:right w:val="single" w:sz="4" w:space="0" w:color="BFBFBF"/>
            </w:tcBorders>
            <w:shd w:val="clear" w:color="auto" w:fill="E8EBF6"/>
            <w:tcMar>
              <w:top w:w="60" w:type="dxa"/>
              <w:left w:w="110" w:type="dxa"/>
              <w:bottom w:w="60" w:type="dxa"/>
              <w:right w:w="110" w:type="dxa"/>
            </w:tcMar>
            <w:vAlign w:val="center"/>
          </w:tcPr>
          <w:p>
            <w:pPr>
              <w:spacing w:before="50" w:after="50"/>
            </w:pPr>
            <w:r>
              <w:rPr>
                <w:sz w:val="20"/>
                <w:b/>
                <w:color w:val="000000"/>
              </w:rPr>
              <w:t>Opération</w:t>
            </w:r>
          </w:p>
        </w:tc>
        <w:tc>
          <w:tcPr>
            <w:tcW w:w="3350" w:type="dxa"/>
            <w:tcBorders>
              <w:top w:val="single" w:sz="4" w:space="0" w:color="BFBFBF"/>
              <w:left w:val="single" w:sz="4" w:space="0" w:color="BFBFBF"/>
              <w:bottom w:val="single" w:sz="4" w:space="0" w:color="BFBFBF"/>
              <w:right w:val="single" w:sz="4" w:space="0" w:color="BFBFBF"/>
            </w:tcBorders>
            <w:shd w:val="clear" w:color="auto" w:fill="E8EBF6"/>
            <w:tcMar>
              <w:top w:w="60" w:type="dxa"/>
              <w:left w:w="110" w:type="dxa"/>
              <w:bottom w:w="60" w:type="dxa"/>
              <w:right w:w="110" w:type="dxa"/>
            </w:tcMar>
            <w:vAlign w:val="center"/>
          </w:tcPr>
          <w:p>
            <w:pPr>
              <w:spacing w:before="50" w:after="50"/>
            </w:pPr>
            <w:r>
              <w:rPr>
                <w:sz w:val="20"/>
                <w:b/>
                <w:color w:val="000000"/>
              </w:rPr>
              <w:t>Action du gérant</w:t>
            </w:r>
          </w:p>
        </w:tc>
        <w:tc>
          <w:tcPr>
            <w:tcW w:w="3460" w:type="dxa"/>
            <w:tcBorders>
              <w:top w:val="single" w:sz="4" w:space="0" w:color="BFBFBF"/>
              <w:left w:val="single" w:sz="4" w:space="0" w:color="BFBFBF"/>
              <w:bottom w:val="single" w:sz="4" w:space="0" w:color="BFBFBF"/>
              <w:right w:val="single" w:sz="4" w:space="0" w:color="BFBFBF"/>
            </w:tcBorders>
            <w:shd w:val="clear" w:color="auto" w:fill="E8EBF6"/>
            <w:tcMar>
              <w:top w:w="60" w:type="dxa"/>
              <w:left w:w="110" w:type="dxa"/>
              <w:bottom w:w="60" w:type="dxa"/>
              <w:right w:w="110" w:type="dxa"/>
            </w:tcMar>
            <w:vAlign w:val="center"/>
          </w:tcPr>
          <w:p>
            <w:pPr>
              <w:spacing w:before="50" w:after="50"/>
            </w:pPr>
            <w:r>
              <w:rPr>
                <w:sz w:val="20"/>
                <w:b/>
                <w:color w:val="000000"/>
              </w:rPr>
              <w:t>Rôle du propriétaire</w:t>
            </w:r>
          </w:p>
        </w:tc>
      </w:tr>
      <w:tr w14:paraId="3DA7EC29" w14:textId="77777777">
        <w:trPr>
          <w:cantSplit/>
        </w:trPr>
        <w:tc>
          <w:tcPr>
            <w:tcW w:w="255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pPr>
              <w:spacing w:before="50" w:after="50"/>
            </w:pPr>
            <w:r>
              <w:rPr>
                <w:sz w:val="20"/>
                <w:color w:val="000000"/>
              </w:rPr>
              <w:t>Vente au prix autorisé</w:t>
            </w:r>
          </w:p>
        </w:tc>
        <w:tc>
          <w:tcPr>
            <w:tcW w:w="335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pPr>
              <w:spacing w:before="50" w:after="50"/>
            </w:pPr>
            <w:r>
              <w:rPr>
                <w:sz w:val="20"/>
                <w:color w:val="000000"/>
              </w:rPr>
              <w:t>Enregistre directement</w:t>
            </w:r>
          </w:p>
        </w:tc>
        <w:tc>
          <w:tcPr>
            <w:tcW w:w="346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pPr>
              <w:spacing w:before="50" w:after="50"/>
            </w:pPr>
            <w:r>
              <w:rPr>
                <w:sz w:val="20"/>
                <w:color w:val="000000"/>
              </w:rPr>
              <w:t>Consulte et contrôle</w:t>
            </w:r>
          </w:p>
        </w:tc>
      </w:tr>
      <w:tr w14:paraId="3DA7EC29" w14:textId="77777777">
        <w:trPr>
          <w:cantSplit/>
        </w:trPr>
        <w:tc>
          <w:tcPr>
            <w:tcW w:w="255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pPr>
              <w:spacing w:before="50" w:after="50"/>
            </w:pPr>
            <w:r>
              <w:rPr>
                <w:sz w:val="20"/>
                <w:color w:val="000000"/>
              </w:rPr>
              <w:t>Réapprovisionnement</w:t>
            </w:r>
          </w:p>
        </w:tc>
        <w:tc>
          <w:tcPr>
            <w:tcW w:w="335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pPr>
              <w:spacing w:before="50" w:after="50"/>
            </w:pPr>
            <w:r>
              <w:rPr>
                <w:sz w:val="20"/>
                <w:color w:val="000000"/>
              </w:rPr>
              <w:t>Demande puis exécute si désigné acheteur</w:t>
            </w:r>
          </w:p>
        </w:tc>
        <w:tc>
          <w:tcPr>
            <w:tcW w:w="346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pPr>
              <w:spacing w:before="50" w:after="50"/>
            </w:pPr>
            <w:r>
              <w:rPr>
                <w:sz w:val="20"/>
                <w:color w:val="000000"/>
              </w:rPr>
              <w:t>Approuve le besoin, le budget et le circuit</w:t>
            </w:r>
          </w:p>
        </w:tc>
      </w:tr>
      <w:tr w14:paraId="3DA7EC29" w14:textId="77777777">
        <w:trPr>
          <w:cantSplit/>
        </w:trPr>
        <w:tc>
          <w:tcPr>
            <w:tcW w:w="255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pPr>
              <w:spacing w:before="50" w:after="50"/>
            </w:pPr>
            <w:r>
              <w:rPr>
                <w:sz w:val="20"/>
                <w:color w:val="000000"/>
              </w:rPr>
              <w:t>Demande de fonds</w:t>
            </w:r>
          </w:p>
        </w:tc>
        <w:tc>
          <w:tcPr>
            <w:tcW w:w="335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pPr>
              <w:spacing w:before="50" w:after="50"/>
            </w:pPr>
            <w:r>
              <w:rPr>
                <w:sz w:val="20"/>
                <w:color w:val="000000"/>
              </w:rPr>
              <w:t>Demande et confirme la réception</w:t>
            </w:r>
          </w:p>
        </w:tc>
        <w:tc>
          <w:tcPr>
            <w:tcW w:w="346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pPr>
              <w:spacing w:before="50" w:after="50"/>
            </w:pPr>
            <w:r>
              <w:rPr>
                <w:sz w:val="20"/>
                <w:color w:val="000000"/>
              </w:rPr>
              <w:t>Autorise et enregistre la remise</w:t>
            </w:r>
          </w:p>
        </w:tc>
      </w:tr>
      <w:tr w14:paraId="3DA7EC29" w14:textId="77777777">
        <w:trPr>
          <w:cantSplit/>
        </w:trPr>
        <w:tc>
          <w:tcPr>
            <w:tcW w:w="255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pPr>
              <w:spacing w:before="50" w:after="50"/>
            </w:pPr>
            <w:r>
              <w:rPr>
                <w:sz w:val="20"/>
                <w:color w:val="000000"/>
              </w:rPr>
              <w:t>Dépense</w:t>
            </w:r>
          </w:p>
        </w:tc>
        <w:tc>
          <w:tcPr>
            <w:tcW w:w="335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pPr>
              <w:spacing w:before="50" w:after="50"/>
            </w:pPr>
            <w:r>
              <w:rPr>
                <w:sz w:val="20"/>
                <w:color w:val="000000"/>
              </w:rPr>
              <w:t>Demande puis déclare le paiement réel</w:t>
            </w:r>
          </w:p>
        </w:tc>
        <w:tc>
          <w:tcPr>
            <w:tcW w:w="346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pPr>
              <w:spacing w:before="50" w:after="50"/>
            </w:pPr>
            <w:r>
              <w:rPr>
                <w:sz w:val="20"/>
                <w:color w:val="000000"/>
              </w:rPr>
              <w:t>Valide selon seuils à définir</w:t>
            </w:r>
          </w:p>
        </w:tc>
      </w:tr>
      <w:tr w14:paraId="3DA7EC29" w14:textId="77777777">
        <w:trPr>
          <w:cantSplit/>
        </w:trPr>
        <w:tc>
          <w:tcPr>
            <w:tcW w:w="255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pPr>
              <w:spacing w:before="50" w:after="50"/>
            </w:pPr>
            <w:r>
              <w:rPr>
                <w:sz w:val="20"/>
                <w:color w:val="000000"/>
              </w:rPr>
              <w:t>Achat du propriétaire</w:t>
            </w:r>
          </w:p>
        </w:tc>
        <w:tc>
          <w:tcPr>
            <w:tcW w:w="335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pPr>
              <w:spacing w:before="50" w:after="50"/>
            </w:pPr>
            <w:r>
              <w:rPr>
                <w:sz w:val="20"/>
                <w:color w:val="000000"/>
              </w:rPr>
              <w:t>Confirme les produits reçus</w:t>
            </w:r>
          </w:p>
        </w:tc>
        <w:tc>
          <w:tcPr>
            <w:tcW w:w="346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pPr>
              <w:spacing w:before="50" w:after="50"/>
            </w:pPr>
            <w:r>
              <w:rPr>
                <w:sz w:val="20"/>
                <w:color w:val="000000"/>
              </w:rPr>
              <w:t>Achète, répartit et déclare l’envoi</w:t>
            </w:r>
          </w:p>
        </w:tc>
      </w:tr>
      <w:tr w14:paraId="3DA7EC29" w14:textId="77777777">
        <w:trPr>
          <w:cantSplit/>
        </w:trPr>
        <w:tc>
          <w:tcPr>
            <w:tcW w:w="255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pPr>
              <w:spacing w:before="50" w:after="50"/>
            </w:pPr>
            <w:r>
              <w:rPr>
                <w:sz w:val="20"/>
                <w:color w:val="000000"/>
              </w:rPr>
              <w:t>Transfert entre boutiques</w:t>
            </w:r>
          </w:p>
        </w:tc>
        <w:tc>
          <w:tcPr>
            <w:tcW w:w="335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pPr>
              <w:spacing w:before="50" w:after="50"/>
            </w:pPr>
            <w:r>
              <w:rPr>
                <w:sz w:val="20"/>
                <w:color w:val="000000"/>
              </w:rPr>
              <w:t>Demande, expédie ou réceptionne</w:t>
            </w:r>
          </w:p>
        </w:tc>
        <w:tc>
          <w:tcPr>
            <w:tcW w:w="346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pPr>
              <w:spacing w:before="50" w:after="50"/>
            </w:pPr>
            <w:r>
              <w:rPr>
                <w:sz w:val="20"/>
                <w:color w:val="000000"/>
              </w:rPr>
              <w:t>Autorise et traite les écarts</w:t>
            </w:r>
          </w:p>
        </w:tc>
      </w:tr>
      <w:tr w14:paraId="3DA7EC29" w14:textId="77777777">
        <w:trPr>
          <w:cantSplit/>
        </w:trPr>
        <w:tc>
          <w:tcPr>
            <w:tcW w:w="255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pPr>
              <w:spacing w:before="50" w:after="50"/>
            </w:pPr>
            <w:r>
              <w:rPr>
                <w:sz w:val="20"/>
                <w:color w:val="000000"/>
              </w:rPr>
              <w:t>Retour et remboursement</w:t>
            </w:r>
          </w:p>
        </w:tc>
        <w:tc>
          <w:tcPr>
            <w:tcW w:w="335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pPr>
              <w:spacing w:before="50" w:after="50"/>
            </w:pPr>
            <w:r>
              <w:rPr>
                <w:sz w:val="20"/>
                <w:color w:val="000000"/>
              </w:rPr>
              <w:t>Déclare et soumet</w:t>
            </w:r>
          </w:p>
        </w:tc>
        <w:tc>
          <w:tcPr>
            <w:tcW w:w="346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pPr>
              <w:spacing w:before="50" w:after="50"/>
            </w:pPr>
            <w:r>
              <w:rPr>
                <w:sz w:val="20"/>
                <w:color w:val="000000"/>
              </w:rPr>
              <w:t>Autorise selon la règle retenue</w:t>
            </w:r>
          </w:p>
        </w:tc>
      </w:tr>
      <w:tr w14:paraId="3DA7EC29" w14:textId="77777777">
        <w:trPr>
          <w:cantSplit/>
        </w:trPr>
        <w:tc>
          <w:tcPr>
            <w:tcW w:w="255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pPr>
              <w:spacing w:before="50" w:after="50"/>
            </w:pPr>
            <w:r>
              <w:rPr>
                <w:sz w:val="20"/>
                <w:color w:val="000000"/>
              </w:rPr>
              <w:t>Perte et ajustement de stock</w:t>
            </w:r>
          </w:p>
        </w:tc>
        <w:tc>
          <w:tcPr>
            <w:tcW w:w="335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pPr>
              <w:spacing w:before="50" w:after="50"/>
            </w:pPr>
            <w:r>
              <w:rPr>
                <w:sz w:val="20"/>
                <w:color w:val="000000"/>
              </w:rPr>
              <w:t>Déclare et justifie</w:t>
            </w:r>
          </w:p>
        </w:tc>
        <w:tc>
          <w:tcPr>
            <w:tcW w:w="346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pPr>
              <w:spacing w:before="50" w:after="50"/>
            </w:pPr>
            <w:r>
              <w:rPr>
                <w:sz w:val="20"/>
                <w:color w:val="000000"/>
              </w:rPr>
              <w:t>Valide le traitement</w:t>
            </w:r>
          </w:p>
        </w:tc>
      </w:tr>
      <w:tr w14:paraId="3DA7EC29" w14:textId="77777777">
        <w:trPr>
          <w:cantSplit/>
        </w:trPr>
        <w:tc>
          <w:tcPr>
            <w:tcW w:w="255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pPr>
              <w:spacing w:before="50" w:after="50"/>
            </w:pPr>
            <w:r>
              <w:rPr>
                <w:sz w:val="20"/>
                <w:color w:val="000000"/>
              </w:rPr>
              <w:t>Clôture de caisse</w:t>
            </w:r>
          </w:p>
        </w:tc>
        <w:tc>
          <w:tcPr>
            <w:tcW w:w="335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pPr>
              <w:spacing w:before="50" w:after="50"/>
            </w:pPr>
            <w:r>
              <w:rPr>
                <w:sz w:val="20"/>
                <w:color w:val="000000"/>
              </w:rPr>
              <w:t>Compte, déclare et explique</w:t>
            </w:r>
          </w:p>
        </w:tc>
        <w:tc>
          <w:tcPr>
            <w:tcW w:w="346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pPr>
              <w:spacing w:before="50" w:after="50"/>
            </w:pPr>
            <w:r>
              <w:rPr>
                <w:sz w:val="20"/>
                <w:color w:val="000000"/>
              </w:rPr>
              <w:t>Examine les écarts</w:t>
            </w:r>
          </w:p>
        </w:tc>
      </w:tr>
      <w:tr w14:paraId="3DA7EC29" w14:textId="77777777">
        <w:trPr>
          <w:cantSplit/>
        </w:trPr>
        <w:tc>
          <w:tcPr>
            <w:tcW w:w="255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pPr>
              <w:spacing w:before="50" w:after="50"/>
            </w:pPr>
            <w:r>
              <w:rPr>
                <w:sz w:val="20"/>
                <w:color w:val="000000"/>
              </w:rPr>
              <w:t>Correction après clôture</w:t>
            </w:r>
          </w:p>
        </w:tc>
        <w:tc>
          <w:tcPr>
            <w:tcW w:w="335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pPr>
              <w:spacing w:before="50" w:after="50"/>
            </w:pPr>
            <w:r>
              <w:rPr>
                <w:sz w:val="20"/>
                <w:color w:val="000000"/>
              </w:rPr>
              <w:t>Demande avec motif</w:t>
            </w:r>
          </w:p>
        </w:tc>
        <w:tc>
          <w:tcPr>
            <w:tcW w:w="346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pPr>
              <w:spacing w:before="50" w:after="50"/>
            </w:pPr>
            <w:r>
              <w:rPr>
                <w:sz w:val="20"/>
                <w:color w:val="000000"/>
              </w:rPr>
              <w:t>Autorise une correction tracée</w:t>
            </w:r>
          </w:p>
        </w:tc>
      </w:tr>
    </w:tbl>
    <w:p>
      <w:pPr>
        <w:pStyle w:val="Heading2"/>
      </w:pPr>
      <w:r>
        <w:t>9 1 Visibilité et absence du propriétaire</w:t>
      </w:r>
    </w:p>
    <w:p>
      <w:pPr>
        <w:spacing w:after="120" w:line="276" w:lineRule="auto"/>
        <w:jc w:val="both"/>
        <w:rPr>
          <w:rFonts w:ascii="Helvetica Neue" w:eastAsia="Helvetica Neue" w:hAnsi="Helvetica Neue" w:cs="Helvetica Neue"/>
        </w:rPr>
      </w:pPr>
      <w:r>
        <w:t>Le propriétaire dispose d’une file de demandes filtrable par boutique, type, ancienneté et urgence. Le gérant reçoit la décision et ses conditions. Une absence de réponse ne vaut jamais approbation automatique.</w:t>
      </w:r>
    </w:p>
    <w:p>
      <w:pPr>
        <w:spacing w:after="120" w:line="276" w:lineRule="auto"/>
        <w:jc w:val="both"/>
        <w:rPr>
          <w:rFonts w:ascii="Helvetica Neue" w:eastAsia="Helvetica Neue" w:hAnsi="Helvetica Neue" w:cs="Helvetica Neue"/>
        </w:rPr>
      </w:pPr>
      <w:r>
        <w:t>Les seuils de dépenses, limites de remise, délais de réponse, éventuelles délégations et règles d’urgence sont à confirmer. Le propriétaire peut enregistrer ses propres opérations sans demander son accord à lui-même ; ces opérations restent entièrement historisées et leurs réceptions sont confirmées par le gérant concerné.</w:t>
      </w:r>
    </w:p>
    <w:p>
      <w:pPr>
        <w:pStyle w:val="Heading1"/>
        <w:pageBreakBefore/>
      </w:pPr>
      <w:r>
        <w:t>10 Clôtures de caisse et inventaires</w:t>
      </w:r>
    </w:p>
    <w:p>
      <w:pPr>
        <w:pStyle w:val="Heading2"/>
      </w:pPr>
      <w:r>
        <w:t>10 1 Ouverture et clôture de caisse</w:t>
      </w:r>
    </w:p>
    <w:p>
      <w:pPr>
        <w:spacing w:after="120" w:line="276" w:lineRule="auto"/>
        <w:jc w:val="both"/>
        <w:rPr>
          <w:rFonts w:ascii="Helvetica Neue" w:eastAsia="Helvetica Neue" w:hAnsi="Helvetica Neue" w:cs="Helvetica Neue"/>
        </w:rPr>
      </w:pPr>
      <w:r>
        <w:t>Chaque caisse possède un solde de départ vérifié. À la fin de la journée ou de sa période de responsabilité, le gérant déclare les espèces réellement comptées. L’application calcule le solde attendu et l’écart. La fréquence proposée est quotidienne, à confirmer selon l’organisation des équipes.</w:t>
      </w:r>
    </w:p>
    <w:p>
      <w:pPr>
        <w:spacing w:after="120" w:line="276" w:lineRule="auto"/>
        <w:jc w:val="both"/>
        <w:rPr>
          <w:rFonts w:ascii="Helvetica Neue" w:eastAsia="Helvetica Neue" w:hAnsi="Helvetica Neue" w:cs="Helvetica Neue"/>
        </w:rPr>
      </w:pPr>
      <w:r>
        <w:t>Espèces attendues = solde initial + entrées en espèces − sorties en espèces. Les paiements Mobile Money, carte et virement sont suivis séparément ; ils ne doivent pas augmenter le montant physique attendu dans la caisse.</w:t>
      </w:r>
    </w:p>
    <w:p>
      <w:pPr>
        <w:spacing w:after="120" w:line="276" w:lineRule="auto"/>
        <w:jc w:val="both"/>
        <w:rPr>
          <w:rFonts w:ascii="Helvetica Neue" w:eastAsia="Helvetica Neue" w:hAnsi="Helvetica Neue" w:cs="Helvetica Neue"/>
        </w:rPr>
      </w:pPr>
      <w:r>
        <w:t>La clôture présente les ventes, remboursements, apports, dépenses, avances et reversements concernés. Le gérant renseigne un commentaire en cas de différence. L’enregistrement de l’écart ne le fait pas disparaître : son examen, sa justification et sa résolution sont des actions distinctes.</w:t>
      </w:r>
    </w:p>
    <w:p>
      <w:pPr>
        <w:spacing w:after="120" w:line="276" w:lineRule="auto"/>
        <w:jc w:val="both"/>
        <w:rPr>
          <w:rFonts w:ascii="Helvetica Neue" w:eastAsia="Helvetica Neue" w:hAnsi="Helvetica Neue" w:cs="Helvetica Neue"/>
        </w:rPr>
      </w:pPr>
      <w:r>
        <w:t>Une clôture soumise protège la période contre les modifications silencieuses. Une opération oubliée ou erronée doit être ajoutée ou corrigée selon un circuit autorisé, avec indication de la date réelle et de la date de saisie. La caisse suivante reprend le solde physique retenu ; le solde théorique et l’écart précédent restent consultables.</w:t>
      </w:r>
    </w:p>
    <w:p>
      <w:pPr>
        <w:pStyle w:val="Heading2"/>
      </w:pPr>
      <w:r>
        <w:t>10 2 Inventaires physiques</w:t>
      </w:r>
    </w:p>
    <w:p>
      <w:pPr>
        <w:spacing w:after="120" w:line="276" w:lineRule="auto"/>
        <w:jc w:val="both"/>
        <w:rPr>
          <w:rFonts w:ascii="Helvetica Neue" w:eastAsia="Helvetica Neue" w:hAnsi="Helvetica Neue" w:cs="Helvetica Neue"/>
        </w:rPr>
      </w:pPr>
      <w:r>
        <w:t>Un inventaire complet ou ciblé est ouvert pour une boutique avec une date de référence et un responsable. Les quantités comptées sont comparées au stock théorique. Le document présente les écarts par produit, les observations et les justificatifs éventuels.</w:t>
      </w:r>
    </w:p>
    <w:p>
      <w:pPr>
        <w:spacing w:after="120" w:line="276" w:lineRule="auto"/>
        <w:jc w:val="both"/>
        <w:rPr>
          <w:rFonts w:ascii="Helvetica Neue" w:eastAsia="Helvetica Neue" w:hAnsi="Helvetica Neue" w:cs="Helvetica Neue"/>
        </w:rPr>
      </w:pPr>
      <w:r>
        <w:t>Les ajustements ne sont appliqués qu’après validation du propriétaire. Un refus conserve le comptage et l’écart en attente de résolution. Pendant le comptage, les mouvements doivent être suspendus pour les articles concernés ou pris en compte selon une heure de coupure convenue, afin d’éviter les faux écarts.</w:t>
      </w:r>
    </w:p>
    <w:p>
      <w:pPr>
        <w:pStyle w:val="Heading2"/>
      </w:pPr>
      <w:r>
        <w:t>10 3 Passation entre responsables</w:t>
      </w:r>
    </w:p>
    <w:p>
      <w:pPr>
        <w:spacing w:after="120" w:line="276" w:lineRule="auto"/>
        <w:jc w:val="both"/>
        <w:rPr>
          <w:rFonts w:ascii="Helvetica Neue" w:eastAsia="Helvetica Neue" w:hAnsi="Helvetica Neue" w:cs="Helvetica Neue"/>
        </w:rPr>
      </w:pPr>
      <w:r>
        <w:t>En cas de changement de gérant, une passation peut rapprocher les fonds, stocks et dossiers ouverts. Les responsables sortant et entrant, les montants constatés et les désaccords sont enregistrés. La nécessité de cette fonctionnalité et les signatures attendues sont à confirmer.</w:t>
      </w:r>
    </w:p>
    <w:p>
      <w:pPr>
        <w:pStyle w:val="Heading1"/>
        <w:pageBreakBefore/>
      </w:pPr>
      <w:r>
        <w:t>11 Tableaux de bord et rapports</w:t>
      </w:r>
    </w:p>
    <w:p>
      <w:pPr>
        <w:pStyle w:val="Heading2"/>
      </w:pPr>
      <w:r>
        <w:t>11 1 Indicateurs compréhensibles et vérifiables</w:t>
      </w:r>
    </w:p>
    <w:tbl>
      <w:tblPr>
        <w:tblStyle w:val="a0"/>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550"/>
        <w:gridCol w:w="6810"/>
      </w:tblGrid>
      <w:tr w14:paraId="35733155" w14:textId="77777777">
        <w:trPr>
          <w:tblHeader/>
          <w:cantSplit/>
          <w:tblHeader/>
        </w:trPr>
        <w:tc>
          <w:tcPr>
            <w:tcW w:w="2550" w:type="dxa"/>
            <w:tcBorders>
              <w:top w:val="single" w:sz="4" w:space="0" w:color="BFBFBF"/>
              <w:left w:val="single" w:sz="4" w:space="0" w:color="BFBFBF"/>
              <w:bottom w:val="single" w:sz="4" w:space="0" w:color="BFBFBF"/>
              <w:right w:val="single" w:sz="4" w:space="0" w:color="BFBFBF"/>
            </w:tcBorders>
            <w:shd w:val="clear" w:color="auto" w:fill="E8EBF6"/>
            <w:tcMar>
              <w:top w:w="60" w:type="dxa"/>
              <w:left w:w="110" w:type="dxa"/>
              <w:bottom w:w="60" w:type="dxa"/>
              <w:right w:w="110" w:type="dxa"/>
            </w:tcMar>
            <w:vAlign w:val="center"/>
          </w:tcPr>
          <w:p>
            <w:pPr>
              <w:spacing w:before="50" w:after="50"/>
            </w:pPr>
            <w:r>
              <w:rPr>
                <w:sz w:val="20"/>
                <w:b/>
                <w:color w:val="000000"/>
              </w:rPr>
              <w:t>Indicateur</w:t>
            </w:r>
          </w:p>
        </w:tc>
        <w:tc>
          <w:tcPr>
            <w:tcW w:w="6810" w:type="dxa"/>
            <w:tcBorders>
              <w:top w:val="single" w:sz="4" w:space="0" w:color="BFBFBF"/>
              <w:left w:val="single" w:sz="4" w:space="0" w:color="BFBFBF"/>
              <w:bottom w:val="single" w:sz="4" w:space="0" w:color="BFBFBF"/>
              <w:right w:val="single" w:sz="4" w:space="0" w:color="BFBFBF"/>
            </w:tcBorders>
            <w:shd w:val="clear" w:color="auto" w:fill="E8EBF6"/>
            <w:tcMar>
              <w:top w:w="60" w:type="dxa"/>
              <w:left w:w="110" w:type="dxa"/>
              <w:bottom w:w="60" w:type="dxa"/>
              <w:right w:w="110" w:type="dxa"/>
            </w:tcMar>
            <w:vAlign w:val="center"/>
          </w:tcPr>
          <w:p>
            <w:pPr>
              <w:spacing w:before="50" w:after="50"/>
            </w:pPr>
            <w:r>
              <w:rPr>
                <w:sz w:val="20"/>
                <w:b/>
                <w:color w:val="000000"/>
              </w:rPr>
              <w:t>Signification attendue</w:t>
            </w:r>
          </w:p>
        </w:tc>
      </w:tr>
      <w:tr w14:paraId="3DA7EC29" w14:textId="77777777">
        <w:trPr>
          <w:cantSplit/>
        </w:trPr>
        <w:tc>
          <w:tcPr>
            <w:tcW w:w="255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pPr>
              <w:spacing w:before="50" w:after="50"/>
            </w:pPr>
            <w:r>
              <w:rPr>
                <w:sz w:val="20"/>
                <w:color w:val="000000"/>
              </w:rPr>
              <w:t>Chiffre d’affaires net</w:t>
            </w:r>
          </w:p>
        </w:tc>
        <w:tc>
          <w:tcPr>
            <w:tcW w:w="681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pPr>
              <w:spacing w:before="50" w:after="50"/>
            </w:pPr>
            <w:r>
              <w:rPr>
                <w:sz w:val="20"/>
                <w:color w:val="000000"/>
              </w:rPr>
              <w:t>Ventes diminuées des remises et retours ou annulations applicables</w:t>
            </w:r>
          </w:p>
        </w:tc>
      </w:tr>
      <w:tr w14:paraId="3DA7EC29" w14:textId="77777777">
        <w:trPr>
          <w:cantSplit/>
        </w:trPr>
        <w:tc>
          <w:tcPr>
            <w:tcW w:w="255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pPr>
              <w:spacing w:before="50" w:after="50"/>
            </w:pPr>
            <w:r>
              <w:rPr>
                <w:sz w:val="20"/>
                <w:color w:val="000000"/>
              </w:rPr>
              <w:t>Encaissements</w:t>
            </w:r>
          </w:p>
        </w:tc>
        <w:tc>
          <w:tcPr>
            <w:tcW w:w="681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pPr>
              <w:spacing w:before="50" w:after="50"/>
            </w:pPr>
            <w:r>
              <w:rPr>
                <w:sz w:val="20"/>
                <w:color w:val="000000"/>
              </w:rPr>
              <w:t>Paiements réellement reçus, y compris règlements différés identifiés</w:t>
            </w:r>
          </w:p>
        </w:tc>
      </w:tr>
      <w:tr w14:paraId="3DA7EC29" w14:textId="77777777">
        <w:trPr>
          <w:cantSplit/>
        </w:trPr>
        <w:tc>
          <w:tcPr>
            <w:tcW w:w="255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pPr>
              <w:spacing w:before="50" w:after="50"/>
            </w:pPr>
            <w:r>
              <w:rPr>
                <w:sz w:val="20"/>
                <w:color w:val="000000"/>
              </w:rPr>
              <w:t>Caisse et fonds</w:t>
            </w:r>
          </w:p>
        </w:tc>
        <w:tc>
          <w:tcPr>
            <w:tcW w:w="681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pPr>
              <w:spacing w:before="50" w:after="50"/>
            </w:pPr>
            <w:r>
              <w:rPr>
                <w:sz w:val="20"/>
                <w:color w:val="000000"/>
              </w:rPr>
              <w:t>Soldes par lieu et mode, avances non soldées et remises à confirmer</w:t>
            </w:r>
          </w:p>
        </w:tc>
      </w:tr>
      <w:tr w14:paraId="3DA7EC29" w14:textId="77777777">
        <w:trPr>
          <w:cantSplit/>
        </w:trPr>
        <w:tc>
          <w:tcPr>
            <w:tcW w:w="255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pPr>
              <w:spacing w:before="50" w:after="50"/>
            </w:pPr>
            <w:r>
              <w:rPr>
                <w:sz w:val="20"/>
                <w:color w:val="000000"/>
              </w:rPr>
              <w:t>Stock</w:t>
            </w:r>
          </w:p>
        </w:tc>
        <w:tc>
          <w:tcPr>
            <w:tcW w:w="681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pPr>
              <w:spacing w:before="50" w:after="50"/>
            </w:pPr>
            <w:r>
              <w:rPr>
                <w:sz w:val="20"/>
                <w:color w:val="000000"/>
              </w:rPr>
              <w:t>Quantités disponibles par boutique, en transit et non vendables</w:t>
            </w:r>
          </w:p>
        </w:tc>
      </w:tr>
      <w:tr w14:paraId="3DA7EC29" w14:textId="77777777">
        <w:trPr>
          <w:cantSplit/>
        </w:trPr>
        <w:tc>
          <w:tcPr>
            <w:tcW w:w="255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pPr>
              <w:spacing w:before="50" w:after="50"/>
            </w:pPr>
            <w:r>
              <w:rPr>
                <w:sz w:val="20"/>
                <w:color w:val="000000"/>
              </w:rPr>
              <w:t>Marge brute estimée</w:t>
            </w:r>
          </w:p>
        </w:tc>
        <w:tc>
          <w:tcPr>
            <w:tcW w:w="681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pPr>
              <w:spacing w:before="50" w:after="50"/>
            </w:pPr>
            <w:r>
              <w:rPr>
                <w:sz w:val="20"/>
                <w:color w:val="000000"/>
              </w:rPr>
              <w:t>Ventes nettes moins coût des produits vendus selon méthode validée</w:t>
            </w:r>
          </w:p>
        </w:tc>
      </w:tr>
      <w:tr w14:paraId="3DA7EC29" w14:textId="77777777">
        <w:trPr>
          <w:cantSplit/>
        </w:trPr>
        <w:tc>
          <w:tcPr>
            <w:tcW w:w="255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pPr>
              <w:spacing w:before="50" w:after="50"/>
            </w:pPr>
            <w:r>
              <w:rPr>
                <w:sz w:val="20"/>
                <w:color w:val="000000"/>
              </w:rPr>
              <w:t>Écarts</w:t>
            </w:r>
          </w:p>
        </w:tc>
        <w:tc>
          <w:tcPr>
            <w:tcW w:w="681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pPr>
              <w:spacing w:before="50" w:after="50"/>
            </w:pPr>
            <w:r>
              <w:rPr>
                <w:sz w:val="20"/>
                <w:color w:val="000000"/>
              </w:rPr>
              <w:t>Différences de caisse, d’inventaire, de livraison ou de budget non résolues</w:t>
            </w:r>
          </w:p>
        </w:tc>
      </w:tr>
    </w:tbl>
    <w:p>
      <w:pPr>
        <w:spacing w:after="120" w:line="276" w:lineRule="auto"/>
        <w:jc w:val="both"/>
        <w:rPr>
          <w:rFonts w:ascii="Helvetica Neue" w:eastAsia="Helvetica Neue" w:hAnsi="Helvetica Neue" w:cs="Helvetica Neue"/>
        </w:rPr>
      </w:pPr>
      <w:r>
        <w:t>La marge brute n’est pas le bénéfice net. Le calcul doit signaler les coûts manquants. Les achats de stock, les avances et les dépenses de fonctionnement sont distingués pour éviter de fausser la lecture des résultats. La base des prix et le traitement des taxes restent à définir si nécessaire.</w:t>
      </w:r>
    </w:p>
    <w:p>
      <w:pPr>
        <w:pStyle w:val="Heading2"/>
      </w:pPr>
      <w:r>
        <w:t>11 2 Consultation et export</w:t>
      </w:r>
    </w:p>
    <w:p>
      <w:pPr>
        <w:spacing w:after="120" w:line="276" w:lineRule="auto"/>
        <w:jc w:val="both"/>
        <w:rPr>
          <w:rFonts w:ascii="Helvetica Neue" w:eastAsia="Helvetica Neue" w:hAnsi="Helvetica Neue" w:cs="Helvetica Neue"/>
        </w:rPr>
      </w:pPr>
      <w:r>
        <w:t>Le propriétaire peut comparer les boutiques sur une période, consulter les ventes par produit, les dépenses par catégorie, les mouvements de stock et les achats par fournisseur. Un clic sur un total donne accès aux opérations qui le composent, puis aux justificatifs et validations associés.</w:t>
      </w:r>
    </w:p>
    <w:p>
      <w:pPr>
        <w:spacing w:after="120" w:line="276" w:lineRule="auto"/>
        <w:jc w:val="both"/>
        <w:rPr>
          <w:rFonts w:ascii="Helvetica Neue" w:eastAsia="Helvetica Neue" w:hAnsi="Helvetica Neue" w:cs="Helvetica Neue"/>
        </w:rPr>
      </w:pPr>
      <w:r>
        <w:t>Les exports proposés sont Excel ou CSV pour les listes détaillées et PDF pour les états de synthèse, à confirmer. Ils reprennent la période, les filtres, la date d’édition et les références des opérations. Les droits d’export suivent les droits d’accès aux boutiques.</w:t>
      </w:r>
    </w:p>
    <w:p>
      <w:pPr>
        <w:pStyle w:val="Heading2"/>
      </w:pPr>
      <w:r>
        <w:t>11 3 Qualité des données et alertes</w:t>
      </w:r>
    </w:p>
    <w:p>
      <w:pPr>
        <w:spacing w:after="120" w:line="276" w:lineRule="auto"/>
        <w:jc w:val="both"/>
        <w:rPr>
          <w:rFonts w:ascii="Helvetica Neue" w:eastAsia="Helvetica Neue" w:hAnsi="Helvetica Neue" w:cs="Helvetica Neue"/>
        </w:rPr>
      </w:pPr>
      <w:r>
        <w:t>Le tableau de bord affiche les dernières clôtures, la date des derniers inventaires, les opérations en attente de contrôle, les justificatifs manquants et les écarts ouverts. Il distingue les montants déclarés des montants rapprochés ; une période incomplète ne doit pas paraître entièrement vérifiée.</w:t>
      </w:r>
    </w:p>
    <w:p>
      <w:pPr>
        <w:spacing w:after="120" w:line="276" w:lineRule="auto"/>
        <w:jc w:val="both"/>
        <w:rPr>
          <w:rFonts w:ascii="Helvetica Neue" w:eastAsia="Helvetica Neue" w:hAnsi="Helvetica Neue" w:cs="Helvetica Neue"/>
        </w:rPr>
      </w:pPr>
      <w:r>
        <w:t>Les notifications internes couvrent les demandes et décisions, stocks bas, réceptions en retard, écarts et clôtures manquantes. Les délais d’alerte sont paramétrables selon les règles validées. Les notifications par e-mail, SMS ou WhatsApp sont des options à confirmer.</w:t>
      </w:r>
    </w:p>
    <w:p>
      <w:pPr>
        <w:pStyle w:val="Heading1"/>
        <w:pageBreakBefore/>
      </w:pPr>
      <w:r>
        <w:t>12 Traçabilité et conditions d’utilisation</w:t>
      </w:r>
    </w:p>
    <w:p>
      <w:pPr>
        <w:pStyle w:val="Heading2"/>
      </w:pPr>
      <w:r>
        <w:t>12 1 Historique des opérations</w:t>
      </w:r>
    </w:p>
    <w:p>
      <w:pPr>
        <w:spacing w:after="120" w:line="276" w:lineRule="auto"/>
        <w:jc w:val="both"/>
        <w:rPr>
          <w:rFonts w:ascii="Helvetica Neue" w:eastAsia="Helvetica Neue" w:hAnsi="Helvetica Neue" w:cs="Helvetica Neue"/>
        </w:rPr>
      </w:pPr>
      <w:r>
        <w:t>Chaque opération validée conserve une référence unique, sa boutique, son auteur, la date de l’événement, la date de saisie, les pièces jointes et ses liens avec les demandes, achats, paiements ou réceptions concernés. Les décisions et corrections sont horodatées.</w:t>
      </w:r>
    </w:p>
    <w:p>
      <w:pPr>
        <w:spacing w:after="120" w:line="276" w:lineRule="auto"/>
        <w:jc w:val="both"/>
        <w:rPr>
          <w:rFonts w:ascii="Helvetica Neue" w:eastAsia="Helvetica Neue" w:hAnsi="Helvetica Neue" w:cs="Helvetica Neue"/>
        </w:rPr>
      </w:pPr>
      <w:r>
        <w:t>Une correction conserve la valeur précédente, la nouvelle valeur et son motif. Une opération ayant un effet financier ou de stock est corrigée par une annulation ou un mouvement compensatoire lié à l’original. L’historique consultable ne doit pas être effaçable par les gérants ni par les actions courantes d’administration.</w:t>
      </w:r>
    </w:p>
    <w:p>
      <w:pPr>
        <w:spacing w:after="120" w:line="276" w:lineRule="auto"/>
        <w:jc w:val="both"/>
        <w:rPr>
          <w:rFonts w:ascii="Helvetica Neue" w:eastAsia="Helvetica Neue" w:hAnsi="Helvetica Neue" w:cs="Helvetica Neue"/>
        </w:rPr>
      </w:pPr>
      <w:r>
        <w:t>Les justificatifs peuvent être consultés depuis l’opération. Un remplacement ou un ajout conserve sa trace. Un justificatif manquant est signalé ; la règle de blocage ou de régularisation doit être définie. La présence d’une photo ou d’un reçu ne constitue pas à elle seule une vérification de son authenticité.</w:t>
      </w:r>
    </w:p>
    <w:p>
      <w:pPr>
        <w:pStyle w:val="Heading2"/>
      </w:pPr>
      <w:r>
        <w:t>12 2 Accès et protection</w:t>
      </w:r>
    </w:p>
    <w:p>
      <w:pPr>
        <w:spacing w:after="120" w:line="276" w:lineRule="auto"/>
        <w:jc w:val="both"/>
        <w:rPr>
          <w:rFonts w:ascii="Helvetica Neue" w:eastAsia="Helvetica Neue" w:hAnsi="Helvetica Neue" w:cs="Helvetica Neue"/>
        </w:rPr>
      </w:pPr>
      <w:r>
        <w:t>L’application exige une authentification et contrôle les droits sur les écrans, opérations, recherches, exports et pièces jointes. Elle prévoit la récupération des accès, la désactivation des comptes et la protection des échanges. Le besoin d’une double authentification pour le propriétaire sera confirmé.</w:t>
      </w:r>
    </w:p>
    <w:p>
      <w:pPr>
        <w:spacing w:after="120" w:line="276" w:lineRule="auto"/>
        <w:jc w:val="both"/>
        <w:rPr>
          <w:rFonts w:ascii="Helvetica Neue" w:eastAsia="Helvetica Neue" w:hAnsi="Helvetica Neue" w:cs="Helvetica Neue"/>
        </w:rPr>
      </w:pPr>
      <w:r>
        <w:t>Les sauvegardes et la restauration doivent couvrir les opérations et les justificatifs. Leur fréquence, la durée de conservation et les objectifs de reprise sont à convenir avant la mise en service. Un essai de restauration devra démontrer que les données peuvent être récupérées.</w:t>
      </w:r>
    </w:p>
    <w:p>
      <w:pPr>
        <w:pStyle w:val="Heading2"/>
      </w:pPr>
      <w:r>
        <w:t>12 3 Utilisation quotidienne</w:t>
      </w:r>
    </w:p>
    <w:p>
      <w:pPr>
        <w:spacing w:after="120" w:line="276" w:lineRule="auto"/>
        <w:jc w:val="both"/>
        <w:rPr>
          <w:rFonts w:ascii="Helvetica Neue" w:eastAsia="Helvetica Neue" w:hAnsi="Helvetica Neue" w:cs="Helvetica Neue"/>
        </w:rPr>
      </w:pPr>
      <w:r>
        <w:t>L’interface doit être en français et adaptée au téléphone, à la tablette et à l’ordinateur. Les formulaires guident la saisie, affichent les totaux et signalent les erreurs avant validation. Un double clic ou une nouvelle tentative après une coupure ne doit pas créer deux ventes, paiements ou mouvements de stock.</w:t>
      </w:r>
    </w:p>
    <w:p>
      <w:pPr>
        <w:spacing w:after="120" w:line="276" w:lineRule="auto"/>
        <w:jc w:val="both"/>
        <w:rPr>
          <w:rFonts w:ascii="Helvetica Neue" w:eastAsia="Helvetica Neue" w:hAnsi="Helvetica Neue" w:cs="Helvetica Neue"/>
        </w:rPr>
      </w:pPr>
      <w:r>
        <w:t>Le fonctionnement de base nécessite une connexion. Si le mode hors ligne est retenu, les opérations non synchronisées devront être identifiées et les conflits traités sans duplication. Aucun accord du propriétaire ne peut être supposé pendant une coupure. Cette option doit être cadrée selon le réseau disponible.</w:t>
      </w:r>
    </w:p>
    <w:p>
      <w:pPr>
        <w:pStyle w:val="Heading1"/>
        <w:pageBreakBefore/>
      </w:pPr>
      <w:r>
        <w:t>13 Mise en service et limites du périmètre</w:t>
      </w:r>
    </w:p>
    <w:p>
      <w:pPr>
        <w:pStyle w:val="Heading2"/>
      </w:pPr>
      <w:r>
        <w:t>13 1 Préparation des données</w:t>
      </w:r>
    </w:p>
    <w:p>
      <w:pPr>
        <w:spacing w:after="120" w:line="276" w:lineRule="auto"/>
        <w:jc w:val="both"/>
        <w:rPr>
          <w:rFonts w:ascii="Helvetica Neue" w:eastAsia="Helvetica Neue" w:hAnsi="Helvetica Neue" w:cs="Helvetica Neue"/>
        </w:rPr>
      </w:pPr>
      <w:r>
        <w:t>Le démarrage nécessite la liste des boutiques, utilisateurs, produits, unités, prix, fournisseurs et modes de paiement. Un inventaire physique initial et un comptage des fonds sont réalisés par boutique. Le propriétaire valide ces soldes, leur date de départ et les éventuelles réserves.</w:t>
      </w:r>
    </w:p>
    <w:p>
      <w:pPr>
        <w:spacing w:after="120" w:line="276" w:lineRule="auto"/>
        <w:jc w:val="both"/>
        <w:rPr>
          <w:rFonts w:ascii="Helvetica Neue" w:eastAsia="Helvetica Neue" w:hAnsi="Helvetica Neue" w:cs="Helvetica Neue"/>
        </w:rPr>
      </w:pPr>
      <w:r>
        <w:t>Les créances clients et dettes fournisseurs initiales ne sont reprises que si leur gestion est retenue. Les informations historiques incertaines ne sont pas présentées comme vérifiées. L’import des anciens registres devra faire l’objet d’un cadrage distinct sur leur qualité et leur volume.</w:t>
      </w:r>
    </w:p>
    <w:p>
      <w:pPr>
        <w:pStyle w:val="Heading2"/>
      </w:pPr>
      <w:r>
        <w:t>13 2 Déploiement proposé</w:t>
      </w:r>
    </w:p>
    <w:p>
      <w:pPr>
        <w:spacing w:after="120" w:line="276" w:lineRule="auto"/>
        <w:jc w:val="both"/>
        <w:rPr>
          <w:rFonts w:ascii="Helvetica Neue" w:eastAsia="Helvetica Neue" w:hAnsi="Helvetica Neue" w:cs="Helvetica Neue"/>
        </w:rPr>
      </w:pPr>
      <w:r>
        <w:t>Le déploiement peut commencer par une boutique pilote, avec formation du propriétaire et du gérant, exécution des scénarios de recette et contrôle des premières clôtures. Les autres boutiques sont ouvertes après correction des anomalies et validation du fonctionnement. Aucun calendrier ferme n’est fixé dans ce document.</w:t>
      </w:r>
    </w:p>
    <w:p>
      <w:pPr>
        <w:spacing w:after="120" w:line="276" w:lineRule="auto"/>
        <w:jc w:val="both"/>
        <w:rPr>
          <w:rFonts w:ascii="Helvetica Neue" w:eastAsia="Helvetica Neue" w:hAnsi="Helvetica Neue" w:cs="Helvetica Neue"/>
        </w:rPr>
      </w:pPr>
      <w:r>
        <w:t>Un guide utilisateur doit couvrir les ventes, dépenses, demandes, achats, réceptions, clôtures, inventaires et corrections. L’accompagnement au démarrage, le support et la maintenance seront définis dans la proposition de réalisation.</w:t>
      </w:r>
    </w:p>
    <w:p>
      <w:pPr>
        <w:pStyle w:val="Heading2"/>
      </w:pPr>
      <w:r>
        <w:t>13 3 Options nécessitant une décision explicite</w:t>
      </w:r>
    </w:p>
    <w:p>
      <w:pPr>
        <w:spacing w:after="120" w:line="276" w:lineRule="auto"/>
        <w:jc w:val="both"/>
        <w:rPr>
          <w:rFonts w:ascii="Helvetica Neue" w:eastAsia="Helvetica Neue" w:hAnsi="Helvetica Neue" w:cs="Helvetica Neue"/>
        </w:rPr>
      </w:pPr>
      <w:r>
        <w:t>Ventes à crédit et relances ; achats à crédit et dettes fournisseurs ; dépôt central ; profils supplémentaires ; variantes et péremption ; lecture de codes-barres ; impression de reçus ; paiements mixtes ; mode hors ligne ; notifications externes ; passations entre gérants ; reprise d’anciens registres.</w:t>
      </w:r>
    </w:p>
    <w:p>
      <w:pPr>
        <w:pStyle w:val="Heading2"/>
      </w:pPr>
      <w:r>
        <w:t>13 4 Hors périmètre proposé</w:t>
      </w:r>
    </w:p>
    <w:p>
      <w:pPr>
        <w:spacing w:after="120" w:line="276" w:lineRule="auto"/>
        <w:jc w:val="both"/>
        <w:rPr>
          <w:rFonts w:ascii="Helvetica Neue" w:eastAsia="Helvetica Neue" w:hAnsi="Helvetica Neue" w:cs="Helvetica Neue"/>
        </w:rPr>
      </w:pPr>
      <w:r>
        <w:t>La comptabilité générale réglementaire, les déclarations fiscales, la paie, un site de vente en ligne, l’exécution de paiements ou virements et les connexions automatiques aux banques ou services externes ne sont pas incluses à ce stade. Toute extension devra être décrite et validée.</w:t>
      </w:r>
    </w:p>
    <w:p>
      <w:pPr>
        <w:spacing w:after="120" w:line="276" w:lineRule="auto"/>
        <w:jc w:val="both"/>
        <w:rPr>
          <w:rFonts w:ascii="Helvetica Neue" w:eastAsia="Helvetica Neue" w:hAnsi="Helvetica Neue" w:cs="Helvetica Neue"/>
        </w:rPr>
      </w:pPr>
      <w:r>
        <w:t>La solution vise la gestion opérationnelle et le contrôle de l’activité. Les exigences techniques, l’hébergement, les performances cibles, le coût et les délais feront l’objet d’un cadrage complémentaire après validation du besoin.</w:t>
      </w:r>
    </w:p>
    <w:p>
      <w:pPr>
        <w:pStyle w:val="Heading1"/>
        <w:pageBreakBefore/>
      </w:pPr>
      <w:r>
        <w:t>14 Scénarios de validation de la solution</w:t>
      </w:r>
    </w:p>
    <w:p>
      <w:pPr>
        <w:spacing w:after="120" w:line="276" w:lineRule="auto"/>
        <w:jc w:val="both"/>
        <w:rPr>
          <w:rFonts w:ascii="Helvetica Neue" w:eastAsia="Helvetica Neue" w:hAnsi="Helvetica Neue" w:cs="Helvetica Neue"/>
        </w:rPr>
      </w:pPr>
      <w:r>
        <w:t>Ces scénarios serviront à vérifier les résultats attendus avec le client. La recette devra couvrir les parcours du propriétaire et du gérant, ainsi que les refus, réceptions partielles et corrections.</w:t>
      </w:r>
    </w:p>
    <w:tbl>
      <w:tblPr>
        <w:tblStyle w:val="a0"/>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00"/>
        <w:gridCol w:w="3700"/>
        <w:gridCol w:w="4960"/>
      </w:tblGrid>
      <w:tr w14:paraId="35733155" w14:textId="77777777">
        <w:trPr>
          <w:tblHeader/>
          <w:cantSplit/>
          <w:tblHeader/>
        </w:trPr>
        <w:tc>
          <w:tcPr>
            <w:tcW w:w="700" w:type="dxa"/>
            <w:tcBorders>
              <w:top w:val="single" w:sz="4" w:space="0" w:color="BFBFBF"/>
              <w:left w:val="single" w:sz="4" w:space="0" w:color="BFBFBF"/>
              <w:bottom w:val="single" w:sz="4" w:space="0" w:color="BFBFBF"/>
              <w:right w:val="single" w:sz="4" w:space="0" w:color="BFBFBF"/>
            </w:tcBorders>
            <w:shd w:val="clear" w:color="auto" w:fill="E8EBF6"/>
            <w:tcMar>
              <w:top w:w="60" w:type="dxa"/>
              <w:left w:w="110" w:type="dxa"/>
              <w:bottom w:w="60" w:type="dxa"/>
              <w:right w:w="110" w:type="dxa"/>
            </w:tcMar>
            <w:vAlign w:val="center"/>
          </w:tcPr>
          <w:p>
            <w:pPr>
              <w:spacing w:before="50" w:after="50"/>
            </w:pPr>
            <w:r>
              <w:rPr>
                <w:sz w:val="20"/>
                <w:b/>
                <w:color w:val="000000"/>
              </w:rPr>
              <w:t>Réf</w:t>
            </w:r>
          </w:p>
        </w:tc>
        <w:tc>
          <w:tcPr>
            <w:tcW w:w="3700" w:type="dxa"/>
            <w:tcBorders>
              <w:top w:val="single" w:sz="4" w:space="0" w:color="BFBFBF"/>
              <w:left w:val="single" w:sz="4" w:space="0" w:color="BFBFBF"/>
              <w:bottom w:val="single" w:sz="4" w:space="0" w:color="BFBFBF"/>
              <w:right w:val="single" w:sz="4" w:space="0" w:color="BFBFBF"/>
            </w:tcBorders>
            <w:shd w:val="clear" w:color="auto" w:fill="E8EBF6"/>
            <w:tcMar>
              <w:top w:w="60" w:type="dxa"/>
              <w:left w:w="110" w:type="dxa"/>
              <w:bottom w:w="60" w:type="dxa"/>
              <w:right w:w="110" w:type="dxa"/>
            </w:tcMar>
            <w:vAlign w:val="center"/>
          </w:tcPr>
          <w:p>
            <w:pPr>
              <w:spacing w:before="50" w:after="50"/>
            </w:pPr>
            <w:r>
              <w:rPr>
                <w:sz w:val="20"/>
                <w:b/>
                <w:color w:val="000000"/>
              </w:rPr>
              <w:t>Scénario</w:t>
            </w:r>
          </w:p>
        </w:tc>
        <w:tc>
          <w:tcPr>
            <w:tcW w:w="4960" w:type="dxa"/>
            <w:tcBorders>
              <w:top w:val="single" w:sz="4" w:space="0" w:color="BFBFBF"/>
              <w:left w:val="single" w:sz="4" w:space="0" w:color="BFBFBF"/>
              <w:bottom w:val="single" w:sz="4" w:space="0" w:color="BFBFBF"/>
              <w:right w:val="single" w:sz="4" w:space="0" w:color="BFBFBF"/>
            </w:tcBorders>
            <w:shd w:val="clear" w:color="auto" w:fill="E8EBF6"/>
            <w:tcMar>
              <w:top w:w="60" w:type="dxa"/>
              <w:left w:w="110" w:type="dxa"/>
              <w:bottom w:w="60" w:type="dxa"/>
              <w:right w:w="110" w:type="dxa"/>
            </w:tcMar>
            <w:vAlign w:val="center"/>
          </w:tcPr>
          <w:p>
            <w:pPr>
              <w:spacing w:before="50" w:after="50"/>
            </w:pPr>
            <w:r>
              <w:rPr>
                <w:sz w:val="20"/>
                <w:b/>
                <w:color w:val="000000"/>
              </w:rPr>
              <w:t>Résultat attendu</w:t>
            </w:r>
          </w:p>
        </w:tc>
      </w:tr>
      <w:tr w14:paraId="3DA7EC29" w14:textId="77777777">
        <w:trPr>
          <w:cantSplit/>
        </w:trPr>
        <w:tc>
          <w:tcPr>
            <w:tcW w:w="70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pPr>
              <w:spacing w:before="50" w:after="50"/>
            </w:pPr>
            <w:r>
              <w:rPr>
                <w:sz w:val="20"/>
                <w:color w:val="000000"/>
              </w:rPr>
              <w:t>R01</w:t>
            </w:r>
          </w:p>
        </w:tc>
        <w:tc>
          <w:tcPr>
            <w:tcW w:w="370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pPr>
              <w:spacing w:before="50" w:after="50"/>
            </w:pPr>
            <w:r>
              <w:rPr>
                <w:sz w:val="20"/>
                <w:color w:val="000000"/>
              </w:rPr>
              <w:t>Créer une quatrième boutique et affecter un gérant</w:t>
            </w:r>
          </w:p>
        </w:tc>
        <w:tc>
          <w:tcPr>
            <w:tcW w:w="496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pPr>
              <w:spacing w:before="50" w:after="50"/>
            </w:pPr>
            <w:r>
              <w:rPr>
                <w:sz w:val="20"/>
                <w:color w:val="000000"/>
              </w:rPr>
              <w:t>La boutique est utilisable ; le gérant ne voit que ses boutiques autorisées.</w:t>
            </w:r>
          </w:p>
        </w:tc>
      </w:tr>
      <w:tr w14:paraId="3DA7EC29" w14:textId="77777777">
        <w:trPr>
          <w:cantSplit/>
        </w:trPr>
        <w:tc>
          <w:tcPr>
            <w:tcW w:w="70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pPr>
              <w:spacing w:before="50" w:after="50"/>
            </w:pPr>
            <w:r>
              <w:rPr>
                <w:sz w:val="20"/>
                <w:color w:val="000000"/>
              </w:rPr>
              <w:t>R02</w:t>
            </w:r>
          </w:p>
        </w:tc>
        <w:tc>
          <w:tcPr>
            <w:tcW w:w="370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pPr>
              <w:spacing w:before="50" w:after="50"/>
            </w:pPr>
            <w:r>
              <w:rPr>
                <w:sz w:val="20"/>
                <w:color w:val="000000"/>
              </w:rPr>
              <w:t>Enregistrer une vente payée en espèces</w:t>
            </w:r>
          </w:p>
        </w:tc>
        <w:tc>
          <w:tcPr>
            <w:tcW w:w="496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pPr>
              <w:spacing w:before="50" w:after="50"/>
            </w:pPr>
            <w:r>
              <w:rPr>
                <w:sz w:val="20"/>
                <w:color w:val="000000"/>
              </w:rPr>
              <w:t>La vente, le paiement et la sortie de stock sont liés ; la caisse augmente une seule fois.</w:t>
            </w:r>
          </w:p>
        </w:tc>
      </w:tr>
      <w:tr w14:paraId="3DA7EC29" w14:textId="77777777">
        <w:trPr>
          <w:cantSplit/>
        </w:trPr>
        <w:tc>
          <w:tcPr>
            <w:tcW w:w="70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pPr>
              <w:spacing w:before="50" w:after="50"/>
            </w:pPr>
            <w:r>
              <w:rPr>
                <w:sz w:val="20"/>
                <w:color w:val="000000"/>
              </w:rPr>
              <w:t>R03</w:t>
            </w:r>
          </w:p>
        </w:tc>
        <w:tc>
          <w:tcPr>
            <w:tcW w:w="370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pPr>
              <w:spacing w:before="50" w:after="50"/>
            </w:pPr>
            <w:r>
              <w:rPr>
                <w:sz w:val="20"/>
                <w:color w:val="000000"/>
              </w:rPr>
              <w:t>Enregistrer une vente par Mobile Money</w:t>
            </w:r>
          </w:p>
        </w:tc>
        <w:tc>
          <w:tcPr>
            <w:tcW w:w="496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pPr>
              <w:spacing w:before="50" w:after="50"/>
            </w:pPr>
            <w:r>
              <w:rPr>
                <w:sz w:val="20"/>
                <w:color w:val="000000"/>
              </w:rPr>
              <w:t>L’encaissement est suivi séparément ; les espèces attendues ne changent pas.</w:t>
            </w:r>
          </w:p>
        </w:tc>
      </w:tr>
      <w:tr w14:paraId="3DA7EC29" w14:textId="77777777">
        <w:trPr>
          <w:cantSplit/>
        </w:trPr>
        <w:tc>
          <w:tcPr>
            <w:tcW w:w="70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pPr>
              <w:spacing w:before="50" w:after="50"/>
            </w:pPr>
            <w:r>
              <w:rPr>
                <w:sz w:val="20"/>
                <w:color w:val="000000"/>
              </w:rPr>
              <w:t>R04</w:t>
            </w:r>
          </w:p>
        </w:tc>
        <w:tc>
          <w:tcPr>
            <w:tcW w:w="370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pPr>
              <w:spacing w:before="50" w:after="50"/>
            </w:pPr>
            <w:r>
              <w:rPr>
                <w:sz w:val="20"/>
                <w:color w:val="000000"/>
              </w:rPr>
              <w:t>Faire acheter le gérant avec une avance de 100 000 et un achat de 92 000</w:t>
            </w:r>
          </w:p>
        </w:tc>
        <w:tc>
          <w:tcPr>
            <w:tcW w:w="496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pPr>
              <w:spacing w:before="50" w:after="50"/>
            </w:pPr>
            <w:r>
              <w:rPr>
                <w:sz w:val="20"/>
                <w:color w:val="000000"/>
              </w:rPr>
              <w:t>Autorisation, paiement et réception sont reliés ; les 8 000 restants doivent être localisés.</w:t>
            </w:r>
          </w:p>
        </w:tc>
      </w:tr>
      <w:tr w14:paraId="3DA7EC29" w14:textId="77777777">
        <w:trPr>
          <w:cantSplit/>
        </w:trPr>
        <w:tc>
          <w:tcPr>
            <w:tcW w:w="70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pPr>
              <w:spacing w:before="50" w:after="50"/>
            </w:pPr>
            <w:r>
              <w:rPr>
                <w:sz w:val="20"/>
                <w:color w:val="000000"/>
              </w:rPr>
              <w:t>R05</w:t>
            </w:r>
          </w:p>
        </w:tc>
        <w:tc>
          <w:tcPr>
            <w:tcW w:w="370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pPr>
              <w:spacing w:before="50" w:after="50"/>
            </w:pPr>
            <w:r>
              <w:rPr>
                <w:sz w:val="20"/>
                <w:color w:val="000000"/>
              </w:rPr>
              <w:t>Faire acheter le propriétaire et répartir entre deux boutiques</w:t>
            </w:r>
          </w:p>
        </w:tc>
        <w:tc>
          <w:tcPr>
            <w:tcW w:w="496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pPr>
              <w:spacing w:before="50" w:after="50"/>
            </w:pPr>
            <w:r>
              <w:rPr>
                <w:sz w:val="20"/>
                <w:color w:val="000000"/>
              </w:rPr>
              <w:t>Un achat, deux envois et deux confirmations ; aucune seconde dépense d’achat.</w:t>
            </w:r>
          </w:p>
        </w:tc>
      </w:tr>
      <w:tr w14:paraId="3DA7EC29" w14:textId="77777777">
        <w:trPr>
          <w:cantSplit/>
        </w:trPr>
        <w:tc>
          <w:tcPr>
            <w:tcW w:w="70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pPr>
              <w:spacing w:before="50" w:after="50"/>
            </w:pPr>
            <w:r>
              <w:rPr>
                <w:sz w:val="20"/>
                <w:color w:val="000000"/>
              </w:rPr>
              <w:t>R06</w:t>
            </w:r>
          </w:p>
        </w:tc>
        <w:tc>
          <w:tcPr>
            <w:tcW w:w="370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pPr>
              <w:spacing w:before="50" w:after="50"/>
            </w:pPr>
            <w:r>
              <w:rPr>
                <w:sz w:val="20"/>
                <w:color w:val="000000"/>
              </w:rPr>
              <w:t>Envoyer 50 articles et en recevoir 45</w:t>
            </w:r>
          </w:p>
        </w:tc>
        <w:tc>
          <w:tcPr>
            <w:tcW w:w="496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pPr>
              <w:spacing w:before="50" w:after="50"/>
            </w:pPr>
            <w:r>
              <w:rPr>
                <w:sz w:val="20"/>
                <w:color w:val="000000"/>
              </w:rPr>
              <w:t>45 entrent dans le stock de destination ; les 5 restants restent en écart ou en transit.</w:t>
            </w:r>
          </w:p>
        </w:tc>
      </w:tr>
      <w:tr w14:paraId="3DA7EC29" w14:textId="77777777">
        <w:trPr>
          <w:cantSplit/>
        </w:trPr>
        <w:tc>
          <w:tcPr>
            <w:tcW w:w="70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pPr>
              <w:spacing w:before="50" w:after="50"/>
            </w:pPr>
            <w:r>
              <w:rPr>
                <w:sz w:val="20"/>
                <w:color w:val="000000"/>
              </w:rPr>
              <w:t>R07</w:t>
            </w:r>
          </w:p>
        </w:tc>
        <w:tc>
          <w:tcPr>
            <w:tcW w:w="370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pPr>
              <w:spacing w:before="50" w:after="50"/>
            </w:pPr>
            <w:r>
              <w:rPr>
                <w:sz w:val="20"/>
                <w:color w:val="000000"/>
              </w:rPr>
              <w:t>Refuser une demande non exécutée</w:t>
            </w:r>
          </w:p>
        </w:tc>
        <w:tc>
          <w:tcPr>
            <w:tcW w:w="496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pPr>
              <w:spacing w:before="50" w:after="50"/>
            </w:pPr>
            <w:r>
              <w:rPr>
                <w:sz w:val="20"/>
                <w:color w:val="000000"/>
              </w:rPr>
              <w:t>Le refus est visible ; aucun stock ni paiement réel n’est créé.</w:t>
            </w:r>
          </w:p>
        </w:tc>
      </w:tr>
      <w:tr w14:paraId="3DA7EC29" w14:textId="77777777">
        <w:trPr>
          <w:cantSplit/>
        </w:trPr>
        <w:tc>
          <w:tcPr>
            <w:tcW w:w="70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pPr>
              <w:spacing w:before="50" w:after="50"/>
            </w:pPr>
            <w:r>
              <w:rPr>
                <w:sz w:val="20"/>
                <w:color w:val="000000"/>
              </w:rPr>
              <w:t>R08</w:t>
            </w:r>
          </w:p>
        </w:tc>
        <w:tc>
          <w:tcPr>
            <w:tcW w:w="370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pPr>
              <w:spacing w:before="50" w:after="50"/>
            </w:pPr>
            <w:r>
              <w:rPr>
                <w:sz w:val="20"/>
                <w:color w:val="000000"/>
              </w:rPr>
              <w:t>Transférer des articles entre boutiques</w:t>
            </w:r>
          </w:p>
        </w:tc>
        <w:tc>
          <w:tcPr>
            <w:tcW w:w="496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pPr>
              <w:spacing w:before="50" w:after="50"/>
            </w:pPr>
            <w:r>
              <w:rPr>
                <w:sz w:val="20"/>
                <w:color w:val="000000"/>
              </w:rPr>
              <w:t>Disponibilité déplacée après confirmations ; stock global sans double comptage.</w:t>
            </w:r>
          </w:p>
        </w:tc>
      </w:tr>
      <w:tr w14:paraId="3DA7EC29" w14:textId="77777777">
        <w:trPr>
          <w:cantSplit/>
        </w:trPr>
        <w:tc>
          <w:tcPr>
            <w:tcW w:w="70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pPr>
              <w:spacing w:before="50" w:after="50"/>
            </w:pPr>
            <w:r>
              <w:rPr>
                <w:sz w:val="20"/>
                <w:color w:val="000000"/>
              </w:rPr>
              <w:t>R09</w:t>
            </w:r>
          </w:p>
        </w:tc>
        <w:tc>
          <w:tcPr>
            <w:tcW w:w="370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pPr>
              <w:spacing w:before="50" w:after="50"/>
            </w:pPr>
            <w:r>
              <w:rPr>
                <w:sz w:val="20"/>
                <w:color w:val="000000"/>
              </w:rPr>
              <w:t>Clôturer avec une caisse comptée inférieure au montant attendu</w:t>
            </w:r>
          </w:p>
        </w:tc>
        <w:tc>
          <w:tcPr>
            <w:tcW w:w="496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pPr>
              <w:spacing w:before="50" w:after="50"/>
            </w:pPr>
            <w:r>
              <w:rPr>
                <w:sz w:val="20"/>
                <w:color w:val="000000"/>
              </w:rPr>
              <w:t>L’écart apparaît, nécessite une explication et reste dans l’historique.</w:t>
            </w:r>
          </w:p>
        </w:tc>
      </w:tr>
      <w:tr w14:paraId="3DA7EC29" w14:textId="77777777">
        <w:trPr>
          <w:cantSplit/>
        </w:trPr>
        <w:tc>
          <w:tcPr>
            <w:tcW w:w="70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pPr>
              <w:spacing w:before="50" w:after="50"/>
            </w:pPr>
            <w:r>
              <w:rPr>
                <w:sz w:val="20"/>
                <w:color w:val="000000"/>
              </w:rPr>
              <w:t>R10</w:t>
            </w:r>
          </w:p>
        </w:tc>
        <w:tc>
          <w:tcPr>
            <w:tcW w:w="370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pPr>
              <w:spacing w:before="50" w:after="50"/>
            </w:pPr>
            <w:r>
              <w:rPr>
                <w:sz w:val="20"/>
                <w:color w:val="000000"/>
              </w:rPr>
              <w:t>Compter un stock différent du stock théorique</w:t>
            </w:r>
          </w:p>
        </w:tc>
        <w:tc>
          <w:tcPr>
            <w:tcW w:w="496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pPr>
              <w:spacing w:before="50" w:after="50"/>
            </w:pPr>
            <w:r>
              <w:rPr>
                <w:sz w:val="20"/>
                <w:color w:val="000000"/>
              </w:rPr>
              <w:t>L’inventaire conserve l’écart ; l’ajustement attend la validation.</w:t>
            </w:r>
          </w:p>
        </w:tc>
      </w:tr>
      <w:tr w14:paraId="3DA7EC29" w14:textId="77777777">
        <w:trPr>
          <w:cantSplit/>
        </w:trPr>
        <w:tc>
          <w:tcPr>
            <w:tcW w:w="70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pPr>
              <w:spacing w:before="50" w:after="50"/>
            </w:pPr>
            <w:r>
              <w:rPr>
                <w:sz w:val="20"/>
                <w:color w:val="000000"/>
              </w:rPr>
              <w:t>R11</w:t>
            </w:r>
          </w:p>
        </w:tc>
        <w:tc>
          <w:tcPr>
            <w:tcW w:w="370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pPr>
              <w:spacing w:before="50" w:after="50"/>
            </w:pPr>
            <w:r>
              <w:rPr>
                <w:sz w:val="20"/>
                <w:color w:val="000000"/>
              </w:rPr>
              <w:t>Corriger une vente après clôture</w:t>
            </w:r>
          </w:p>
        </w:tc>
        <w:tc>
          <w:tcPr>
            <w:tcW w:w="496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pPr>
              <w:spacing w:before="50" w:after="50"/>
            </w:pPr>
            <w:r>
              <w:rPr>
                <w:sz w:val="20"/>
                <w:color w:val="000000"/>
              </w:rPr>
              <w:t>Autorisation et correction liées à l’original ; historique et rapports cohérents.</w:t>
            </w:r>
          </w:p>
        </w:tc>
      </w:tr>
      <w:tr w14:paraId="3DA7EC29" w14:textId="77777777">
        <w:trPr>
          <w:cantSplit/>
        </w:trPr>
        <w:tc>
          <w:tcPr>
            <w:tcW w:w="70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pPr>
              <w:spacing w:before="50" w:after="50"/>
            </w:pPr>
            <w:r>
              <w:rPr>
                <w:sz w:val="20"/>
                <w:color w:val="000000"/>
              </w:rPr>
              <w:t>R12</w:t>
            </w:r>
          </w:p>
        </w:tc>
        <w:tc>
          <w:tcPr>
            <w:tcW w:w="370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pPr>
              <w:spacing w:before="50" w:after="50"/>
            </w:pPr>
            <w:r>
              <w:rPr>
                <w:sz w:val="20"/>
                <w:color w:val="000000"/>
              </w:rPr>
              <w:t>Renvoyer deux fois la même validation après coupure</w:t>
            </w:r>
          </w:p>
        </w:tc>
        <w:tc>
          <w:tcPr>
            <w:tcW w:w="496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pPr>
              <w:spacing w:before="50" w:after="50"/>
            </w:pPr>
            <w:r>
              <w:rPr>
                <w:sz w:val="20"/>
                <w:color w:val="000000"/>
              </w:rPr>
              <w:t>Une seule opération financière et un seul mouvement de stock sont créés.</w:t>
            </w:r>
          </w:p>
        </w:tc>
      </w:tr>
    </w:tbl>
    <w:p>
      <w:pPr>
        <w:pStyle w:val="Heading1"/>
        <w:pageBreakBefore/>
      </w:pPr>
      <w:r>
        <w:t>15 Décisions attendues et accord du client</w:t>
      </w:r>
    </w:p>
    <w:p>
      <w:pPr>
        <w:spacing w:after="120" w:line="276" w:lineRule="auto"/>
        <w:jc w:val="both"/>
        <w:rPr>
          <w:rFonts w:ascii="Helvetica Neue" w:eastAsia="Helvetica Neue" w:hAnsi="Helvetica Neue" w:cs="Helvetica Neue"/>
        </w:rPr>
      </w:pPr>
      <w:r>
        <w:t>Pour chaque point, préciser la règle souhaitée ou indiquer « à définir ». Les réponses compléteront le périmètre avant chiffrage et conception détaillée.</w:t>
      </w:r>
    </w:p>
    <w:tbl>
      <w:tblPr>
        <w:tblStyle w:val="a0"/>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600"/>
        <w:gridCol w:w="3760"/>
      </w:tblGrid>
      <w:tr w14:paraId="35733155" w14:textId="77777777">
        <w:trPr>
          <w:tblHeader/>
          <w:cantSplit/>
          <w:tblHeader/>
        </w:trPr>
        <w:tc>
          <w:tcPr>
            <w:tcW w:w="5600" w:type="dxa"/>
            <w:tcBorders>
              <w:top w:val="single" w:sz="4" w:space="0" w:color="BFBFBF"/>
              <w:left w:val="single" w:sz="4" w:space="0" w:color="BFBFBF"/>
              <w:bottom w:val="single" w:sz="4" w:space="0" w:color="BFBFBF"/>
              <w:right w:val="single" w:sz="4" w:space="0" w:color="BFBFBF"/>
            </w:tcBorders>
            <w:shd w:val="clear" w:color="auto" w:fill="E8EBF6"/>
            <w:tcMar>
              <w:top w:w="60" w:type="dxa"/>
              <w:left w:w="110" w:type="dxa"/>
              <w:bottom w:w="60" w:type="dxa"/>
              <w:right w:w="110" w:type="dxa"/>
            </w:tcMar>
            <w:vAlign w:val="center"/>
          </w:tcPr>
          <w:p>
            <w:pPr>
              <w:spacing w:before="50" w:after="50"/>
            </w:pPr>
            <w:r>
              <w:rPr>
                <w:sz w:val="20"/>
                <w:b/>
                <w:color w:val="000000"/>
              </w:rPr>
              <w:t>Sujet</w:t>
            </w:r>
          </w:p>
        </w:tc>
        <w:tc>
          <w:tcPr>
            <w:tcW w:w="3760" w:type="dxa"/>
            <w:tcBorders>
              <w:top w:val="single" w:sz="4" w:space="0" w:color="BFBFBF"/>
              <w:left w:val="single" w:sz="4" w:space="0" w:color="BFBFBF"/>
              <w:bottom w:val="single" w:sz="4" w:space="0" w:color="BFBFBF"/>
              <w:right w:val="single" w:sz="4" w:space="0" w:color="BFBFBF"/>
            </w:tcBorders>
            <w:shd w:val="clear" w:color="auto" w:fill="E8EBF6"/>
            <w:tcMar>
              <w:top w:w="60" w:type="dxa"/>
              <w:left w:w="110" w:type="dxa"/>
              <w:bottom w:w="60" w:type="dxa"/>
              <w:right w:w="110" w:type="dxa"/>
            </w:tcMar>
            <w:vAlign w:val="center"/>
          </w:tcPr>
          <w:p>
            <w:pPr>
              <w:spacing w:before="50" w:after="50"/>
            </w:pPr>
            <w:r>
              <w:rPr>
                <w:sz w:val="20"/>
                <w:b/>
                <w:color w:val="000000"/>
              </w:rPr>
              <w:t>Réponse du client</w:t>
            </w:r>
          </w:p>
        </w:tc>
      </w:tr>
      <w:tr w14:paraId="3DA7EC29" w14:textId="77777777">
        <w:trPr>
          <w:cantSplit/>
        </w:trPr>
        <w:tc>
          <w:tcPr>
            <w:tcW w:w="560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pPr>
              <w:spacing w:before="50" w:after="50"/>
            </w:pPr>
            <w:r>
              <w:rPr>
                <w:sz w:val="20"/>
                <w:color w:val="000000"/>
              </w:rPr>
              <w:t>Produits, unités, variantes, péremption</w:t>
            </w:r>
          </w:p>
        </w:tc>
        <w:tc>
          <w:tcPr>
            <w:tcW w:w="376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pPr>
              <w:spacing w:before="50" w:after="50"/>
            </w:pPr>
            <w:r>
              <w:rPr>
                <w:sz w:val="20"/>
                <w:color w:val="000000"/>
              </w:rPr>
              <w:t>À compléter</w:t>
            </w:r>
          </w:p>
        </w:tc>
      </w:tr>
      <w:tr w14:paraId="3DA7EC29" w14:textId="77777777">
        <w:trPr>
          <w:cantSplit/>
        </w:trPr>
        <w:tc>
          <w:tcPr>
            <w:tcW w:w="560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pPr>
              <w:spacing w:before="50" w:after="50"/>
            </w:pPr>
            <w:r>
              <w:rPr>
                <w:sz w:val="20"/>
                <w:color w:val="000000"/>
              </w:rPr>
              <w:t>Utilisateurs par boutique et rôles supplémentaires</w:t>
            </w:r>
          </w:p>
        </w:tc>
        <w:tc>
          <w:tcPr>
            <w:tcW w:w="376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pPr>
              <w:spacing w:before="50" w:after="50"/>
            </w:pPr>
            <w:r>
              <w:rPr>
                <w:sz w:val="20"/>
                <w:color w:val="000000"/>
              </w:rPr>
              <w:t>À compléter</w:t>
            </w:r>
          </w:p>
        </w:tc>
      </w:tr>
      <w:tr w14:paraId="3DA7EC29" w14:textId="77777777">
        <w:trPr>
          <w:cantSplit/>
        </w:trPr>
        <w:tc>
          <w:tcPr>
            <w:tcW w:w="560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pPr>
              <w:spacing w:before="50" w:after="50"/>
            </w:pPr>
            <w:r>
              <w:rPr>
                <w:sz w:val="20"/>
                <w:color w:val="000000"/>
              </w:rPr>
              <w:t>Devise, modes de paiement et ventes à crédit</w:t>
            </w:r>
          </w:p>
        </w:tc>
        <w:tc>
          <w:tcPr>
            <w:tcW w:w="376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pPr>
              <w:spacing w:before="50" w:after="50"/>
            </w:pPr>
            <w:r>
              <w:rPr>
                <w:sz w:val="20"/>
                <w:color w:val="000000"/>
              </w:rPr>
              <w:t>À compléter</w:t>
            </w:r>
          </w:p>
        </w:tc>
      </w:tr>
      <w:tr w14:paraId="3DA7EC29" w14:textId="77777777">
        <w:trPr>
          <w:cantSplit/>
        </w:trPr>
        <w:tc>
          <w:tcPr>
            <w:tcW w:w="560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pPr>
              <w:spacing w:before="50" w:after="50"/>
            </w:pPr>
            <w:r>
              <w:rPr>
                <w:sz w:val="20"/>
                <w:color w:val="000000"/>
              </w:rPr>
              <w:t>Prix par boutique et limites des remises</w:t>
            </w:r>
          </w:p>
        </w:tc>
        <w:tc>
          <w:tcPr>
            <w:tcW w:w="376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pPr>
              <w:spacing w:before="50" w:after="50"/>
            </w:pPr>
            <w:r>
              <w:rPr>
                <w:sz w:val="20"/>
                <w:color w:val="000000"/>
              </w:rPr>
              <w:t>À compléter</w:t>
            </w:r>
          </w:p>
        </w:tc>
      </w:tr>
      <w:tr w14:paraId="3DA7EC29" w14:textId="77777777">
        <w:trPr>
          <w:cantSplit/>
        </w:trPr>
        <w:tc>
          <w:tcPr>
            <w:tcW w:w="560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pPr>
              <w:spacing w:before="50" w:after="50"/>
            </w:pPr>
            <w:r>
              <w:rPr>
                <w:sz w:val="20"/>
                <w:color w:val="000000"/>
              </w:rPr>
              <w:t>Sources de fonds et seuils de validation des dépenses</w:t>
            </w:r>
          </w:p>
        </w:tc>
        <w:tc>
          <w:tcPr>
            <w:tcW w:w="376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pPr>
              <w:spacing w:before="50" w:after="50"/>
            </w:pPr>
            <w:r>
              <w:rPr>
                <w:sz w:val="20"/>
                <w:color w:val="000000"/>
              </w:rPr>
              <w:t>À compléter</w:t>
            </w:r>
          </w:p>
        </w:tc>
      </w:tr>
      <w:tr w14:paraId="3DA7EC29" w14:textId="77777777">
        <w:trPr>
          <w:cantSplit/>
        </w:trPr>
        <w:tc>
          <w:tcPr>
            <w:tcW w:w="560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pPr>
              <w:spacing w:before="50" w:after="50"/>
            </w:pPr>
            <w:r>
              <w:rPr>
                <w:sz w:val="20"/>
                <w:color w:val="000000"/>
              </w:rPr>
              <w:t>Dépôt, localisation avant transfert et achats à crédit</w:t>
            </w:r>
          </w:p>
        </w:tc>
        <w:tc>
          <w:tcPr>
            <w:tcW w:w="376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pPr>
              <w:spacing w:before="50" w:after="50"/>
            </w:pPr>
            <w:r>
              <w:rPr>
                <w:sz w:val="20"/>
                <w:color w:val="000000"/>
              </w:rPr>
              <w:t>À compléter</w:t>
            </w:r>
          </w:p>
        </w:tc>
      </w:tr>
      <w:tr w14:paraId="3DA7EC29" w14:textId="77777777">
        <w:trPr>
          <w:cantSplit/>
        </w:trPr>
        <w:tc>
          <w:tcPr>
            <w:tcW w:w="560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pPr>
              <w:spacing w:before="50" w:after="50"/>
            </w:pPr>
            <w:r>
              <w:rPr>
                <w:sz w:val="20"/>
                <w:color w:val="000000"/>
              </w:rPr>
              <w:t>Réception par le gérant avant contrôle documentaire final</w:t>
            </w:r>
          </w:p>
        </w:tc>
        <w:tc>
          <w:tcPr>
            <w:tcW w:w="376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pPr>
              <w:spacing w:before="50" w:after="50"/>
            </w:pPr>
            <w:r>
              <w:rPr>
                <w:sz w:val="20"/>
                <w:color w:val="000000"/>
              </w:rPr>
              <w:t>À confirmer</w:t>
            </w:r>
          </w:p>
        </w:tc>
      </w:tr>
      <w:tr w14:paraId="3DA7EC29" w14:textId="77777777">
        <w:trPr>
          <w:cantSplit/>
        </w:trPr>
        <w:tc>
          <w:tcPr>
            <w:tcW w:w="560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pPr>
              <w:spacing w:before="50" w:after="50"/>
            </w:pPr>
            <w:r>
              <w:rPr>
                <w:sz w:val="20"/>
                <w:color w:val="000000"/>
              </w:rPr>
              <w:t>Fréquence des clôtures et inventaires</w:t>
            </w:r>
          </w:p>
        </w:tc>
        <w:tc>
          <w:tcPr>
            <w:tcW w:w="376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pPr>
              <w:spacing w:before="50" w:after="50"/>
            </w:pPr>
            <w:r>
              <w:rPr>
                <w:sz w:val="20"/>
                <w:color w:val="000000"/>
              </w:rPr>
              <w:t>À compléter</w:t>
            </w:r>
          </w:p>
        </w:tc>
      </w:tr>
      <w:tr w14:paraId="3DA7EC29" w14:textId="77777777">
        <w:trPr>
          <w:cantSplit/>
        </w:trPr>
        <w:tc>
          <w:tcPr>
            <w:tcW w:w="560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pPr>
              <w:spacing w:before="50" w:after="50"/>
            </w:pPr>
            <w:r>
              <w:rPr>
                <w:sz w:val="20"/>
                <w:color w:val="000000"/>
              </w:rPr>
              <w:t>Justificatifs obligatoires et traitement des urgences</w:t>
            </w:r>
          </w:p>
        </w:tc>
        <w:tc>
          <w:tcPr>
            <w:tcW w:w="376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pPr>
              <w:spacing w:before="50" w:after="50"/>
            </w:pPr>
            <w:r>
              <w:rPr>
                <w:sz w:val="20"/>
                <w:color w:val="000000"/>
              </w:rPr>
              <w:t>À compléter</w:t>
            </w:r>
          </w:p>
        </w:tc>
      </w:tr>
      <w:tr w14:paraId="3DA7EC29" w14:textId="77777777">
        <w:trPr>
          <w:cantSplit/>
        </w:trPr>
        <w:tc>
          <w:tcPr>
            <w:tcW w:w="560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pPr>
              <w:spacing w:before="50" w:after="50"/>
            </w:pPr>
            <w:r>
              <w:rPr>
                <w:sz w:val="20"/>
                <w:color w:val="000000"/>
              </w:rPr>
              <w:t>Connexion, mode hors ligne, reçus et exports</w:t>
            </w:r>
          </w:p>
        </w:tc>
        <w:tc>
          <w:tcPr>
            <w:tcW w:w="376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pPr>
              <w:spacing w:before="50" w:after="50"/>
            </w:pPr>
            <w:r>
              <w:rPr>
                <w:sz w:val="20"/>
                <w:color w:val="000000"/>
              </w:rPr>
              <w:t>À compléter</w:t>
            </w:r>
          </w:p>
        </w:tc>
      </w:tr>
    </w:tbl>
    <w:p>
      <w:pPr>
        <w:pStyle w:val="Heading2"/>
      </w:pPr>
      <w:r>
        <w:t>Accord sur le périmètre fonctionnel</w:t>
      </w:r>
    </w:p>
    <w:p>
      <w:pPr>
        <w:spacing w:after="120" w:line="276" w:lineRule="auto"/>
        <w:jc w:val="both"/>
        <w:rPr>
          <w:rFonts w:ascii="Helvetica Neue" w:eastAsia="Helvetica Neue" w:hAnsi="Helvetica Neue" w:cs="Helvetica Neue"/>
        </w:rPr>
      </w:pPr>
      <w:r>
        <w:t>Décision : approuvé / approuvé sous réserves / à réviser (entourer la mention retenue).</w:t>
      </w:r>
    </w:p>
    <w:p>
      <w:pPr>
        <w:spacing w:after="120" w:line="276" w:lineRule="auto"/>
        <w:jc w:val="both"/>
        <w:rPr>
          <w:rFonts w:ascii="Helvetica Neue" w:eastAsia="Helvetica Neue" w:hAnsi="Helvetica Neue" w:cs="Helvetica Neue"/>
        </w:rPr>
      </w:pPr>
      <w:r>
        <w:t>Réserves, fonctionnalités prioritaires et compléments :</w:t>
      </w:r>
    </w:p>
    <w:p>
      <w:pPr>
        <w:spacing w:after="120" w:line="276" w:lineRule="auto"/>
        <w:jc w:val="both"/>
        <w:rPr>
          <w:rFonts w:ascii="Helvetica Neue" w:eastAsia="Helvetica Neue" w:hAnsi="Helvetica Neue" w:cs="Helvetica Neue"/>
        </w:rPr>
      </w:pPr>
      <w:r>
        <w:t>........................................................................................................</w:t>
      </w:r>
    </w:p>
    <w:p>
      <w:pPr>
        <w:spacing w:after="120" w:line="276" w:lineRule="auto"/>
        <w:jc w:val="both"/>
        <w:rPr>
          <w:rFonts w:ascii="Helvetica Neue" w:eastAsia="Helvetica Neue" w:hAnsi="Helvetica Neue" w:cs="Helvetica Neue"/>
        </w:rPr>
      </w:pPr>
      <w:r>
        <w:t>........................................................................................................</w:t>
      </w:r>
    </w:p>
    <w:p>
      <w:pPr>
        <w:spacing w:after="120" w:line="276" w:lineRule="auto"/>
        <w:jc w:val="both"/>
        <w:rPr>
          <w:rFonts w:ascii="Helvetica Neue" w:eastAsia="Helvetica Neue" w:hAnsi="Helvetica Neue" w:cs="Helvetica Neue"/>
        </w:rPr>
      </w:pPr>
      <w:r>
        <w:t>Entreprise : ....................................   Représentant : ....................................</w:t>
      </w:r>
    </w:p>
    <w:p>
      <w:pPr>
        <w:spacing w:after="120" w:line="276" w:lineRule="auto"/>
        <w:jc w:val="both"/>
        <w:rPr>
          <w:rFonts w:ascii="Helvetica Neue" w:eastAsia="Helvetica Neue" w:hAnsi="Helvetica Neue" w:cs="Helvetica Neue"/>
        </w:rPr>
      </w:pPr>
      <w:r>
        <w:t>Date : ............................................   Signature : ...........................................</w:t>
      </w:r>
    </w:p>
    <w:p>
      <w:pPr>
        <w:spacing w:after="120" w:line="276" w:lineRule="auto"/>
        <w:jc w:val="both"/>
        <w:rPr>
          <w:rFonts w:ascii="Helvetica Neue" w:eastAsia="Helvetica Neue" w:hAnsi="Helvetica Neue" w:cs="Helvetica Neue"/>
        </w:rPr>
      </w:pPr>
      <w:r>
        <w:t>La signature confirme la compréhension du besoin et les réserves consignées. Les options non confirmées, le budget et les délais nécessitent un accord distinct.</w:t>
      </w:r>
    </w:p>
    <w:sectPr>
      <w:headerReference w:type="default" r:id="rId9"/>
      <w:footerReference w:type="default" r:id="rId10"/>
      <w:pgSz w:w="12240" w:h="15840"/>
      <w:pgMar w:top="1440" w:right="1440" w:bottom="1440" w:left="1440" w:header="705"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90939A4" w14:textId="77777777">
      <w:r>
        <w:separator/>
      </w:r>
    </w:p>
  </w:endnote>
  <w:endnote w:type="continuationSeparator" w:id="0">
    <w:p w14:paraId="56A038BD"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AFF" w:usb1="C0007843" w:usb2="00000009" w:usb3="00000000" w:csb0="000001FF" w:csb1="00000000"/>
    <w:embedRegular r:id="rId1" w:fontKey="{DD3E6FD9-D3EA-0B48-A55F-C080D5A51BF2}"/>
    <w:embedBold r:id="rId2" w:fontKey="{DDFB625A-45BE-CE44-B15E-DF5BB7815FF7}"/>
    <w:embedItalic r:id="rId3" w:fontKey="{6119CEB5-DE25-6D4D-B2F9-50E47E40CFE1}"/>
  </w:font>
  <w:font w:name="Helvetica Neue">
    <w:panose1 w:val="02000503000000020004"/>
    <w:charset w:val="00"/>
    <w:family w:val="auto"/>
    <w:pitch w:val="variable"/>
    <w:sig w:usb0="E50002FF" w:usb1="500079DB" w:usb2="00000010" w:usb3="00000000" w:csb0="00000001" w:csb1="00000000"/>
  </w:font>
  <w:font w:name="Times New Roman">
    <w:panose1 w:val="02020603050405020304"/>
    <w:charset w:val="00"/>
    <w:family w:val="roman"/>
    <w:pitch w:val="variable"/>
    <w:sig w:usb0="E0002EFF" w:usb1="C000785B" w:usb2="00000009" w:usb3="00000000" w:csb0="000001FF" w:csb1="00000000"/>
    <w:embedRegular r:id="rId7" w:fontKey="{F3731299-A1D5-B542-9E67-1B0FA6F28CD4}"/>
  </w:font>
  <w:font w:name="Georgia">
    <w:panose1 w:val="02040502050405020303"/>
    <w:charset w:val="00"/>
    <w:family w:val="roman"/>
    <w:pitch w:val="variable"/>
    <w:sig w:usb0="00000287" w:usb1="00000000" w:usb2="00000000" w:usb3="00000000" w:csb0="0000009F" w:csb1="00000000"/>
    <w:embedItalic r:id="rId8" w:fontKey="{682841DE-6A2C-764D-8B8B-541E954AD362}"/>
  </w:font>
  <w:font w:name="Calibri">
    <w:panose1 w:val="020F0502020204030204"/>
    <w:charset w:val="00"/>
    <w:family w:val="modern"/>
    <w:pitch w:val="variable"/>
    <w:sig w:usb0="00000003" w:usb1="00000000" w:usb2="00000000" w:usb3="00000000" w:csb0="00000001" w:csb1="00000000"/>
    <w:embedRegular r:id="rId9" w:fontKey="{D4D164A4-8B83-F44E-A13B-A0908815976C}"/>
  </w:font>
  <w:font w:name="Cambria">
    <w:panose1 w:val="02040503050406030204"/>
    <w:charset w:val="00"/>
    <w:family w:val="roman"/>
    <w:notTrueType/>
    <w:pitch w:val="default"/>
    <w:embedRegular r:id="rId10" w:fontKey="{129DD48A-EFF5-1A47-8CFE-E7D5F089F46D}"/>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5178A6B" w14:textId="77777777">
    <w:pPr>
      <w:pBdr>
        <w:top w:val="nil"/>
      </w:pBdr>
      <w:tabs>
        <w:tab w:val="right" w:pos="9360"/>
      </w:tabs>
      <w:rPr>
        <w:color w:val="112075"/>
      </w:rPr>
    </w:pPr>
    <w:r>
      <w:rPr>
        <w:color w:val="112075"/>
        <w:sz w:val="16"/>
        <w:szCs w:val="16"/>
      </w:rPr>
      <w:t xml:space="preserve">Document soumis à validation • </w:t>
    </w:r>
    <w:r>
      <w:rPr>
        <w:color w:val="112075"/>
        <w:sz w:val="16"/>
        <w:szCs w:val="16"/>
      </w:rPr>
      <w:fldChar w:fldCharType="begin"/>
    </w:r>
    <w:r>
      <w:rPr>
        <w:color w:val="112075"/>
        <w:sz w:val="16"/>
        <w:szCs w:val="16"/>
      </w:rPr>
      <w:instrText>PAGE</w:instrText>
    </w:r>
    <w:r>
      <w:rPr>
        <w:color w:val="112075"/>
        <w:sz w:val="16"/>
        <w:szCs w:val="16"/>
      </w:rPr>
      <w:fldChar w:fldCharType="separate"/>
    </w:r>
    <w:r>
      <w:rPr>
        <w:noProof/>
        <w:color w:val="112075"/>
        <w:sz w:val="16"/>
        <w:szCs w:val="16"/>
      </w:rPr>
      <w:t>1</w:t>
    </w:r>
    <w:r>
      <w:rPr>
        <w:color w:val="112075"/>
        <w:sz w:val="16"/>
        <w:szCs w:val="16"/>
      </w:rPr>
      <w:fldChar w:fldCharType="end"/>
    </w:r>
    <w:r>
      <w:rPr>
        <w:color w:val="112075"/>
        <w:sz w:val="16"/>
        <w:szCs w:val="16"/>
      </w:rPr>
      <w:t xml:space="preserve"> sur </w:t>
    </w:r>
    <w:r>
      <w:rPr>
        <w:color w:val="112075"/>
        <w:sz w:val="16"/>
        <w:szCs w:val="16"/>
      </w:rPr>
      <w:fldChar w:fldCharType="begin"/>
    </w:r>
    <w:r>
      <w:rPr>
        <w:color w:val="112075"/>
        <w:sz w:val="16"/>
        <w:szCs w:val="16"/>
      </w:rPr>
      <w:instrText>NUMPAGES</w:instrText>
    </w:r>
    <w:r>
      <w:rPr>
        <w:color w:val="112075"/>
        <w:sz w:val="16"/>
        <w:szCs w:val="16"/>
      </w:rPr>
      <w:fldChar w:fldCharType="separate"/>
    </w:r>
    <w:r>
      <w:rPr>
        <w:noProof/>
        <w:color w:val="112075"/>
        <w:sz w:val="16"/>
        <w:szCs w:val="16"/>
      </w:rPr>
      <w:t>2</w:t>
    </w:r>
    <w:r>
      <w:rPr>
        <w:color w:val="112075"/>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394D08F" w14:textId="77777777">
      <w:r>
        <w:separator/>
      </w:r>
    </w:p>
  </w:footnote>
  <w:footnote w:type="continuationSeparator" w:id="0">
    <w:p w14:paraId="4AF4CD87"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24F3B78" w14:textId="77777777">
    <w:pPr>
      <w:tabs>
        <w:tab w:val="right" w:pos="9360"/>
      </w:tabs>
      <w:rPr>
        <w:color w:val="1A1BAA"/>
        <w:sz w:val="16"/>
        <w:szCs w:val="16"/>
      </w:rPr>
    </w:pPr>
  </w:p>
  <w:tbl>
    <w:tblPr>
      <w:tblStyle w:val="a4"/>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14:paraId="2CCD06D5" w14:textId="77777777">
      <w:tc>
        <w:tcPr>
          <w:tcW w:w="9360" w:type="dxa"/>
          <w:tcBorders>
            <w:top w:val="single" w:sz="48" w:space="0" w:color="112075"/>
            <w:left w:val="single" w:sz="8" w:space="0" w:color="FFFFFF"/>
            <w:bottom w:val="single" w:sz="8" w:space="0" w:color="FFFFFF"/>
            <w:right w:val="single" w:sz="8" w:space="0" w:color="FFFFFF"/>
          </w:tcBorders>
          <w:tcMar>
            <w:top w:w="0" w:type="dxa"/>
            <w:left w:w="0" w:type="dxa"/>
            <w:bottom w:w="0" w:type="dxa"/>
            <w:right w:w="0" w:type="dxa"/>
          </w:tcMar>
        </w:tcPr>
        <w:p w14:paraId="44A9451B" w14:textId="77777777">
          <w:pPr>
            <w:widowControl w:val="0"/>
            <w:pBdr>
              <w:top w:val="nil"/>
              <w:left w:val="nil"/>
              <w:bottom w:val="nil"/>
              <w:right w:val="nil"/>
              <w:between w:val="nil"/>
            </w:pBdr>
            <w:rPr>
              <w:color w:val="1A1BAA"/>
              <w:sz w:val="16"/>
              <w:szCs w:val="16"/>
            </w:rPr>
          </w:pPr>
        </w:p>
      </w:tc>
    </w:tr>
  </w:tbl>
  <w:p w14:paraId="508BF40B" w14:textId="77777777">
    <w:pPr>
      <w:tabs>
        <w:tab w:val="right" w:pos="9360"/>
      </w:tabs>
      <w:rPr>
        <w:b/>
        <w:bCs/>
        <w:color w:val="112075"/>
        <w:sz w:val="16"/>
        <w:szCs w:val="16"/>
      </w:rPr>
    </w:pPr>
    <w:r>
      <w:rPr>
        <w:color w:val="112075"/>
        <w:sz w:val="16"/>
        <w:szCs w:val="16"/>
      </w:rPr>
      <w:t>Gestion des boutiques</w:t>
    </w:r>
  </w:p>
  <w:p w14:paraId="241E1B98" w14:textId="77777777">
    <w:pPr>
      <w:tabs>
        <w:tab w:val="right" w:pos="9360"/>
      </w:tabs>
      <w:rPr>
        <w:b/>
        <w:bCs/>
        <w:color w:val="2224C5"/>
        <w:sz w:val="16"/>
        <w:szCs w:val="16"/>
      </w:rPr>
    </w:pPr>
  </w:p>
  <w:p w14:paraId="321568A4" w14:textId="77777777">
    <w:pPr>
      <w:tabs>
        <w:tab w:val="right" w:pos="9360"/>
      </w:tabs>
      <w:rPr>
        <w:b/>
        <w:bCs/>
        <w:color w:val="2224C5"/>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57D01B79"/>
    <w:multiLevelType w:val="multilevel"/>
    <w:tmpl w:val="66202F6A"/>
    <w:lvl w:ilvl="0">
      <w:start w:val="1"/>
      <w:numFmt w:val="decimal"/>
      <w:lvlText w:val="%1."/>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 w15:restartNumberingAfterBreak="0">
    <w:nsid w:val="6A8E1372"/>
    <w:multiLevelType w:val="multilevel"/>
    <w:tmpl w:val="CAB63DA0"/>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760104273">
    <w:abstractNumId w:val="1"/>
  </w:num>
  <w:num w:numId="2" w16cid:durableId="562562021">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92"/>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3480917"/>
  <w15:docId w15:val="{05643887-4187-7F4D-B23A-57FBA86AE336}"/>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before="280" w:after="160"/>
      <w:outlineLvl w:val="0"/>
    </w:pPr>
    <w:rPr>
      <w:rFonts w:ascii="Helvetica Neue" w:eastAsia="Helvetica Neue" w:hAnsi="Helvetica Neue" w:cs="Helvetica Neue"/>
      <w:b/>
      <w:bCs/>
      <w:color w:val="112075"/>
      <w:sz w:val="30"/>
      <w:szCs w:val="30"/>
    </w:rPr>
  </w:style>
  <w:style w:type="paragraph" w:styleId="Heading2">
    <w:name w:val="heading 2"/>
    <w:basedOn w:val="Normal"/>
    <w:next w:val="Normal"/>
    <w:uiPriority w:val="9"/>
    <w:unhideWhenUsed/>
    <w:qFormat/>
    <w:pPr>
      <w:spacing w:before="200" w:after="100"/>
      <w:outlineLvl w:val="1"/>
    </w:pPr>
    <w:rPr>
      <w:rFonts w:ascii="Helvetica Neue" w:eastAsia="Helvetica Neue" w:hAnsi="Helvetica Neue" w:cs="Helvetica Neue"/>
      <w:b/>
      <w:bCs/>
      <w:color w:val="112075"/>
    </w:rPr>
  </w:style>
  <w:style w:type="paragraph" w:styleId="Heading3">
    <w:name w:val="heading 3"/>
    <w:basedOn w:val="Normal"/>
    <w:next w:val="Normal"/>
    <w:uiPriority w:val="9"/>
    <w:unhideWhenUsed/>
    <w:qFormat/>
    <w:pPr>
      <w:pBdr>
        <w:top w:val="nil"/>
        <w:left w:val="nil"/>
        <w:bottom w:val="nil"/>
        <w:right w:val="nil"/>
        <w:between w:val="nil"/>
      </w:pBdr>
      <w:spacing w:before="140" w:after="80"/>
      <w:outlineLvl w:val="2"/>
    </w:pPr>
    <w:rPr>
      <w:b/>
      <w:bCs/>
      <w:color w:val="404040"/>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before="280" w:after="160"/>
      <w:jc w:val="center"/>
    </w:pPr>
    <w:rPr>
      <w:rFonts w:ascii="Helvetica Neue" w:eastAsia="Helvetica Neue" w:hAnsi="Helvetica Neue" w:cs="Helvetica Neue"/>
      <w:b/>
      <w:bCs/>
      <w:color w:val="112075"/>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9</Pages>
  <Words>1658</Words>
  <Characters>9454</Characters>
  <Application>Microsoft Office Word</Application>
  <DocSecurity>0</DocSecurity>
  <Lines>78</Lines>
  <Paragraphs>22</Paragraphs>
  <ScaleCrop>false</ScaleCrop>
  <Company/>
  <LinksUpToDate>false</LinksUpToDate>
  <CharactersWithSpaces>11090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