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
      </w:r>
    </w:p>
    <w:p>
      <w:pPr>
        <w:spacing w:before="0" w:after="60"/>
        <w:jc w:val="center"/>
      </w:pPr>
      <w:r>
        <w:rPr>
          <w:rFonts w:ascii="Arial" w:cs="Arial" w:eastAsia="Arial" w:hAnsi="Arial"/>
          <w:b/>
          <w:bCs/>
          <w:color w:val="666666"/>
          <w:sz w:val="20"/>
          <w:szCs w:val="20"/>
        </w:rPr>
        <w:t xml:space="preserve">STARKNET PRIVACY HACKATHON 2026</w:t>
      </w:r>
    </w:p>
    <w:p>
      <w:pPr>
        <w:spacing w:before="0" w:after="80"/>
        <w:jc w:val="center"/>
      </w:pPr>
      <w:r>
        <w:rPr>
          <w:rFonts w:ascii="Arial" w:cs="Arial" w:eastAsia="Arial" w:hAnsi="Arial"/>
          <w:color w:val="666666"/>
          <w:sz w:val="20"/>
          <w:szCs w:val="20"/>
        </w:rPr>
        <w:t xml:space="preserve">PROJECT PROPOSAL &amp; ARCHITECTURE</w:t>
      </w:r>
    </w:p>
    <w:p>
      <w:pPr>
        <w:pBdr>
          <w:bottom w:val="single" w:color="1B4FBF" w:sz="6" w:space="1"/>
        </w:pBdr>
        <w:spacing w:before="160" w:after="160"/>
      </w:pPr>
      <w:r>
        <w:t xml:space="preserve"/>
      </w:r>
    </w:p>
    <w:p>
      <w:pPr>
        <w:spacing w:before="0" w:after="100"/>
      </w:pPr>
      <w:r>
        <w:t xml:space="preserve"/>
      </w:r>
    </w:p>
    <w:p>
      <w:pPr>
        <w:spacing w:before="0" w:after="120"/>
        <w:jc w:val="center"/>
      </w:pPr>
      <w:r>
        <w:rPr>
          <w:rFonts w:ascii="Arial" w:cs="Arial" w:eastAsia="Arial" w:hAnsi="Arial"/>
          <w:b/>
          <w:bCs/>
          <w:color w:val="1A1A2E"/>
          <w:sz w:val="72"/>
          <w:szCs w:val="72"/>
        </w:rPr>
        <w:t xml:space="preserve">Thanatos Protocol</w:t>
      </w:r>
    </w:p>
    <w:p>
      <w:pPr>
        <w:spacing w:before="0" w:after="200"/>
        <w:jc w:val="center"/>
      </w:pPr>
      <w:r>
        <w:rPr>
          <w:rFonts w:ascii="Arial" w:cs="Arial" w:eastAsia="Arial" w:hAnsi="Arial"/>
          <w:color w:val="1B4FBF"/>
          <w:sz w:val="32"/>
          <w:szCs w:val="32"/>
        </w:rPr>
        <w:t xml:space="preserve">A Zero-Knowledge Dead Man's Switch for Private Crypto Inheritance</w:t>
      </w:r>
    </w:p>
    <w:p>
      <w:pPr>
        <w:pBdr>
          <w:bottom w:val="single" w:color="1B4FBF" w:sz="6" w:space="1"/>
        </w:pBdr>
        <w:spacing w:before="160" w:after="160"/>
      </w:pPr>
      <w:r>
        <w:t xml:space="preserve"/>
      </w:r>
    </w:p>
    <w:p>
      <w:pPr>
        <w:spacing w:before="0" w:after="200"/>
      </w:pPr>
      <w:r>
        <w:t xml:space="preserve"/>
      </w:r>
    </w:p>
    <w:p>
      <w:pPr>
        <w:spacing w:before="0" w:after="60"/>
        <w:jc w:val="center"/>
      </w:pPr>
      <w:r>
        <w:rPr>
          <w:rFonts w:ascii="Arial" w:cs="Arial" w:eastAsia="Arial" w:hAnsi="Arial"/>
          <w:i/>
          <w:iCs/>
          <w:color w:val="666666"/>
          <w:sz w:val="24"/>
          <w:szCs w:val="24"/>
        </w:rPr>
        <w:t xml:space="preserve">"You shouldn't have to choose between financial privacy</w:t>
      </w:r>
    </w:p>
    <w:p>
      <w:pPr>
        <w:spacing w:before="0" w:after="200"/>
        <w:jc w:val="center"/>
      </w:pPr>
      <w:r>
        <w:rPr>
          <w:rFonts w:ascii="Arial" w:cs="Arial" w:eastAsia="Arial" w:hAnsi="Arial"/>
          <w:i/>
          <w:iCs/>
          <w:color w:val="666666"/>
          <w:sz w:val="24"/>
          <w:szCs w:val="24"/>
        </w:rPr>
        <w:t xml:space="preserve">and your family's ability to inherit what you built."</w:t>
      </w:r>
    </w:p>
    <w:p>
      <w:pPr>
        <w:spacing w:before="0"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EDF8" w:val="clear"/>
            <w:tcMar>
              <w:top w:type="dxa" w:w="120"/>
              <w:left w:type="dxa" w:w="140"/>
              <w:bottom w:type="dxa" w:w="120"/>
              <w:right w:type="dxa" w:w="140"/>
            </w:tcMar>
          </w:tcPr>
          <w:p>
            <w:pPr>
              <w:jc w:val="center"/>
            </w:pPr>
            <w:r>
              <w:rPr>
                <w:rFonts w:ascii="Arial" w:cs="Arial" w:eastAsia="Arial" w:hAnsi="Arial"/>
                <w:b/>
                <w:bCs/>
                <w:color w:val="1B4FBF"/>
                <w:sz w:val="18"/>
                <w:szCs w:val="18"/>
              </w:rPr>
              <w:t xml:space="preserve">TRACKS</w:t>
            </w:r>
          </w:p>
          <w:p>
            <w:pPr>
              <w:jc w:val="center"/>
            </w:pPr>
            <w:r>
              <w:rPr>
                <w:rFonts w:ascii="Arial" w:cs="Arial" w:eastAsia="Arial" w:hAnsi="Arial"/>
                <w:b/>
                <w:bCs/>
                <w:color w:val="1A1A2E"/>
                <w:sz w:val="20"/>
                <w:szCs w:val="20"/>
              </w:rPr>
              <w:t xml:space="preserve">Privacy + Bitcoin</w:t>
            </w:r>
          </w:p>
        </w:tc>
        <w:tc>
          <w:tcPr>
            <w:tcW w:type="dxa" w:w="3120"/>
            <w:tcBorders>
              <w:top w:val="none" w:color="FFFFFF" w:sz="0"/>
              <w:left w:val="none" w:color="FFFFFF" w:sz="0"/>
              <w:bottom w:val="none" w:color="FFFFFF" w:sz="0"/>
              <w:right w:val="none" w:color="FFFFFF" w:sz="0"/>
            </w:tcBorders>
            <w:shd w:fill="E8EDF8" w:val="clear"/>
            <w:tcMar>
              <w:top w:type="dxa" w:w="120"/>
              <w:left w:type="dxa" w:w="140"/>
              <w:bottom w:type="dxa" w:w="120"/>
              <w:right w:type="dxa" w:w="140"/>
            </w:tcMar>
          </w:tcPr>
          <w:p>
            <w:pPr>
              <w:jc w:val="center"/>
            </w:pPr>
            <w:r>
              <w:rPr>
                <w:rFonts w:ascii="Arial" w:cs="Arial" w:eastAsia="Arial" w:hAnsi="Arial"/>
                <w:b/>
                <w:bCs/>
                <w:color w:val="1B4FBF"/>
                <w:sz w:val="18"/>
                <w:szCs w:val="18"/>
              </w:rPr>
              <w:t xml:space="preserve">PRIZE POOL TARGET</w:t>
            </w:r>
          </w:p>
          <w:p>
            <w:pPr>
              <w:jc w:val="center"/>
            </w:pPr>
            <w:r>
              <w:rPr>
                <w:rFonts w:ascii="Arial" w:cs="Arial" w:eastAsia="Arial" w:hAnsi="Arial"/>
                <w:b/>
                <w:bCs/>
                <w:color w:val="1A1A2E"/>
                <w:sz w:val="20"/>
                <w:szCs w:val="20"/>
              </w:rPr>
              <w:t xml:space="preserve">Up to $19,175</w:t>
            </w:r>
          </w:p>
        </w:tc>
        <w:tc>
          <w:tcPr>
            <w:tcW w:type="dxa" w:w="3120"/>
            <w:tcBorders>
              <w:top w:val="none" w:color="FFFFFF" w:sz="0"/>
              <w:left w:val="none" w:color="FFFFFF" w:sz="0"/>
              <w:bottom w:val="none" w:color="FFFFFF" w:sz="0"/>
              <w:right w:val="none" w:color="FFFFFF" w:sz="0"/>
            </w:tcBorders>
            <w:shd w:fill="E8EDF8" w:val="clear"/>
            <w:tcMar>
              <w:top w:type="dxa" w:w="120"/>
              <w:left w:type="dxa" w:w="140"/>
              <w:bottom w:type="dxa" w:w="120"/>
              <w:right w:type="dxa" w:w="140"/>
            </w:tcMar>
          </w:tcPr>
          <w:p>
            <w:pPr>
              <w:jc w:val="center"/>
            </w:pPr>
            <w:r>
              <w:rPr>
                <w:rFonts w:ascii="Arial" w:cs="Arial" w:eastAsia="Arial" w:hAnsi="Arial"/>
                <w:b/>
                <w:bCs/>
                <w:color w:val="1B4FBF"/>
                <w:sz w:val="18"/>
                <w:szCs w:val="18"/>
              </w:rPr>
              <w:t xml:space="preserve">CHAIN</w:t>
            </w:r>
          </w:p>
          <w:p>
            <w:pPr>
              <w:jc w:val="center"/>
            </w:pPr>
            <w:r>
              <w:rPr>
                <w:rFonts w:ascii="Arial" w:cs="Arial" w:eastAsia="Arial" w:hAnsi="Arial"/>
                <w:b/>
                <w:bCs/>
                <w:color w:val="1A1A2E"/>
                <w:sz w:val="20"/>
                <w:szCs w:val="20"/>
              </w:rPr>
              <w:t xml:space="preserve">Starknet (Cairo)</w:t>
            </w:r>
          </w:p>
        </w:tc>
      </w:tr>
    </w:tbl>
    <w:p>
      <w:r>
        <w:br w:type="page"/>
      </w:r>
    </w:p>
    <w:p>
      <w:pPr>
        <w:pStyle w:val="Heading1"/>
        <w:spacing w:before="360" w:after="120"/>
      </w:pPr>
      <w:r>
        <w:rPr>
          <w:rFonts w:ascii="Arial" w:cs="Arial" w:eastAsia="Arial" w:hAnsi="Arial"/>
          <w:b/>
          <w:bCs/>
          <w:color w:val="1A1A2E"/>
          <w:sz w:val="36"/>
          <w:szCs w:val="36"/>
        </w:rPr>
        <w:t xml:space="preserve">1. The Problem</w:t>
      </w:r>
    </w:p>
    <w:p>
      <w:pPr>
        <w:pBdr>
          <w:bottom w:val="single" w:color="DDDDDD" w:sz="4" w:space="1"/>
        </w:pBdr>
        <w:spacing w:before="120" w:after="120"/>
      </w:pPr>
      <w:r>
        <w:t xml:space="preserve"/>
      </w:r>
    </w:p>
    <w:p>
      <w:pPr>
        <w:spacing w:before="0" w:after="100"/>
      </w:pPr>
      <w:r>
        <w:t xml:space="preserve"/>
      </w:r>
    </w:p>
    <w:p>
      <w:pPr>
        <w:pStyle w:val="Heading2"/>
        <w:spacing w:before="280" w:after="100"/>
      </w:pPr>
      <w:r>
        <w:rPr>
          <w:rFonts w:ascii="Arial" w:cs="Arial" w:eastAsia="Arial" w:hAnsi="Arial"/>
          <w:b/>
          <w:bCs/>
          <w:color w:val="1B4FBF"/>
          <w:sz w:val="28"/>
          <w:szCs w:val="28"/>
        </w:rPr>
        <w:t xml:space="preserve">1.1 The Scale of Lost Crypto</w:t>
      </w:r>
    </w:p>
    <w:p>
      <w:pPr>
        <w:spacing w:before="60" w:after="80"/>
      </w:pPr>
      <w:r>
        <w:rPr>
          <w:rFonts w:ascii="Arial" w:cs="Arial" w:eastAsia="Arial" w:hAnsi="Arial"/>
          <w:color w:val="1A1A2E"/>
          <w:sz w:val="22"/>
          <w:szCs w:val="22"/>
        </w:rPr>
        <w:t xml:space="preserve">An estimated $140 billion in Bitcoin alone is permanently inaccessible — a significant portion due to owner death or incapacitation. Unlike traditional assets, cryptocurrency has no probate process, no bank to call, no central authority to petition for access. When you die with undocumented wallet access, those assets are gone forever.</w:t>
      </w:r>
    </w:p>
    <w:p>
      <w:pPr>
        <w:spacing w:before="0" w:after="100"/>
      </w:pPr>
      <w:r>
        <w:t xml:space="preserve"/>
      </w:r>
    </w:p>
    <w:p>
      <w:pPr>
        <w:spacing w:before="60" w:after="80"/>
      </w:pPr>
      <w:r>
        <w:rPr>
          <w:rFonts w:ascii="Arial" w:cs="Arial" w:eastAsia="Arial" w:hAnsi="Arial"/>
          <w:color w:val="1A1A2E"/>
          <w:sz w:val="22"/>
          <w:szCs w:val="22"/>
        </w:rPr>
        <w:t xml:space="preserve">The 2022 Coinbase user agreement literally advises users to 'include cryptocurrency in your estate plan' — with zero tooling to actually do that safely. Every year, billions more are added to the permanent loss pile.</w:t>
      </w:r>
    </w:p>
    <w:p>
      <w:pPr>
        <w:spacing w:before="0" w:after="100"/>
      </w:pPr>
      <w:r>
        <w:t xml:space="preserve"/>
      </w:r>
    </w:p>
    <w:p>
      <w:pPr>
        <w:pStyle w:val="Heading2"/>
        <w:spacing w:before="280" w:after="100"/>
      </w:pPr>
      <w:r>
        <w:rPr>
          <w:rFonts w:ascii="Arial" w:cs="Arial" w:eastAsia="Arial" w:hAnsi="Arial"/>
          <w:b/>
          <w:bCs/>
          <w:color w:val="1B4FBF"/>
          <w:sz w:val="28"/>
          <w:szCs w:val="28"/>
        </w:rPr>
        <w:t xml:space="preserve">1.2 Why Existing Solutions Fail</w:t>
      </w:r>
    </w:p>
    <w:p>
      <w:pPr>
        <w:spacing w:before="60" w:after="80"/>
      </w:pPr>
      <w:r>
        <w:rPr>
          <w:rFonts w:ascii="Arial" w:cs="Arial" w:eastAsia="Arial" w:hAnsi="Arial"/>
          <w:color w:val="1A1A2E"/>
          <w:sz w:val="22"/>
          <w:szCs w:val="22"/>
        </w:rPr>
        <w:t xml:space="preserve">Every current approach forces an impossible tradeoff between security, privacy, and trust.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000"/>
        <w:gridCol w:w="3960"/>
      </w:tblGrid>
      <w:tr>
        <w:trPr>
          <w:tblHeader/>
        </w:trPr>
        <w:tc>
          <w:tcPr>
            <w:tcW w:type="dxa" w:w="2400"/>
            <w:tcBorders>
              <w:top w:val="single" w:color="DDDDDD" w:sz="1"/>
              <w:left w:val="single" w:color="DDDDDD" w:sz="1"/>
              <w:bottom w:val="single" w:color="DDDDDD" w:sz="1"/>
              <w:right w:val="single" w:color="DDDDDD" w:sz="1"/>
            </w:tcBorders>
            <w:shd w:fill="1B4FBF" w:val="clear"/>
            <w:tcMar>
              <w:top w:type="dxa" w:w="100"/>
              <w:left w:type="dxa" w:w="140"/>
              <w:bottom w:type="dxa" w:w="100"/>
              <w:right w:type="dxa" w:w="140"/>
            </w:tcMar>
          </w:tcPr>
          <w:p>
            <w:r>
              <w:rPr>
                <w:rFonts w:ascii="Arial" w:cs="Arial" w:eastAsia="Arial" w:hAnsi="Arial"/>
                <w:b/>
                <w:bCs/>
                <w:color w:val="FFFFFF"/>
                <w:sz w:val="20"/>
                <w:szCs w:val="20"/>
              </w:rPr>
              <w:t xml:space="preserve">Solution</w:t>
            </w:r>
          </w:p>
        </w:tc>
        <w:tc>
          <w:tcPr>
            <w:tcW w:type="dxa" w:w="1000"/>
            <w:tcBorders>
              <w:top w:val="single" w:color="DDDDDD" w:sz="1"/>
              <w:left w:val="single" w:color="DDDDDD" w:sz="1"/>
              <w:bottom w:val="single" w:color="DDDDDD" w:sz="1"/>
              <w:right w:val="single" w:color="DDDDDD" w:sz="1"/>
            </w:tcBorders>
            <w:shd w:fill="1B4FBF" w:val="clear"/>
            <w:tcMar>
              <w:top w:type="dxa" w:w="100"/>
              <w:left w:type="dxa" w:w="140"/>
              <w:bottom w:type="dxa" w:w="100"/>
              <w:right w:type="dxa" w:w="140"/>
            </w:tcMar>
          </w:tcPr>
          <w:p>
            <w:r>
              <w:rPr>
                <w:rFonts w:ascii="Arial" w:cs="Arial" w:eastAsia="Arial" w:hAnsi="Arial"/>
                <w:b/>
                <w:bCs/>
                <w:color w:val="FFFFFF"/>
                <w:sz w:val="20"/>
                <w:szCs w:val="20"/>
              </w:rPr>
              <w:t xml:space="preserve">Security</w:t>
            </w:r>
          </w:p>
        </w:tc>
        <w:tc>
          <w:tcPr>
            <w:tcW w:type="dxa" w:w="1000"/>
            <w:tcBorders>
              <w:top w:val="single" w:color="DDDDDD" w:sz="1"/>
              <w:left w:val="single" w:color="DDDDDD" w:sz="1"/>
              <w:bottom w:val="single" w:color="DDDDDD" w:sz="1"/>
              <w:right w:val="single" w:color="DDDDDD" w:sz="1"/>
            </w:tcBorders>
            <w:shd w:fill="1B4FBF" w:val="clear"/>
            <w:tcMar>
              <w:top w:type="dxa" w:w="100"/>
              <w:left w:type="dxa" w:w="140"/>
              <w:bottom w:type="dxa" w:w="100"/>
              <w:right w:type="dxa" w:w="140"/>
            </w:tcMar>
          </w:tcPr>
          <w:p>
            <w:r>
              <w:rPr>
                <w:rFonts w:ascii="Arial" w:cs="Arial" w:eastAsia="Arial" w:hAnsi="Arial"/>
                <w:b/>
                <w:bCs/>
                <w:color w:val="FFFFFF"/>
                <w:sz w:val="20"/>
                <w:szCs w:val="20"/>
              </w:rPr>
              <w:t xml:space="preserve">Privacy</w:t>
            </w:r>
          </w:p>
        </w:tc>
        <w:tc>
          <w:tcPr>
            <w:tcW w:type="dxa" w:w="1000"/>
            <w:tcBorders>
              <w:top w:val="single" w:color="DDDDDD" w:sz="1"/>
              <w:left w:val="single" w:color="DDDDDD" w:sz="1"/>
              <w:bottom w:val="single" w:color="DDDDDD" w:sz="1"/>
              <w:right w:val="single" w:color="DDDDDD" w:sz="1"/>
            </w:tcBorders>
            <w:shd w:fill="1B4FBF" w:val="clear"/>
            <w:tcMar>
              <w:top w:type="dxa" w:w="100"/>
              <w:left w:type="dxa" w:w="140"/>
              <w:bottom w:type="dxa" w:w="100"/>
              <w:right w:type="dxa" w:w="140"/>
            </w:tcMar>
          </w:tcPr>
          <w:p>
            <w:r>
              <w:rPr>
                <w:rFonts w:ascii="Arial" w:cs="Arial" w:eastAsia="Arial" w:hAnsi="Arial"/>
                <w:b/>
                <w:bCs/>
                <w:color w:val="FFFFFF"/>
                <w:sz w:val="20"/>
                <w:szCs w:val="20"/>
              </w:rPr>
              <w:t xml:space="preserve">Trustless</w:t>
            </w:r>
          </w:p>
        </w:tc>
        <w:tc>
          <w:tcPr>
            <w:tcW w:type="dxa" w:w="3960"/>
            <w:tcBorders>
              <w:top w:val="single" w:color="DDDDDD" w:sz="1"/>
              <w:left w:val="single" w:color="DDDDDD" w:sz="1"/>
              <w:bottom w:val="single" w:color="DDDDDD" w:sz="1"/>
              <w:right w:val="single" w:color="DDDDDD" w:sz="1"/>
            </w:tcBorders>
            <w:shd w:fill="1B4FBF" w:val="clear"/>
            <w:tcMar>
              <w:top w:type="dxa" w:w="100"/>
              <w:left w:type="dxa" w:w="140"/>
              <w:bottom w:type="dxa" w:w="100"/>
              <w:right w:type="dxa" w:w="140"/>
            </w:tcMar>
          </w:tcPr>
          <w:p>
            <w:r>
              <w:rPr>
                <w:rFonts w:ascii="Arial" w:cs="Arial" w:eastAsia="Arial" w:hAnsi="Arial"/>
                <w:b/>
                <w:bCs/>
                <w:color w:val="FFFFFF"/>
                <w:sz w:val="20"/>
                <w:szCs w:val="20"/>
              </w:rPr>
              <w:t xml:space="preserve">Fatal Flaw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Custodial services (Casa, Covenant)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Medium</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Centralized — hackable, subpoenaable, can go bankrupt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Paper will with seed phrase</w:t>
            </w:r>
          </w:p>
        </w:tc>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Very Low</w:t>
            </w:r>
          </w:p>
        </w:tc>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None</w:t>
            </w:r>
          </w:p>
        </w:tc>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3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Anyone who finds it owns your funds immediately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Gnosis Safe time-lock</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Beneficiary address visible on-chain from day one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Sarcophagus Protocol</w:t>
            </w:r>
          </w:p>
        </w:tc>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Medium</w:t>
            </w:r>
          </w:p>
        </w:tc>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Partial</w:t>
            </w:r>
          </w:p>
        </w:tc>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Partial</w:t>
            </w:r>
          </w:p>
        </w:tc>
        <w:tc>
          <w:tcPr>
            <w:tcW w:type="dxa" w:w="3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Not ZK-native, owner activity pattern visible, no private beneficiary, largely abandoned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Web2 dead man's switches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Low</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Centralized, no crypto support, trivially censorable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EDF8" w:val="clear"/>
            <w:tcMar>
              <w:top w:type="dxa" w:w="120"/>
              <w:left w:type="dxa" w:w="200"/>
              <w:bottom w:type="dxa" w:w="120"/>
              <w:right w:type="dxa" w:w="200"/>
            </w:tcMar>
          </w:tcPr>
          <w:p>
            <w:pPr>
              <w:spacing w:before="0" w:after="60"/>
            </w:pPr>
            <w:r>
              <w:rPr>
                <w:rFonts w:ascii="Arial" w:cs="Arial" w:eastAsia="Arial" w:hAnsi="Arial"/>
                <w:b/>
                <w:bCs/>
                <w:color w:val="1B4FBF"/>
                <w:sz w:val="20"/>
                <w:szCs w:val="20"/>
              </w:rPr>
              <w:t xml:space="preserve">The Core Gap</w:t>
            </w:r>
          </w:p>
          <w:p>
            <w:pPr>
              <w:spacing w:before="0" w:after="0"/>
            </w:pPr>
            <w:r>
              <w:rPr>
                <w:rFonts w:ascii="Arial" w:cs="Arial" w:eastAsia="Arial" w:hAnsi="Arial"/>
                <w:color w:val="1A1A2E"/>
                <w:sz w:val="20"/>
                <w:szCs w:val="20"/>
              </w:rPr>
              <w:t xml:space="preserve">There is no trustless, private way to say: "If I stop proving I'm alive, release my assets to someone — without anyone knowing who I am, what I hold, or who the beneficiary is until the exact moment it happens." Thanatos Protocol fills this gap.</w:t>
            </w:r>
          </w:p>
        </w:tc>
      </w:tr>
    </w:tbl>
    <w:p>
      <w:pPr>
        <w:spacing w:before="0" w:after="100"/>
      </w:pPr>
      <w:r>
        <w:t xml:space="preserve"/>
      </w:r>
    </w:p>
    <w:p>
      <w:pPr>
        <w:pStyle w:val="Heading2"/>
        <w:spacing w:before="280" w:after="100"/>
      </w:pPr>
      <w:r>
        <w:rPr>
          <w:rFonts w:ascii="Arial" w:cs="Arial" w:eastAsia="Arial" w:hAnsi="Arial"/>
          <w:b/>
          <w:bCs/>
          <w:color w:val="1B4FBF"/>
          <w:sz w:val="28"/>
          <w:szCs w:val="28"/>
        </w:rPr>
        <w:t xml:space="preserve">1.3 The Bitcoin Dimension</w:t>
      </w:r>
    </w:p>
    <w:p>
      <w:pPr>
        <w:spacing w:before="60" w:after="80"/>
      </w:pPr>
      <w:r>
        <w:rPr>
          <w:rFonts w:ascii="Arial" w:cs="Arial" w:eastAsia="Arial" w:hAnsi="Arial"/>
          <w:color w:val="1A1A2E"/>
          <w:sz w:val="22"/>
          <w:szCs w:val="22"/>
        </w:rPr>
        <w:t xml:space="preserve">Bitcoin holders are the most underserved by existing inheritance solutions. BTC is the oldest, most held, most 'buy and forget' asset in crypto. OG Bitcoin holders — precisely the demographic most likely to have accumulated significant wealth over a decade — are also the most likely to die with no succession plan. Wrapping BTC-native assets (tBTC, sBTC) into Thanatos is not a feature add-on; it is the primary use case.</w:t>
      </w:r>
    </w:p>
    <w:p>
      <w:r>
        <w:br w:type="page"/>
      </w:r>
    </w:p>
    <w:p>
      <w:pPr>
        <w:pStyle w:val="Heading1"/>
        <w:spacing w:before="360" w:after="120"/>
      </w:pPr>
      <w:r>
        <w:rPr>
          <w:rFonts w:ascii="Arial" w:cs="Arial" w:eastAsia="Arial" w:hAnsi="Arial"/>
          <w:b/>
          <w:bCs/>
          <w:color w:val="1A1A2E"/>
          <w:sz w:val="36"/>
          <w:szCs w:val="36"/>
        </w:rPr>
        <w:t xml:space="preserve">2. The Solution — Thanatos Protocol</w:t>
      </w:r>
    </w:p>
    <w:p>
      <w:pPr>
        <w:pBdr>
          <w:bottom w:val="single" w:color="DDDDDD" w:sz="4" w:space="1"/>
        </w:pBdr>
        <w:spacing w:before="120" w:after="120"/>
      </w:pPr>
      <w:r>
        <w:t xml:space="preserve"/>
      </w:r>
    </w:p>
    <w:p>
      <w:pPr>
        <w:spacing w:before="0" w:after="100"/>
      </w:pPr>
      <w:r>
        <w:t xml:space="preserve"/>
      </w:r>
    </w:p>
    <w:p>
      <w:pPr>
        <w:spacing w:before="60" w:after="80"/>
      </w:pPr>
      <w:r>
        <w:rPr>
          <w:rFonts w:ascii="Arial" w:cs="Arial" w:eastAsia="Arial" w:hAnsi="Arial"/>
          <w:color w:val="1A1A2E"/>
          <w:sz w:val="22"/>
          <w:szCs w:val="22"/>
        </w:rPr>
        <w:t xml:space="preserve">Thanatos Protocol is a zero-knowledge dead man's switch for private crypto inheritance. It allows a user to configure an automatic asset transfer to a beneficiary that triggers only if the user stops proving they are alive — without revealing the user's identity, the beneficiary's identity, the asset amounts, or any relationship between parties at any point during the alive period.</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200"/>
              <w:bottom w:type="dxa" w:w="120"/>
              <w:right w:type="dxa" w:w="200"/>
            </w:tcMar>
          </w:tcPr>
          <w:p>
            <w:pPr>
              <w:spacing w:before="0" w:after="60"/>
            </w:pPr>
            <w:r>
              <w:rPr>
                <w:rFonts w:ascii="Arial" w:cs="Arial" w:eastAsia="Arial" w:hAnsi="Arial"/>
                <w:b/>
                <w:bCs/>
                <w:color w:val="1A5C3A"/>
                <w:sz w:val="20"/>
                <w:szCs w:val="20"/>
              </w:rPr>
              <w:t xml:space="preserve">In Plain English</w:t>
            </w:r>
          </w:p>
          <w:p>
            <w:pPr>
              <w:spacing w:before="0" w:after="0"/>
            </w:pPr>
            <w:r>
              <w:rPr>
                <w:rFonts w:ascii="Arial" w:cs="Arial" w:eastAsia="Arial" w:hAnsi="Arial"/>
                <w:color w:val="1A1A2E"/>
                <w:sz w:val="20"/>
                <w:szCs w:val="20"/>
              </w:rPr>
              <w:t xml:space="preserve">Set it up once. Check in every 30 days with a single click that generates a ZK proof — no wallet signature, no on-chain fingerprint. If you stop checking in, your assets automatically flow to whoever you designated. Nobody knows anything until the switch flips.</w:t>
            </w:r>
          </w:p>
        </w:tc>
      </w:tr>
    </w:tbl>
    <w:p>
      <w:pPr>
        <w:spacing w:before="0" w:after="100"/>
      </w:pPr>
      <w:r>
        <w:t xml:space="preserve"/>
      </w:r>
    </w:p>
    <w:p>
      <w:pPr>
        <w:pStyle w:val="Heading2"/>
        <w:spacing w:before="280" w:after="100"/>
      </w:pPr>
      <w:r>
        <w:rPr>
          <w:rFonts w:ascii="Arial" w:cs="Arial" w:eastAsia="Arial" w:hAnsi="Arial"/>
          <w:b/>
          <w:bCs/>
          <w:color w:val="1B4FBF"/>
          <w:sz w:val="28"/>
          <w:szCs w:val="28"/>
        </w:rPr>
        <w:t xml:space="preserve">2.1 Core Properties</w:t>
      </w:r>
    </w:p>
    <w:p>
      <w:pPr>
        <w:pStyle w:val="ListParagraph"/>
        <w:numPr>
          <w:ilvl w:val="0"/>
          <w:numId w:val="2"/>
        </w:numPr>
        <w:spacing w:before="40" w:after="40"/>
      </w:pPr>
      <w:r>
        <w:rPr>
          <w:rFonts w:ascii="Arial" w:cs="Arial" w:eastAsia="Arial" w:hAnsi="Arial"/>
          <w:b/>
          <w:bCs/>
          <w:color w:val="1A1A2E"/>
          <w:sz w:val="22"/>
          <w:szCs w:val="22"/>
        </w:rPr>
        <w:t xml:space="preserve">Zero Fingerprint. </w:t>
      </w:r>
      <w:r>
        <w:rPr>
          <w:rFonts w:ascii="Arial" w:cs="Arial" w:eastAsia="Arial" w:hAnsi="Arial"/>
          <w:color w:val="1A1A2E"/>
          <w:sz w:val="22"/>
          <w:szCs w:val="22"/>
        </w:rPr>
        <w:t xml:space="preserve">Complete owner anonymity during the alive period — check-ins are indistinguishable from any other ZK protocol interaction on Starknet</w:t>
      </w:r>
    </w:p>
    <w:p>
      <w:pPr>
        <w:pStyle w:val="ListParagraph"/>
        <w:numPr>
          <w:ilvl w:val="0"/>
          <w:numId w:val="2"/>
        </w:numPr>
        <w:spacing w:before="40" w:after="40"/>
      </w:pPr>
      <w:r>
        <w:rPr>
          <w:rFonts w:ascii="Arial" w:cs="Arial" w:eastAsia="Arial" w:hAnsi="Arial"/>
          <w:b/>
          <w:bCs/>
          <w:color w:val="1A1A2E"/>
          <w:sz w:val="22"/>
          <w:szCs w:val="22"/>
        </w:rPr>
        <w:t xml:space="preserve">Dark Beneficiary. </w:t>
      </w:r>
      <w:r>
        <w:rPr>
          <w:rFonts w:ascii="Arial" w:cs="Arial" w:eastAsia="Arial" w:hAnsi="Arial"/>
          <w:color w:val="1A1A2E"/>
          <w:sz w:val="22"/>
          <w:szCs w:val="22"/>
        </w:rPr>
        <w:t xml:space="preserve">Beneficiary identity sealed cryptographically until activation — even keepers and indexers cannot determine who receives the assets</w:t>
      </w:r>
    </w:p>
    <w:p>
      <w:pPr>
        <w:pStyle w:val="ListParagraph"/>
        <w:numPr>
          <w:ilvl w:val="0"/>
          <w:numId w:val="2"/>
        </w:numPr>
        <w:spacing w:before="40" w:after="40"/>
      </w:pPr>
      <w:r>
        <w:rPr>
          <w:rFonts w:ascii="Arial" w:cs="Arial" w:eastAsia="Arial" w:hAnsi="Arial"/>
          <w:b/>
          <w:bCs/>
          <w:color w:val="1A1A2E"/>
          <w:sz w:val="22"/>
          <w:szCs w:val="22"/>
        </w:rPr>
        <w:t xml:space="preserve">Fully Trustless. </w:t>
      </w:r>
      <w:r>
        <w:rPr>
          <w:rFonts w:ascii="Arial" w:cs="Arial" w:eastAsia="Arial" w:hAnsi="Arial"/>
          <w:color w:val="1A1A2E"/>
          <w:sz w:val="22"/>
          <w:szCs w:val="22"/>
        </w:rPr>
        <w:t xml:space="preserve">No trusted third party at any layer — smart contracts enforce all logic, keeper economics replace human gatekeepers</w:t>
      </w:r>
    </w:p>
    <w:p>
      <w:pPr>
        <w:pStyle w:val="ListParagraph"/>
        <w:numPr>
          <w:ilvl w:val="0"/>
          <w:numId w:val="2"/>
        </w:numPr>
        <w:spacing w:before="40" w:after="40"/>
      </w:pPr>
      <w:r>
        <w:rPr>
          <w:rFonts w:ascii="Arial" w:cs="Arial" w:eastAsia="Arial" w:hAnsi="Arial"/>
          <w:b/>
          <w:bCs/>
          <w:color w:val="1A1A2E"/>
          <w:sz w:val="22"/>
          <w:szCs w:val="22"/>
        </w:rPr>
        <w:t xml:space="preserve">Private Release. </w:t>
      </w:r>
      <w:r>
        <w:rPr>
          <w:rFonts w:ascii="Arial" w:cs="Arial" w:eastAsia="Arial" w:hAnsi="Arial"/>
          <w:color w:val="1A1A2E"/>
          <w:sz w:val="22"/>
          <w:szCs w:val="22"/>
        </w:rPr>
        <w:t xml:space="preserve">Asset transfer via Tongo shielded notes — the release event reveals no origin or destination on-chain</w:t>
      </w:r>
    </w:p>
    <w:p>
      <w:pPr>
        <w:pStyle w:val="ListParagraph"/>
        <w:numPr>
          <w:ilvl w:val="0"/>
          <w:numId w:val="2"/>
        </w:numPr>
        <w:spacing w:before="40" w:after="40"/>
      </w:pPr>
      <w:r>
        <w:rPr>
          <w:rFonts w:ascii="Arial" w:cs="Arial" w:eastAsia="Arial" w:hAnsi="Arial"/>
          <w:b/>
          <w:bCs/>
          <w:color w:val="1A1A2E"/>
          <w:sz w:val="22"/>
          <w:szCs w:val="22"/>
        </w:rPr>
        <w:t xml:space="preserve">Censorship Resistant. </w:t>
      </w:r>
      <w:r>
        <w:rPr>
          <w:rFonts w:ascii="Arial" w:cs="Arial" w:eastAsia="Arial" w:hAnsi="Arial"/>
          <w:color w:val="1A1A2E"/>
          <w:sz w:val="22"/>
          <w:szCs w:val="22"/>
        </w:rPr>
        <w:t xml:space="preserve">Keeper network ensures liveness monitoring cannot be censored or fail due to a single point of failure</w:t>
      </w:r>
    </w:p>
    <w:p>
      <w:pPr>
        <w:spacing w:before="0" w:after="100"/>
      </w:pPr>
      <w:r>
        <w:t xml:space="preserve"/>
      </w:r>
    </w:p>
    <w:p>
      <w:pPr>
        <w:pStyle w:val="Heading2"/>
        <w:spacing w:before="280" w:after="100"/>
      </w:pPr>
      <w:r>
        <w:rPr>
          <w:rFonts w:ascii="Arial" w:cs="Arial" w:eastAsia="Arial" w:hAnsi="Arial"/>
          <w:b/>
          <w:bCs/>
          <w:color w:val="1B4FBF"/>
          <w:sz w:val="28"/>
          <w:szCs w:val="28"/>
        </w:rPr>
        <w:t xml:space="preserve">2.2 How It Works — Lifecycle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760"/>
        <w:gridCol w:w="2800"/>
      </w:tblGrid>
      <w:tr>
        <w:trPr>
          <w:tblHeader/>
        </w:trPr>
        <w:tc>
          <w:tcPr>
            <w:tcW w:type="dxa" w:w="1400"/>
            <w:tcBorders>
              <w:top w:val="single" w:color="DDDDDD" w:sz="1"/>
              <w:left w:val="single" w:color="DDDDDD" w:sz="1"/>
              <w:bottom w:val="single" w:color="DDDDDD" w:sz="1"/>
              <w:right w:val="single" w:color="DDDDDD" w:sz="1"/>
            </w:tcBorders>
            <w:shd w:fill="1B4FBF"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400"/>
            <w:tcBorders>
              <w:top w:val="single" w:color="DDDDDD" w:sz="1"/>
              <w:left w:val="single" w:color="DDDDDD" w:sz="1"/>
              <w:bottom w:val="single" w:color="DDDDDD" w:sz="1"/>
              <w:right w:val="single" w:color="DDDDDD" w:sz="1"/>
            </w:tcBorders>
            <w:shd w:fill="1B4FBF" w:val="clear"/>
            <w:tcMar>
              <w:top w:type="dxa" w:w="100"/>
              <w:left w:type="dxa" w:w="140"/>
              <w:bottom w:type="dxa" w:w="100"/>
              <w:right w:type="dxa" w:w="140"/>
            </w:tcMar>
          </w:tcPr>
          <w:p>
            <w:r>
              <w:rPr>
                <w:rFonts w:ascii="Arial" w:cs="Arial" w:eastAsia="Arial" w:hAnsi="Arial"/>
                <w:b/>
                <w:bCs/>
                <w:color w:val="FFFFFF"/>
                <w:sz w:val="20"/>
                <w:szCs w:val="20"/>
              </w:rPr>
              <w:t xml:space="preserve">Actor</w:t>
            </w:r>
          </w:p>
        </w:tc>
        <w:tc>
          <w:tcPr>
            <w:tcW w:type="dxa" w:w="3760"/>
            <w:tcBorders>
              <w:top w:val="single" w:color="DDDDDD" w:sz="1"/>
              <w:left w:val="single" w:color="DDDDDD" w:sz="1"/>
              <w:bottom w:val="single" w:color="DDDDDD" w:sz="1"/>
              <w:right w:val="single" w:color="DDDDDD" w:sz="1"/>
            </w:tcBorders>
            <w:shd w:fill="1B4FBF"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800"/>
            <w:tcBorders>
              <w:top w:val="single" w:color="DDDDDD" w:sz="1"/>
              <w:left w:val="single" w:color="DDDDDD" w:sz="1"/>
              <w:bottom w:val="single" w:color="DDDDDD" w:sz="1"/>
              <w:right w:val="single" w:color="DDDDDD" w:sz="1"/>
            </w:tcBorders>
            <w:shd w:fill="1B4FBF" w:val="clear"/>
            <w:tcMar>
              <w:top w:type="dxa" w:w="100"/>
              <w:left w:type="dxa" w:w="140"/>
              <w:bottom w:type="dxa" w:w="100"/>
              <w:right w:type="dxa" w:w="140"/>
            </w:tcMar>
          </w:tcPr>
          <w:p>
            <w:r>
              <w:rPr>
                <w:rFonts w:ascii="Arial" w:cs="Arial" w:eastAsia="Arial" w:hAnsi="Arial"/>
                <w:b/>
                <w:bCs/>
                <w:color w:val="FFFFFF"/>
                <w:sz w:val="20"/>
                <w:szCs w:val="20"/>
              </w:rPr>
              <w:t xml:space="preserve">On-Chain Visibility</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Setup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Owner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Generate identity secret locally, configure interval, deposit BTC/assets as shielded note, commit sealed beneficiary, register identity commitment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Anonymous commitment hash only</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Alive Period</w:t>
            </w:r>
          </w:p>
        </w:tc>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Owner</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Periodic ZK check-in: generate proof of group membership with epoch-bound nullifier, submit to LivenessRegistry</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Nullifier hash only — unlinked to any identity</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Missed Check-in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Keeper Network</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Keeper detects expired interval, calls report_missed, counter increments toward threshold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Nullifier hash + timestamp — no identity</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Activation</w:t>
            </w:r>
          </w:p>
        </w:tc>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Smart Contract</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After N missed check-ins, VaultController receives activation signal, emits sealed event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Vault commitment hash — beneficiary not revealed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Claim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Beneficiary</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Detects activation event matching their public key, decrypts sealed beneficiary data, submits claim proof, receives shielded assets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ZK claim proof only — no address linkage</w:t>
            </w:r>
          </w:p>
        </w:tc>
      </w:tr>
    </w:tbl>
    <w:p>
      <w:r>
        <w:br w:type="page"/>
      </w:r>
    </w:p>
    <w:p>
      <w:pPr>
        <w:pStyle w:val="Heading1"/>
        <w:spacing w:before="360" w:after="120"/>
      </w:pPr>
      <w:r>
        <w:rPr>
          <w:rFonts w:ascii="Arial" w:cs="Arial" w:eastAsia="Arial" w:hAnsi="Arial"/>
          <w:b/>
          <w:bCs/>
          <w:color w:val="1A1A2E"/>
          <w:sz w:val="36"/>
          <w:szCs w:val="36"/>
        </w:rPr>
        <w:t xml:space="preserve">3. Technical Architecture</w:t>
      </w:r>
    </w:p>
    <w:p>
      <w:pPr>
        <w:pBdr>
          <w:bottom w:val="single" w:color="DDDDDD" w:sz="4" w:space="1"/>
        </w:pBdr>
        <w:spacing w:before="120" w:after="120"/>
      </w:pPr>
      <w:r>
        <w:t xml:space="preserve"/>
      </w:r>
    </w:p>
    <w:p>
      <w:pPr>
        <w:spacing w:before="0" w:after="100"/>
      </w:pPr>
      <w:r>
        <w:t xml:space="preserve"/>
      </w:r>
    </w:p>
    <w:p>
      <w:pPr>
        <w:spacing w:before="60" w:after="80"/>
      </w:pPr>
      <w:r>
        <w:rPr>
          <w:rFonts w:ascii="Arial" w:cs="Arial" w:eastAsia="Arial" w:hAnsi="Arial"/>
          <w:color w:val="1A1A2E"/>
          <w:sz w:val="22"/>
          <w:szCs w:val="22"/>
        </w:rPr>
        <w:t xml:space="preserve">Thanatos Protocol consists of three Cairo smart contracts on Starknet, one Noir ZK circuit verified via Garaga, and a lightweight client-side prover application. Each component is deliberately scoped to be independently auditable and replaceable.</w:t>
      </w:r>
    </w:p>
    <w:p>
      <w:pPr>
        <w:spacing w:before="0" w:after="100"/>
      </w:pPr>
      <w:r>
        <w:t xml:space="preserve"/>
      </w:r>
    </w:p>
    <w:p>
      <w:pPr>
        <w:pStyle w:val="Heading2"/>
        <w:spacing w:before="280" w:after="100"/>
      </w:pPr>
      <w:r>
        <w:rPr>
          <w:rFonts w:ascii="Arial" w:cs="Arial" w:eastAsia="Arial" w:hAnsi="Arial"/>
          <w:b/>
          <w:bCs/>
          <w:color w:val="1B4FBF"/>
          <w:sz w:val="28"/>
          <w:szCs w:val="28"/>
        </w:rPr>
        <w:t xml:space="preserve">3.1 System Overview</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EDF8" w:val="clear"/>
            <w:tcMar>
              <w:top w:type="dxa" w:w="120"/>
              <w:left w:type="dxa" w:w="200"/>
              <w:bottom w:type="dxa" w:w="120"/>
              <w:right w:type="dxa" w:w="200"/>
            </w:tcMar>
          </w:tcPr>
          <w:p>
            <w:pPr>
              <w:spacing w:before="0" w:after="60"/>
            </w:pPr>
            <w:r>
              <w:rPr>
                <w:rFonts w:ascii="Arial" w:cs="Arial" w:eastAsia="Arial" w:hAnsi="Arial"/>
                <w:b/>
                <w:bCs/>
                <w:color w:val="1B4FBF"/>
                <w:sz w:val="20"/>
                <w:szCs w:val="20"/>
              </w:rPr>
              <w:t xml:space="preserve">Architecture Diagram (Text Representation)</w:t>
            </w:r>
          </w:p>
          <w:p>
            <w:pPr>
              <w:spacing w:before="0" w:after="0"/>
            </w:pPr>
            <w:r>
              <w:rPr>
                <w:rFonts w:ascii="Arial" w:cs="Arial" w:eastAsia="Arial" w:hAnsi="Arial"/>
                <w:color w:val="1A1A2E"/>
                <w:sz w:val="20"/>
                <w:szCs w:val="20"/>
              </w:rPr>
              <w:t xml:space="preserve">[ Owner Device (Noir Prover) ] → ZK Proof → [ LivenessRegistry (Cairo) ] ← monitors → [ KeeperRegistry (Cairo) ]
                                                          ↓ activation signal
                                                  [ VaultController (Cairo) ]
                                                          ↓ sealed event
                                              [ Beneficiary Device (Event Scanner) ] → Claim Proof → [ VaultController ]</w:t>
            </w:r>
          </w:p>
        </w:tc>
      </w:tr>
    </w:tbl>
    <w:p>
      <w:pPr>
        <w:spacing w:before="0" w:after="100"/>
      </w:pPr>
      <w:r>
        <w:t xml:space="preserve"/>
      </w:r>
    </w:p>
    <w:p>
      <w:pPr>
        <w:pStyle w:val="Heading2"/>
        <w:spacing w:before="280" w:after="100"/>
      </w:pPr>
      <w:r>
        <w:rPr>
          <w:rFonts w:ascii="Arial" w:cs="Arial" w:eastAsia="Arial" w:hAnsi="Arial"/>
          <w:b/>
          <w:bCs/>
          <w:color w:val="1B4FBF"/>
          <w:sz w:val="28"/>
          <w:szCs w:val="28"/>
        </w:rPr>
        <w:t xml:space="preserve">3.2 Contract 1 — LivenessRegistry</w:t>
      </w:r>
    </w:p>
    <w:p>
      <w:pPr>
        <w:spacing w:before="60" w:after="80"/>
      </w:pPr>
      <w:r>
        <w:rPr>
          <w:rFonts w:ascii="Arial" w:cs="Arial" w:eastAsia="Arial" w:hAnsi="Arial"/>
          <w:color w:val="1A1A2E"/>
          <w:sz w:val="22"/>
          <w:szCs w:val="22"/>
        </w:rPr>
        <w:t xml:space="preserve">The heart of the protocol. Maintains a Semaphore group of registered identities and tracks check-in cadence per nullifier. It never knows who any user is — only that valid group members have checked in within their configured intervals.</w:t>
      </w:r>
    </w:p>
    <w:p>
      <w:pPr>
        <w:spacing w:before="0" w:after="100"/>
      </w:pPr>
      <w:r>
        <w:t xml:space="preserve"/>
      </w:r>
    </w:p>
    <w:p>
      <w:pPr>
        <w:spacing w:before="200" w:after="80"/>
      </w:pPr>
      <w:r>
        <w:rPr>
          <w:rFonts w:ascii="Arial" w:cs="Arial" w:eastAsia="Arial" w:hAnsi="Arial"/>
          <w:b/>
          <w:bCs/>
          <w:color w:val="1A1A2E"/>
          <w:sz w:val="24"/>
          <w:szCs w:val="24"/>
        </w:rPr>
        <w:t xml:space="preserve">Key Data Structures</w:t>
      </w:r>
    </w:p>
    <w:p>
      <w:pPr>
        <w:pStyle w:val="ListParagraph"/>
        <w:numPr>
          <w:ilvl w:val="0"/>
          <w:numId w:val="2"/>
        </w:numPr>
        <w:spacing w:before="40" w:after="40"/>
      </w:pPr>
      <w:r>
        <w:rPr>
          <w:rFonts w:ascii="Arial" w:cs="Arial" w:eastAsia="Arial" w:hAnsi="Arial"/>
          <w:color w:val="1A1A2E"/>
          <w:sz w:val="22"/>
          <w:szCs w:val="22"/>
        </w:rPr>
        <w:t xml:space="preserve">group_root — Merkle root of the Semaphore identity group, updated as members join</w:t>
      </w:r>
    </w:p>
    <w:p>
      <w:pPr>
        <w:pStyle w:val="ListParagraph"/>
        <w:numPr>
          <w:ilvl w:val="0"/>
          <w:numId w:val="2"/>
        </w:numPr>
        <w:spacing w:before="40" w:after="40"/>
      </w:pPr>
      <w:r>
        <w:rPr>
          <w:rFonts w:ascii="Arial" w:cs="Arial" w:eastAsia="Arial" w:hAnsi="Arial"/>
          <w:color w:val="1A1A2E"/>
          <w:sz w:val="22"/>
          <w:szCs w:val="22"/>
        </w:rPr>
        <w:t xml:space="preserve">last_checkin — maps nullifier_hash to Unix timestamp of most recent valid check-in</w:t>
      </w:r>
    </w:p>
    <w:p>
      <w:pPr>
        <w:pStyle w:val="ListParagraph"/>
        <w:numPr>
          <w:ilvl w:val="0"/>
          <w:numId w:val="2"/>
        </w:numPr>
        <w:spacing w:before="40" w:after="40"/>
      </w:pPr>
      <w:r>
        <w:rPr>
          <w:rFonts w:ascii="Arial" w:cs="Arial" w:eastAsia="Arial" w:hAnsi="Arial"/>
          <w:color w:val="1A1A2E"/>
          <w:sz w:val="22"/>
          <w:szCs w:val="22"/>
        </w:rPr>
        <w:t xml:space="preserve">checkin_interval — maps nullifier_hash to the user-configured period in seconds (e.g., 2,592,000 for 30 days)</w:t>
      </w:r>
    </w:p>
    <w:p>
      <w:pPr>
        <w:pStyle w:val="ListParagraph"/>
        <w:numPr>
          <w:ilvl w:val="0"/>
          <w:numId w:val="2"/>
        </w:numPr>
        <w:spacing w:before="40" w:after="40"/>
      </w:pPr>
      <w:r>
        <w:rPr>
          <w:rFonts w:ascii="Arial" w:cs="Arial" w:eastAsia="Arial" w:hAnsi="Arial"/>
          <w:color w:val="1A1A2E"/>
          <w:sz w:val="22"/>
          <w:szCs w:val="22"/>
        </w:rPr>
        <w:t xml:space="preserve">missed_checkins — maps nullifier_hash to count of consecutive missed periods</w:t>
      </w:r>
    </w:p>
    <w:p>
      <w:pPr>
        <w:pStyle w:val="ListParagraph"/>
        <w:numPr>
          <w:ilvl w:val="0"/>
          <w:numId w:val="2"/>
        </w:numPr>
        <w:spacing w:before="40" w:after="40"/>
      </w:pPr>
      <w:r>
        <w:rPr>
          <w:rFonts w:ascii="Arial" w:cs="Arial" w:eastAsia="Arial" w:hAnsi="Arial"/>
          <w:color w:val="1A1A2E"/>
          <w:sz w:val="22"/>
          <w:szCs w:val="22"/>
        </w:rPr>
        <w:t xml:space="preserve">vault_commitment — maps nullifier_hash to the sealed vault hash (links identity to vault without revealing either)</w:t>
      </w:r>
    </w:p>
    <w:p>
      <w:pPr>
        <w:pStyle w:val="ListParagraph"/>
        <w:numPr>
          <w:ilvl w:val="0"/>
          <w:numId w:val="2"/>
        </w:numPr>
        <w:spacing w:before="40" w:after="40"/>
      </w:pPr>
      <w:r>
        <w:rPr>
          <w:rFonts w:ascii="Arial" w:cs="Arial" w:eastAsia="Arial" w:hAnsi="Arial"/>
          <w:color w:val="1A1A2E"/>
          <w:sz w:val="22"/>
          <w:szCs w:val="22"/>
        </w:rPr>
        <w:t xml:space="preserve">max_missed — global or per-vault threshold before activation is triggered (default: 3)</w:t>
      </w:r>
    </w:p>
    <w:p>
      <w:pPr>
        <w:spacing w:before="0" w:after="100"/>
      </w:pPr>
      <w:r>
        <w:t xml:space="preserve"/>
      </w:r>
    </w:p>
    <w:p>
      <w:pPr>
        <w:spacing w:before="200" w:after="80"/>
      </w:pPr>
      <w:r>
        <w:rPr>
          <w:rFonts w:ascii="Arial" w:cs="Arial" w:eastAsia="Arial" w:hAnsi="Arial"/>
          <w:b/>
          <w:bCs/>
          <w:color w:val="1A1A2E"/>
          <w:sz w:val="24"/>
          <w:szCs w:val="24"/>
        </w:rPr>
        <w:t xml:space="preserve">Key Functions</w:t>
      </w:r>
    </w:p>
    <w:p>
      <w:pPr>
        <w:pStyle w:val="ListParagraph"/>
        <w:numPr>
          <w:ilvl w:val="0"/>
          <w:numId w:val="2"/>
        </w:numPr>
        <w:spacing w:before="40" w:after="40"/>
      </w:pPr>
      <w:r>
        <w:rPr>
          <w:rFonts w:ascii="Arial" w:cs="Arial" w:eastAsia="Arial" w:hAnsi="Arial"/>
          <w:color w:val="1A1A2E"/>
          <w:sz w:val="22"/>
          <w:szCs w:val="22"/>
        </w:rPr>
        <w:t xml:space="preserve">register(identity_commitment, vault_commitment, interval_seconds) — joins Semaphore group and initialises vault link. Callable once per identity.</w:t>
      </w:r>
    </w:p>
    <w:p>
      <w:pPr>
        <w:pStyle w:val="ListParagraph"/>
        <w:numPr>
          <w:ilvl w:val="0"/>
          <w:numId w:val="2"/>
        </w:numPr>
        <w:spacing w:before="40" w:after="40"/>
      </w:pPr>
      <w:r>
        <w:rPr>
          <w:rFonts w:ascii="Arial" w:cs="Arial" w:eastAsia="Arial" w:hAnsi="Arial"/>
          <w:color w:val="1A1A2E"/>
          <w:sz w:val="22"/>
          <w:szCs w:val="22"/>
        </w:rPr>
        <w:t xml:space="preserve">checkin(semaphore_proof, nullifier_hash, signal) — verifies ZK proof of group membership with epoch-bound nullifier, resets missed counter, updates timestamp. The signal is a commitment to the current epoch to prevent temporal replay.</w:t>
      </w:r>
    </w:p>
    <w:p>
      <w:pPr>
        <w:pStyle w:val="ListParagraph"/>
        <w:numPr>
          <w:ilvl w:val="0"/>
          <w:numId w:val="2"/>
        </w:numPr>
        <w:spacing w:before="40" w:after="40"/>
      </w:pPr>
      <w:r>
        <w:rPr>
          <w:rFonts w:ascii="Arial" w:cs="Arial" w:eastAsia="Arial" w:hAnsi="Arial"/>
          <w:color w:val="1A1A2E"/>
          <w:sz w:val="22"/>
          <w:szCs w:val="22"/>
        </w:rPr>
        <w:t xml:space="preserve">report_missed(nullifier_hash) — callable by any keeper after interval + grace period has elapsed. Increments missed counter. If threshold reached, calls VaultController.activate().</w:t>
      </w:r>
    </w:p>
    <w:p>
      <w:pPr>
        <w:spacing w:before="0" w:after="100"/>
      </w:pPr>
      <w:r>
        <w:t xml:space="preserve"/>
      </w:r>
    </w:p>
    <w:p>
      <w:pPr>
        <w:spacing w:before="200" w:after="80"/>
      </w:pPr>
      <w:r>
        <w:rPr>
          <w:rFonts w:ascii="Arial" w:cs="Arial" w:eastAsia="Arial" w:hAnsi="Arial"/>
          <w:b/>
          <w:bCs/>
          <w:color w:val="1A1A2E"/>
          <w:sz w:val="24"/>
          <w:szCs w:val="24"/>
        </w:rPr>
        <w:t xml:space="preserve">Semaphore Integration</w:t>
      </w:r>
    </w:p>
    <w:p>
      <w:pPr>
        <w:spacing w:before="60" w:after="80"/>
      </w:pPr>
      <w:r>
        <w:rPr>
          <w:rFonts w:ascii="Arial" w:cs="Arial" w:eastAsia="Arial" w:hAnsi="Arial"/>
          <w:color w:val="1A1A2E"/>
          <w:sz w:val="22"/>
          <w:szCs w:val="22"/>
        </w:rPr>
        <w:t xml:space="preserve">Standard Semaphore uses a per-signal nullifier to prevent double signaling. Thanatos extends this with epoch binding: the nullifier is derived from poseidon(identity_nullifier, epoch_number) where epoch_number is the current time divided by the check-in interval. This means each period generates a unique nullifier. A missed period's nullifier cannot be submitted retroactively. An owner cannot front-run a missed report by submitting an old proof.</w:t>
      </w:r>
    </w:p>
    <w:p>
      <w:pPr>
        <w:spacing w:before="0" w:after="100"/>
      </w:pPr>
      <w:r>
        <w:t xml:space="preserve"/>
      </w:r>
    </w:p>
    <w:p>
      <w:pPr>
        <w:pStyle w:val="Heading2"/>
        <w:spacing w:before="280" w:after="100"/>
      </w:pPr>
      <w:r>
        <w:rPr>
          <w:rFonts w:ascii="Arial" w:cs="Arial" w:eastAsia="Arial" w:hAnsi="Arial"/>
          <w:b/>
          <w:bCs/>
          <w:color w:val="1B4FBF"/>
          <w:sz w:val="28"/>
          <w:szCs w:val="28"/>
        </w:rPr>
        <w:t xml:space="preserve">3.3 Contract 2 — VaultController</w:t>
      </w:r>
    </w:p>
    <w:p>
      <w:pPr>
        <w:spacing w:before="60" w:after="80"/>
      </w:pPr>
      <w:r>
        <w:rPr>
          <w:rFonts w:ascii="Arial" w:cs="Arial" w:eastAsia="Arial" w:hAnsi="Arial"/>
          <w:color w:val="1A1A2E"/>
          <w:sz w:val="22"/>
          <w:szCs w:val="22"/>
        </w:rPr>
        <w:t xml:space="preserve">Holds or references all assets and manages the sealed beneficiary commitment. Assets are deposited as Tongo shielded notes — the contract stores the note but cannot read the amount or recipient without the appropriate keys.</w:t>
      </w:r>
    </w:p>
    <w:p>
      <w:pPr>
        <w:spacing w:before="0" w:after="100"/>
      </w:pPr>
      <w:r>
        <w:t xml:space="preserve"/>
      </w:r>
    </w:p>
    <w:p>
      <w:pPr>
        <w:spacing w:before="200" w:after="80"/>
      </w:pPr>
      <w:r>
        <w:rPr>
          <w:rFonts w:ascii="Arial" w:cs="Arial" w:eastAsia="Arial" w:hAnsi="Arial"/>
          <w:b/>
          <w:bCs/>
          <w:color w:val="1A1A2E"/>
          <w:sz w:val="24"/>
          <w:szCs w:val="24"/>
        </w:rPr>
        <w:t xml:space="preserve">Key Data Structures</w:t>
      </w:r>
    </w:p>
    <w:p>
      <w:pPr>
        <w:pStyle w:val="ListParagraph"/>
        <w:numPr>
          <w:ilvl w:val="0"/>
          <w:numId w:val="2"/>
        </w:numPr>
        <w:spacing w:before="40" w:after="40"/>
      </w:pPr>
      <w:r>
        <w:rPr>
          <w:rFonts w:ascii="Arial" w:cs="Arial" w:eastAsia="Arial" w:hAnsi="Arial"/>
          <w:color w:val="1A1A2E"/>
          <w:sz w:val="22"/>
          <w:szCs w:val="22"/>
        </w:rPr>
        <w:t xml:space="preserve">sealed_beneficiary — maps vault_commitment to ElGamal-encrypted beneficiary data. Encrypted at deposit time with the beneficiary's public key. The contract can store and emit this without decrypting it.</w:t>
      </w:r>
    </w:p>
    <w:p>
      <w:pPr>
        <w:pStyle w:val="ListParagraph"/>
        <w:numPr>
          <w:ilvl w:val="0"/>
          <w:numId w:val="2"/>
        </w:numPr>
        <w:spacing w:before="40" w:after="40"/>
      </w:pPr>
      <w:r>
        <w:rPr>
          <w:rFonts w:ascii="Arial" w:cs="Arial" w:eastAsia="Arial" w:hAnsi="Arial"/>
          <w:color w:val="1A1A2E"/>
          <w:sz w:val="22"/>
          <w:szCs w:val="22"/>
        </w:rPr>
        <w:t xml:space="preserve">shielded_assets — maps vault_commitment to the Tongo shielded note representing the deposited assets.</w:t>
      </w:r>
    </w:p>
    <w:p>
      <w:pPr>
        <w:pStyle w:val="ListParagraph"/>
        <w:numPr>
          <w:ilvl w:val="0"/>
          <w:numId w:val="2"/>
        </w:numPr>
        <w:spacing w:before="40" w:after="40"/>
      </w:pPr>
      <w:r>
        <w:rPr>
          <w:rFonts w:ascii="Arial" w:cs="Arial" w:eastAsia="Arial" w:hAnsi="Arial"/>
          <w:color w:val="1A1A2E"/>
          <w:sz w:val="22"/>
          <w:szCs w:val="22"/>
        </w:rPr>
        <w:t xml:space="preserve">pending_claims — maps vault_commitment to activation status boolean.</w:t>
      </w:r>
    </w:p>
    <w:p>
      <w:pPr>
        <w:spacing w:before="0" w:after="100"/>
      </w:pPr>
      <w:r>
        <w:t xml:space="preserve"/>
      </w:r>
    </w:p>
    <w:p>
      <w:pPr>
        <w:spacing w:before="200" w:after="80"/>
      </w:pPr>
      <w:r>
        <w:rPr>
          <w:rFonts w:ascii="Arial" w:cs="Arial" w:eastAsia="Arial" w:hAnsi="Arial"/>
          <w:b/>
          <w:bCs/>
          <w:color w:val="1A1A2E"/>
          <w:sz w:val="24"/>
          <w:szCs w:val="24"/>
        </w:rPr>
        <w:t xml:space="preserve">Key Functions</w:t>
      </w:r>
    </w:p>
    <w:p>
      <w:pPr>
        <w:pStyle w:val="ListParagraph"/>
        <w:numPr>
          <w:ilvl w:val="0"/>
          <w:numId w:val="2"/>
        </w:numPr>
        <w:spacing w:before="40" w:after="40"/>
      </w:pPr>
      <w:r>
        <w:rPr>
          <w:rFonts w:ascii="Arial" w:cs="Arial" w:eastAsia="Arial" w:hAnsi="Arial"/>
          <w:color w:val="1A1A2E"/>
          <w:sz w:val="22"/>
          <w:szCs w:val="22"/>
        </w:rPr>
        <w:t xml:space="preserve">deposit(vault_commitment, encrypted_beneficiary, shielded_note) — accepts initial setup. The vault_commitment is a Pedersen hash of (beneficiary_pubkey, asset_commitment, salt), binding all components without revealing them.</w:t>
      </w:r>
    </w:p>
    <w:p>
      <w:pPr>
        <w:pStyle w:val="ListParagraph"/>
        <w:numPr>
          <w:ilvl w:val="0"/>
          <w:numId w:val="2"/>
        </w:numPr>
        <w:spacing w:before="40" w:after="40"/>
      </w:pPr>
      <w:r>
        <w:rPr>
          <w:rFonts w:ascii="Arial" w:cs="Arial" w:eastAsia="Arial" w:hAnsi="Arial"/>
          <w:color w:val="1A1A2E"/>
          <w:sz w:val="22"/>
          <w:szCs w:val="22"/>
        </w:rPr>
        <w:t xml:space="preserve">activate(vault_commitment) — callable only by LivenessRegistry after threshold is reached. Sets pending_claims to true and emits a VaultActivated event containing only the vault_commitment hash. The beneficiary monitors for this event.</w:t>
      </w:r>
    </w:p>
    <w:p>
      <w:pPr>
        <w:pStyle w:val="ListParagraph"/>
        <w:numPr>
          <w:ilvl w:val="0"/>
          <w:numId w:val="2"/>
        </w:numPr>
        <w:spacing w:before="40" w:after="40"/>
      </w:pPr>
      <w:r>
        <w:rPr>
          <w:rFonts w:ascii="Arial" w:cs="Arial" w:eastAsia="Arial" w:hAnsi="Arial"/>
          <w:color w:val="1A1A2E"/>
          <w:sz w:val="22"/>
          <w:szCs w:val="22"/>
        </w:rPr>
        <w:t xml:space="preserve">claim(vault_commitment, claim_proof, recipient_note) — the beneficiary submits a ZK proof that they know the private key corresponding to the beneficiary_pubkey embedded in the vault_commitment. If valid, the shielded note transfers to the recipient_note they specify.</w:t>
      </w:r>
    </w:p>
    <w:p>
      <w:pPr>
        <w:spacing w:before="0" w:after="100"/>
      </w:pPr>
      <w:r>
        <w:t xml:space="preserve"/>
      </w:r>
    </w:p>
    <w:p>
      <w:pPr>
        <w:spacing w:before="200" w:after="80"/>
      </w:pPr>
      <w:r>
        <w:rPr>
          <w:rFonts w:ascii="Arial" w:cs="Arial" w:eastAsia="Arial" w:hAnsi="Arial"/>
          <w:b/>
          <w:bCs/>
          <w:color w:val="1A1A2E"/>
          <w:sz w:val="24"/>
          <w:szCs w:val="24"/>
        </w:rPr>
        <w:t xml:space="preserve">Beneficiary Detection</w:t>
      </w:r>
    </w:p>
    <w:p>
      <w:pPr>
        <w:spacing w:before="60" w:after="80"/>
      </w:pPr>
      <w:r>
        <w:rPr>
          <w:rFonts w:ascii="Arial" w:cs="Arial" w:eastAsia="Arial" w:hAnsi="Arial"/>
          <w:color w:val="1A1A2E"/>
          <w:sz w:val="22"/>
          <w:szCs w:val="22"/>
        </w:rPr>
        <w:t xml:space="preserve">The beneficiary does not watch for their address — they watch for VaultActivated events and attempt to compute whether vault_commitment matches their own public key with any known salt. In practice, the owner shares the salt with the beneficiary out-of-band during setup (e.g., in a physical sealed envelope). This is the only out-of-band communication required by the protocol.</w:t>
      </w:r>
    </w:p>
    <w:p>
      <w:pPr>
        <w:spacing w:before="0" w:after="100"/>
      </w:pPr>
      <w:r>
        <w:t xml:space="preserve"/>
      </w:r>
    </w:p>
    <w:p>
      <w:pPr>
        <w:pStyle w:val="Heading2"/>
        <w:spacing w:before="280" w:after="100"/>
      </w:pPr>
      <w:r>
        <w:rPr>
          <w:rFonts w:ascii="Arial" w:cs="Arial" w:eastAsia="Arial" w:hAnsi="Arial"/>
          <w:b/>
          <w:bCs/>
          <w:color w:val="1B4FBF"/>
          <w:sz w:val="28"/>
          <w:szCs w:val="28"/>
        </w:rPr>
        <w:t xml:space="preserve">3.4 Contract 3 — KeeperRegistry</w:t>
      </w:r>
    </w:p>
    <w:p>
      <w:pPr>
        <w:spacing w:before="60" w:after="80"/>
      </w:pPr>
      <w:r>
        <w:rPr>
          <w:rFonts w:ascii="Arial" w:cs="Arial" w:eastAsia="Arial" w:hAnsi="Arial"/>
          <w:color w:val="1A1A2E"/>
          <w:sz w:val="22"/>
          <w:szCs w:val="22"/>
        </w:rPr>
        <w:t xml:space="preserve">Decentralises the liveness monitoring so no single entity controls whether missed check-ins are reported. This makes the protocol fully trustless even in the monitoring layer.</w:t>
      </w:r>
    </w:p>
    <w:p>
      <w:pPr>
        <w:spacing w:before="0" w:after="100"/>
      </w:pPr>
      <w:r>
        <w:t xml:space="preserve"/>
      </w:r>
    </w:p>
    <w:p>
      <w:pPr>
        <w:spacing w:before="200" w:after="80"/>
      </w:pPr>
      <w:r>
        <w:rPr>
          <w:rFonts w:ascii="Arial" w:cs="Arial" w:eastAsia="Arial" w:hAnsi="Arial"/>
          <w:b/>
          <w:bCs/>
          <w:color w:val="1A1A2E"/>
          <w:sz w:val="24"/>
          <w:szCs w:val="24"/>
        </w:rPr>
        <w:t xml:space="preserve">Economic Model</w:t>
      </w:r>
    </w:p>
    <w:p>
      <w:pPr>
        <w:pStyle w:val="ListParagraph"/>
        <w:numPr>
          <w:ilvl w:val="0"/>
          <w:numId w:val="2"/>
        </w:numPr>
        <w:spacing w:before="40" w:after="40"/>
      </w:pPr>
      <w:r>
        <w:rPr>
          <w:rFonts w:ascii="Arial" w:cs="Arial" w:eastAsia="Arial" w:hAnsi="Arial"/>
          <w:color w:val="1A1A2E"/>
          <w:sz w:val="22"/>
          <w:szCs w:val="22"/>
        </w:rPr>
        <w:t xml:space="preserve">Keepers stake STRK tokens to participate in the network, providing a Sybil resistance floor.</w:t>
      </w:r>
    </w:p>
    <w:p>
      <w:pPr>
        <w:pStyle w:val="ListParagraph"/>
        <w:numPr>
          <w:ilvl w:val="0"/>
          <w:numId w:val="2"/>
        </w:numPr>
        <w:spacing w:before="40" w:after="40"/>
      </w:pPr>
      <w:r>
        <w:rPr>
          <w:rFonts w:ascii="Arial" w:cs="Arial" w:eastAsia="Arial" w:hAnsi="Arial"/>
          <w:color w:val="1A1A2E"/>
          <w:sz w:val="22"/>
          <w:szCs w:val="22"/>
        </w:rPr>
        <w:t xml:space="preserve">A small keeper fee pool is funded at vault creation time (e.g., 0.05% of deposited value). This pool persists for the life of the vault.</w:t>
      </w:r>
    </w:p>
    <w:p>
      <w:pPr>
        <w:pStyle w:val="ListParagraph"/>
        <w:numPr>
          <w:ilvl w:val="0"/>
          <w:numId w:val="2"/>
        </w:numPr>
        <w:spacing w:before="40" w:after="40"/>
      </w:pPr>
      <w:r>
        <w:rPr>
          <w:rFonts w:ascii="Arial" w:cs="Arial" w:eastAsia="Arial" w:hAnsi="Arial"/>
          <w:color w:val="1A1A2E"/>
          <w:sz w:val="22"/>
          <w:szCs w:val="22"/>
        </w:rPr>
        <w:t xml:space="preserve">The first keeper to successfully call report_missed after a valid missed window earns a fee from the pool. This creates competitive incentives for timely reporting.</w:t>
      </w:r>
    </w:p>
    <w:p>
      <w:pPr>
        <w:pStyle w:val="ListParagraph"/>
        <w:numPr>
          <w:ilvl w:val="0"/>
          <w:numId w:val="2"/>
        </w:numPr>
        <w:spacing w:before="40" w:after="40"/>
      </w:pPr>
      <w:r>
        <w:rPr>
          <w:rFonts w:ascii="Arial" w:cs="Arial" w:eastAsia="Arial" w:hAnsi="Arial"/>
          <w:color w:val="1A1A2E"/>
          <w:sz w:val="22"/>
          <w:szCs w:val="22"/>
        </w:rPr>
        <w:t xml:space="preserve">Future versions can include slashing for keepers who collude or systematically fail to report, though this is out of scope for the hackathon MVP.</w:t>
      </w:r>
    </w:p>
    <w:p>
      <w:pPr>
        <w:spacing w:before="0" w:after="100"/>
      </w:pPr>
      <w:r>
        <w:t xml:space="preserve"/>
      </w:r>
    </w:p>
    <w:p>
      <w:pPr>
        <w:pStyle w:val="Heading2"/>
        <w:spacing w:before="280" w:after="100"/>
      </w:pPr>
      <w:r>
        <w:rPr>
          <w:rFonts w:ascii="Arial" w:cs="Arial" w:eastAsia="Arial" w:hAnsi="Arial"/>
          <w:b/>
          <w:bCs/>
          <w:color w:val="1B4FBF"/>
          <w:sz w:val="28"/>
          <w:szCs w:val="28"/>
        </w:rPr>
        <w:t xml:space="preserve">3.5 ZK Circuit — Noir + Garaga</w:t>
      </w:r>
    </w:p>
    <w:p>
      <w:pPr>
        <w:spacing w:before="60" w:after="80"/>
      </w:pPr>
      <w:r>
        <w:rPr>
          <w:rFonts w:ascii="Arial" w:cs="Arial" w:eastAsia="Arial" w:hAnsi="Arial"/>
          <w:color w:val="1A1A2E"/>
          <w:sz w:val="22"/>
          <w:szCs w:val="22"/>
        </w:rPr>
        <w:t xml:space="preserve">The liveness proof circuit is written in Noir and compiled to a Groth16 proof verified on Starknet via Garaga. All proving happens client-side on the owner's device — the proof computation takes approximately 2-3 seconds on modern hardware and produces a proof of roughly 300 bytes.</w:t>
      </w:r>
    </w:p>
    <w:p>
      <w:pPr>
        <w:spacing w:before="0" w:after="100"/>
      </w:pPr>
      <w:r>
        <w:t xml:space="preserve"/>
      </w:r>
    </w:p>
    <w:p>
      <w:pPr>
        <w:spacing w:before="200" w:after="80"/>
      </w:pPr>
      <w:r>
        <w:rPr>
          <w:rFonts w:ascii="Arial" w:cs="Arial" w:eastAsia="Arial" w:hAnsi="Arial"/>
          <w:b/>
          <w:bCs/>
          <w:color w:val="1A1A2E"/>
          <w:sz w:val="24"/>
          <w:szCs w:val="24"/>
        </w:rPr>
        <w:t xml:space="preserve">Private Inputs (never leave the device)</w:t>
      </w:r>
    </w:p>
    <w:p>
      <w:pPr>
        <w:pStyle w:val="ListParagraph"/>
        <w:numPr>
          <w:ilvl w:val="0"/>
          <w:numId w:val="2"/>
        </w:numPr>
        <w:spacing w:before="40" w:after="40"/>
      </w:pPr>
      <w:r>
        <w:rPr>
          <w:rFonts w:ascii="Arial" w:cs="Arial" w:eastAsia="Arial" w:hAnsi="Arial"/>
          <w:color w:val="1A1A2E"/>
          <w:sz w:val="22"/>
          <w:szCs w:val="22"/>
        </w:rPr>
        <w:t xml:space="preserve">identity_secret — the owner's master secret, generated at setup and stored in the app</w:t>
      </w:r>
    </w:p>
    <w:p>
      <w:pPr>
        <w:pStyle w:val="ListParagraph"/>
        <w:numPr>
          <w:ilvl w:val="0"/>
          <w:numId w:val="2"/>
        </w:numPr>
        <w:spacing w:before="40" w:after="40"/>
      </w:pPr>
      <w:r>
        <w:rPr>
          <w:rFonts w:ascii="Arial" w:cs="Arial" w:eastAsia="Arial" w:hAnsi="Arial"/>
          <w:color w:val="1A1A2E"/>
          <w:sz w:val="22"/>
          <w:szCs w:val="22"/>
        </w:rPr>
        <w:t xml:space="preserve">identity_nullifier — paired with the secret to derive the identity commitment</w:t>
      </w:r>
    </w:p>
    <w:p>
      <w:pPr>
        <w:pStyle w:val="ListParagraph"/>
        <w:numPr>
          <w:ilvl w:val="0"/>
          <w:numId w:val="2"/>
        </w:numPr>
        <w:spacing w:before="40" w:after="40"/>
      </w:pPr>
      <w:r>
        <w:rPr>
          <w:rFonts w:ascii="Arial" w:cs="Arial" w:eastAsia="Arial" w:hAnsi="Arial"/>
          <w:color w:val="1A1A2E"/>
          <w:sz w:val="22"/>
          <w:szCs w:val="22"/>
        </w:rPr>
        <w:t xml:space="preserve">merkle_path and merkle_indices — the Merkle proof of membership in the Semaphore group</w:t>
      </w:r>
    </w:p>
    <w:p>
      <w:pPr>
        <w:pStyle w:val="ListParagraph"/>
        <w:numPr>
          <w:ilvl w:val="0"/>
          <w:numId w:val="2"/>
        </w:numPr>
        <w:spacing w:before="40" w:after="40"/>
      </w:pPr>
      <w:r>
        <w:rPr>
          <w:rFonts w:ascii="Arial" w:cs="Arial" w:eastAsia="Arial" w:hAnsi="Arial"/>
          <w:color w:val="1A1A2E"/>
          <w:sz w:val="22"/>
          <w:szCs w:val="22"/>
        </w:rPr>
        <w:t xml:space="preserve">epoch — the current time period number (public timestamp divided by interval)</w:t>
      </w:r>
    </w:p>
    <w:p>
      <w:pPr>
        <w:spacing w:before="0" w:after="100"/>
      </w:pPr>
      <w:r>
        <w:t xml:space="preserve"/>
      </w:r>
    </w:p>
    <w:p>
      <w:pPr>
        <w:spacing w:before="200" w:after="80"/>
      </w:pPr>
      <w:r>
        <w:rPr>
          <w:rFonts w:ascii="Arial" w:cs="Arial" w:eastAsia="Arial" w:hAnsi="Arial"/>
          <w:b/>
          <w:bCs/>
          <w:color w:val="1A1A2E"/>
          <w:sz w:val="24"/>
          <w:szCs w:val="24"/>
        </w:rPr>
        <w:t xml:space="preserve">Public Inputs (submitted on-chain)</w:t>
      </w:r>
    </w:p>
    <w:p>
      <w:pPr>
        <w:pStyle w:val="ListParagraph"/>
        <w:numPr>
          <w:ilvl w:val="0"/>
          <w:numId w:val="2"/>
        </w:numPr>
        <w:spacing w:before="40" w:after="40"/>
      </w:pPr>
      <w:r>
        <w:rPr>
          <w:rFonts w:ascii="Arial" w:cs="Arial" w:eastAsia="Arial" w:hAnsi="Arial"/>
          <w:color w:val="1A1A2E"/>
          <w:sz w:val="22"/>
          <w:szCs w:val="22"/>
        </w:rPr>
        <w:t xml:space="preserve">root — the current Merkle root of the Semaphore group</w:t>
      </w:r>
    </w:p>
    <w:p>
      <w:pPr>
        <w:pStyle w:val="ListParagraph"/>
        <w:numPr>
          <w:ilvl w:val="0"/>
          <w:numId w:val="2"/>
        </w:numPr>
        <w:spacing w:before="40" w:after="40"/>
      </w:pPr>
      <w:r>
        <w:rPr>
          <w:rFonts w:ascii="Arial" w:cs="Arial" w:eastAsia="Arial" w:hAnsi="Arial"/>
          <w:color w:val="1A1A2E"/>
          <w:sz w:val="22"/>
          <w:szCs w:val="22"/>
        </w:rPr>
        <w:t xml:space="preserve">nullifier_hash — poseidon(identity_nullifier, epoch), unique per period</w:t>
      </w:r>
    </w:p>
    <w:p>
      <w:pPr>
        <w:pStyle w:val="ListParagraph"/>
        <w:numPr>
          <w:ilvl w:val="0"/>
          <w:numId w:val="2"/>
        </w:numPr>
        <w:spacing w:before="40" w:after="40"/>
      </w:pPr>
      <w:r>
        <w:rPr>
          <w:rFonts w:ascii="Arial" w:cs="Arial" w:eastAsia="Arial" w:hAnsi="Arial"/>
          <w:color w:val="1A1A2E"/>
          <w:sz w:val="22"/>
          <w:szCs w:val="22"/>
        </w:rPr>
        <w:t xml:space="preserve">signal_hash — a hash of the epoch and any additional liveness signal</w:t>
      </w:r>
    </w:p>
    <w:p>
      <w:pPr>
        <w:spacing w:before="0" w:after="100"/>
      </w:pPr>
      <w:r>
        <w:t xml:space="preserve"/>
      </w:r>
    </w:p>
    <w:p>
      <w:pPr>
        <w:spacing w:before="200" w:after="80"/>
      </w:pPr>
      <w:r>
        <w:rPr>
          <w:rFonts w:ascii="Arial" w:cs="Arial" w:eastAsia="Arial" w:hAnsi="Arial"/>
          <w:b/>
          <w:bCs/>
          <w:color w:val="1A1A2E"/>
          <w:sz w:val="24"/>
          <w:szCs w:val="24"/>
        </w:rPr>
        <w:t xml:space="preserve">Circuit Logic</w:t>
      </w:r>
    </w:p>
    <w:p>
      <w:pPr>
        <w:pStyle w:val="ListParagraph"/>
        <w:numPr>
          <w:ilvl w:val="0"/>
          <w:numId w:val="2"/>
        </w:numPr>
        <w:spacing w:before="40" w:after="40"/>
      </w:pPr>
      <w:r>
        <w:rPr>
          <w:rFonts w:ascii="Arial" w:cs="Arial" w:eastAsia="Arial" w:hAnsi="Arial"/>
          <w:color w:val="1A1A2E"/>
          <w:sz w:val="22"/>
          <w:szCs w:val="22"/>
        </w:rPr>
        <w:t xml:space="preserve">Derives identity_commitment from (identity_secret, identity_nullifier) using Poseidon hash</w:t>
      </w:r>
    </w:p>
    <w:p>
      <w:pPr>
        <w:pStyle w:val="ListParagraph"/>
        <w:numPr>
          <w:ilvl w:val="0"/>
          <w:numId w:val="2"/>
        </w:numPr>
        <w:spacing w:before="40" w:after="40"/>
      </w:pPr>
      <w:r>
        <w:rPr>
          <w:rFonts w:ascii="Arial" w:cs="Arial" w:eastAsia="Arial" w:hAnsi="Arial"/>
          <w:color w:val="1A1A2E"/>
          <w:sz w:val="22"/>
          <w:szCs w:val="22"/>
        </w:rPr>
        <w:t xml:space="preserve">Verifies the commitment is a leaf in the Merkle tree with the submitted root</w:t>
      </w:r>
    </w:p>
    <w:p>
      <w:pPr>
        <w:pStyle w:val="ListParagraph"/>
        <w:numPr>
          <w:ilvl w:val="0"/>
          <w:numId w:val="2"/>
        </w:numPr>
        <w:spacing w:before="40" w:after="40"/>
      </w:pPr>
      <w:r>
        <w:rPr>
          <w:rFonts w:ascii="Arial" w:cs="Arial" w:eastAsia="Arial" w:hAnsi="Arial"/>
          <w:color w:val="1A1A2E"/>
          <w:sz w:val="22"/>
          <w:szCs w:val="22"/>
        </w:rPr>
        <w:t xml:space="preserve">Derives nullifier_hash from (identity_nullifier, epoch) and asserts it matches the public input</w:t>
      </w:r>
    </w:p>
    <w:p>
      <w:pPr>
        <w:pStyle w:val="ListParagraph"/>
        <w:numPr>
          <w:ilvl w:val="0"/>
          <w:numId w:val="2"/>
        </w:numPr>
        <w:spacing w:before="40" w:after="40"/>
      </w:pPr>
      <w:r>
        <w:rPr>
          <w:rFonts w:ascii="Arial" w:cs="Arial" w:eastAsia="Arial" w:hAnsi="Arial"/>
          <w:color w:val="1A1A2E"/>
          <w:sz w:val="22"/>
          <w:szCs w:val="22"/>
        </w:rPr>
        <w:t xml:space="preserve">Does not reveal which leaf, which secret, or which nullifier is associated with which vault</w:t>
      </w:r>
    </w:p>
    <w:p>
      <w:pPr>
        <w:spacing w:before="0" w:after="100"/>
      </w:pPr>
      <w:r>
        <w:t xml:space="preserve"/>
      </w:r>
    </w:p>
    <w:p>
      <w:pPr>
        <w:spacing w:before="200" w:after="80"/>
      </w:pPr>
      <w:r>
        <w:rPr>
          <w:rFonts w:ascii="Arial" w:cs="Arial" w:eastAsia="Arial" w:hAnsi="Arial"/>
          <w:b/>
          <w:bCs/>
          <w:color w:val="1A1A2E"/>
          <w:sz w:val="24"/>
          <w:szCs w:val="24"/>
        </w:rPr>
        <w:t xml:space="preserve">Garaga Integration</w:t>
      </w:r>
    </w:p>
    <w:p>
      <w:pPr>
        <w:spacing w:before="60" w:after="80"/>
      </w:pPr>
      <w:r>
        <w:rPr>
          <w:rFonts w:ascii="Arial" w:cs="Arial" w:eastAsia="Arial" w:hAnsi="Arial"/>
          <w:color w:val="1A1A2E"/>
          <w:sz w:val="22"/>
          <w:szCs w:val="22"/>
        </w:rPr>
        <w:t xml:space="preserve">Garaga is Starknet's library for verifying Groth16 and PLONK proofs in Cairo. The compiled Noir circuit's verifying key is deployed as a Cairo contract. The LivenessRegistry calls this verifier before accepting any check-in, ensuring proof validity is enforced at the smart contract layer rather than at the application layer.</w:t>
      </w:r>
    </w:p>
    <w:p>
      <w:pPr>
        <w:spacing w:before="0" w:after="100"/>
      </w:pPr>
      <w:r>
        <w:t xml:space="preserve"/>
      </w:r>
    </w:p>
    <w:p>
      <w:pPr>
        <w:pStyle w:val="Heading2"/>
        <w:spacing w:before="280" w:after="100"/>
      </w:pPr>
      <w:r>
        <w:rPr>
          <w:rFonts w:ascii="Arial" w:cs="Arial" w:eastAsia="Arial" w:hAnsi="Arial"/>
          <w:b/>
          <w:bCs/>
          <w:color w:val="1B4FBF"/>
          <w:sz w:val="28"/>
          <w:szCs w:val="28"/>
        </w:rPr>
        <w:t xml:space="preserve">3.6 Asset Layer — Tongo + BTC Integration</w:t>
      </w:r>
    </w:p>
    <w:p>
      <w:pPr>
        <w:spacing w:before="60" w:after="80"/>
      </w:pPr>
      <w:r>
        <w:rPr>
          <w:rFonts w:ascii="Arial" w:cs="Arial" w:eastAsia="Arial" w:hAnsi="Arial"/>
          <w:color w:val="1A1A2E"/>
          <w:sz w:val="22"/>
          <w:szCs w:val="22"/>
        </w:rPr>
        <w:t xml:space="preserve">Tongo is Starknet's confidential ERC20 framework using ElGamal encryption and ZK proofs to hide transfer amounts. Deposited assets are wrapped as Tongo shielded notes so neither the deposit amount nor the eventual claim amount is visible on-chain.</w:t>
      </w:r>
    </w:p>
    <w:p>
      <w:pPr>
        <w:spacing w:before="0" w:after="100"/>
      </w:pPr>
      <w:r>
        <w:t xml:space="preserve"/>
      </w:r>
    </w:p>
    <w:p>
      <w:pPr>
        <w:spacing w:before="200" w:after="80"/>
      </w:pPr>
      <w:r>
        <w:rPr>
          <w:rFonts w:ascii="Arial" w:cs="Arial" w:eastAsia="Arial" w:hAnsi="Arial"/>
          <w:b/>
          <w:bCs/>
          <w:color w:val="1A1A2E"/>
          <w:sz w:val="24"/>
          <w:szCs w:val="24"/>
        </w:rPr>
        <w:t xml:space="preserve">Supported Asset Flow</w:t>
      </w:r>
    </w:p>
    <w:p>
      <w:pPr>
        <w:pStyle w:val="ListParagraph"/>
        <w:numPr>
          <w:ilvl w:val="0"/>
          <w:numId w:val="2"/>
        </w:numPr>
        <w:spacing w:before="40" w:after="40"/>
      </w:pPr>
      <w:r>
        <w:rPr>
          <w:rFonts w:ascii="Arial" w:cs="Arial" w:eastAsia="Arial" w:hAnsi="Arial"/>
          <w:color w:val="1A1A2E"/>
          <w:sz w:val="22"/>
          <w:szCs w:val="22"/>
        </w:rPr>
        <w:t xml:space="preserve">Native STRK and ERC20 tokens — directly wrapped as Tongo shielded notes at deposit</w:t>
      </w:r>
    </w:p>
    <w:p>
      <w:pPr>
        <w:pStyle w:val="ListParagraph"/>
        <w:numPr>
          <w:ilvl w:val="0"/>
          <w:numId w:val="2"/>
        </w:numPr>
        <w:spacing w:before="40" w:after="40"/>
      </w:pPr>
      <w:r>
        <w:rPr>
          <w:rFonts w:ascii="Arial" w:cs="Arial" w:eastAsia="Arial" w:hAnsi="Arial"/>
          <w:color w:val="1A1A2E"/>
          <w:sz w:val="22"/>
          <w:szCs w:val="22"/>
        </w:rPr>
        <w:t xml:space="preserve">Wrapped BTC (tBTC, sBTC) — deposited as BTC-wrapped ERC20, then wrapped as a Tongo shielded note within the VaultController. This is the Bitcoin Track entry point.</w:t>
      </w:r>
    </w:p>
    <w:p>
      <w:pPr>
        <w:pStyle w:val="ListParagraph"/>
        <w:numPr>
          <w:ilvl w:val="0"/>
          <w:numId w:val="2"/>
        </w:numPr>
        <w:spacing w:before="40" w:after="40"/>
      </w:pPr>
      <w:r>
        <w:rPr>
          <w:rFonts w:ascii="Arial" w:cs="Arial" w:eastAsia="Arial" w:hAnsi="Arial"/>
          <w:color w:val="1A1A2E"/>
          <w:sz w:val="22"/>
          <w:szCs w:val="22"/>
        </w:rPr>
        <w:t xml:space="preserve">Multi-asset vaults — a vault can commit to a basket of assets via a Merkle commitment of individual notes, claimed together upon activation</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200"/>
              <w:bottom w:type="dxa" w:w="120"/>
              <w:right w:type="dxa" w:w="200"/>
            </w:tcMar>
          </w:tcPr>
          <w:p>
            <w:pPr>
              <w:spacing w:before="0" w:after="60"/>
            </w:pPr>
            <w:r>
              <w:rPr>
                <w:rFonts w:ascii="Arial" w:cs="Arial" w:eastAsia="Arial" w:hAnsi="Arial"/>
                <w:b/>
                <w:bCs/>
                <w:color w:val="1A5C3A"/>
                <w:sz w:val="20"/>
                <w:szCs w:val="20"/>
              </w:rPr>
              <w:t xml:space="preserve">Why BTC Makes This Stronger</w:t>
            </w:r>
          </w:p>
          <w:p>
            <w:pPr>
              <w:spacing w:before="0" w:after="0"/>
            </w:pPr>
            <w:r>
              <w:rPr>
                <w:rFonts w:ascii="Arial" w:cs="Arial" w:eastAsia="Arial" w:hAnsi="Arial"/>
                <w:color w:val="1A1A2E"/>
                <w:sz w:val="20"/>
                <w:szCs w:val="20"/>
              </w:rPr>
              <w:t xml:space="preserve">Bitcoin holders are the single demographic most likely to accumulate significant wealth with no succession plan. The problem is most acute for OG BTC holders. Adding tBTC/sBTC support requires minimal additional engineering (one day of work) but dramatically expands the addressable market and qualifies the project for the Bitcoin track prize pool simultaneously.</w:t>
            </w:r>
          </w:p>
        </w:tc>
      </w:tr>
    </w:tbl>
    <w:p>
      <w:r>
        <w:br w:type="page"/>
      </w:r>
    </w:p>
    <w:p>
      <w:pPr>
        <w:pStyle w:val="Heading1"/>
        <w:spacing w:before="360" w:after="120"/>
      </w:pPr>
      <w:r>
        <w:rPr>
          <w:rFonts w:ascii="Arial" w:cs="Arial" w:eastAsia="Arial" w:hAnsi="Arial"/>
          <w:b/>
          <w:bCs/>
          <w:color w:val="1A1A2E"/>
          <w:sz w:val="36"/>
          <w:szCs w:val="36"/>
        </w:rPr>
        <w:t xml:space="preserve">4. User Experience</w:t>
      </w:r>
    </w:p>
    <w:p>
      <w:pPr>
        <w:pBdr>
          <w:bottom w:val="single" w:color="DDDDDD" w:sz="4" w:space="1"/>
        </w:pBdr>
        <w:spacing w:before="120" w:after="120"/>
      </w:pPr>
      <w:r>
        <w:t xml:space="preserve"/>
      </w:r>
    </w:p>
    <w:p>
      <w:pPr>
        <w:spacing w:before="0" w:after="100"/>
      </w:pPr>
      <w:r>
        <w:t xml:space="preserve"/>
      </w:r>
    </w:p>
    <w:p>
      <w:pPr>
        <w:spacing w:before="60" w:after="80"/>
      </w:pPr>
      <w:r>
        <w:rPr>
          <w:rFonts w:ascii="Arial" w:cs="Arial" w:eastAsia="Arial" w:hAnsi="Arial"/>
          <w:color w:val="1A1A2E"/>
          <w:sz w:val="22"/>
          <w:szCs w:val="22"/>
        </w:rPr>
        <w:t xml:space="preserve">The protocol is technically complex — the UX must be the opposite. Thanatos has two distinct user flows: the owner (who interacts throughout their life) and the beneficiary (who interacts only once, after death).</w:t>
      </w:r>
    </w:p>
    <w:p>
      <w:pPr>
        <w:spacing w:before="0" w:after="100"/>
      </w:pPr>
      <w:r>
        <w:t xml:space="preserve"/>
      </w:r>
    </w:p>
    <w:p>
      <w:pPr>
        <w:pStyle w:val="Heading2"/>
        <w:spacing w:before="280" w:after="100"/>
      </w:pPr>
      <w:r>
        <w:rPr>
          <w:rFonts w:ascii="Arial" w:cs="Arial" w:eastAsia="Arial" w:hAnsi="Arial"/>
          <w:b/>
          <w:bCs/>
          <w:color w:val="1B4FBF"/>
          <w:sz w:val="28"/>
          <w:szCs w:val="28"/>
        </w:rPr>
        <w:t xml:space="preserve">4.1 Owner Flow</w:t>
      </w:r>
    </w:p>
    <w:p>
      <w:pPr>
        <w:spacing w:before="0" w:after="100"/>
      </w:pPr>
      <w:r>
        <w:t xml:space="preserve"/>
      </w:r>
    </w:p>
    <w:p>
      <w:pPr>
        <w:spacing w:before="200" w:after="80"/>
      </w:pPr>
      <w:r>
        <w:rPr>
          <w:rFonts w:ascii="Arial" w:cs="Arial" w:eastAsia="Arial" w:hAnsi="Arial"/>
          <w:b/>
          <w:bCs/>
          <w:color w:val="1A1A2E"/>
          <w:sz w:val="24"/>
          <w:szCs w:val="24"/>
        </w:rPr>
        <w:t xml:space="preserve">Step 1 — Initial Setup (one time, approximately 10 minutes)</w:t>
      </w:r>
    </w:p>
    <w:p>
      <w:pPr>
        <w:pStyle w:val="ListParagraph"/>
        <w:numPr>
          <w:ilvl w:val="0"/>
          <w:numId w:val="2"/>
        </w:numPr>
        <w:spacing w:before="40" w:after="40"/>
      </w:pPr>
      <w:r>
        <w:rPr>
          <w:rFonts w:ascii="Arial" w:cs="Arial" w:eastAsia="Arial" w:hAnsi="Arial"/>
          <w:color w:val="1A1A2E"/>
          <w:sz w:val="22"/>
          <w:szCs w:val="22"/>
        </w:rPr>
        <w:t xml:space="preserve">Open Thanatos app. Generate identity secret locally — never transmitted anywhere, stored encrypted on device with biometric lock.</w:t>
      </w:r>
    </w:p>
    <w:p>
      <w:pPr>
        <w:pStyle w:val="ListParagraph"/>
        <w:numPr>
          <w:ilvl w:val="0"/>
          <w:numId w:val="2"/>
        </w:numPr>
        <w:spacing w:before="40" w:after="40"/>
      </w:pPr>
      <w:r>
        <w:rPr>
          <w:rFonts w:ascii="Arial" w:cs="Arial" w:eastAsia="Arial" w:hAnsi="Arial"/>
          <w:color w:val="1A1A2E"/>
          <w:sz w:val="22"/>
          <w:szCs w:val="22"/>
        </w:rPr>
        <w:t xml:space="preserve">Configure check-in interval: 7 days, 30 days, or 90 days. Set the missed threshold (default: 3 misses = activation).</w:t>
      </w:r>
    </w:p>
    <w:p>
      <w:pPr>
        <w:pStyle w:val="ListParagraph"/>
        <w:numPr>
          <w:ilvl w:val="0"/>
          <w:numId w:val="2"/>
        </w:numPr>
        <w:spacing w:before="40" w:after="40"/>
      </w:pPr>
      <w:r>
        <w:rPr>
          <w:rFonts w:ascii="Arial" w:cs="Arial" w:eastAsia="Arial" w:hAnsi="Arial"/>
          <w:color w:val="1A1A2E"/>
          <w:sz w:val="22"/>
          <w:szCs w:val="22"/>
        </w:rPr>
        <w:t xml:space="preserve">Enter beneficiary's public key or ENS name. The app generates a random salt and displays it — the owner writes this salt on a physical piece of paper to be given to the beneficiary.</w:t>
      </w:r>
    </w:p>
    <w:p>
      <w:pPr>
        <w:pStyle w:val="ListParagraph"/>
        <w:numPr>
          <w:ilvl w:val="0"/>
          <w:numId w:val="2"/>
        </w:numPr>
        <w:spacing w:before="40" w:after="40"/>
      </w:pPr>
      <w:r>
        <w:rPr>
          <w:rFonts w:ascii="Arial" w:cs="Arial" w:eastAsia="Arial" w:hAnsi="Arial"/>
          <w:color w:val="1A1A2E"/>
          <w:sz w:val="22"/>
          <w:szCs w:val="22"/>
        </w:rPr>
        <w:t xml:space="preserve">Deposit assets: select BTC (tBTC/sBTC), STRK, or other supported tokens. Assets are automatically wrapped as a Tongo shielded note inside VaultController. The deposit amount is never visible on-chain.</w:t>
      </w:r>
    </w:p>
    <w:p>
      <w:pPr>
        <w:pStyle w:val="ListParagraph"/>
        <w:numPr>
          <w:ilvl w:val="0"/>
          <w:numId w:val="2"/>
        </w:numPr>
        <w:spacing w:before="40" w:after="40"/>
      </w:pPr>
      <w:r>
        <w:rPr>
          <w:rFonts w:ascii="Arial" w:cs="Arial" w:eastAsia="Arial" w:hAnsi="Arial"/>
          <w:color w:val="1A1A2E"/>
          <w:sz w:val="22"/>
          <w:szCs w:val="22"/>
        </w:rPr>
        <w:t xml:space="preserve">Register identity commitment on Starknet. One transaction — this is the only time the app touches the owner's wallet directly. After this, all interactions are ZK-proof submissions with no wallet linkage.</w:t>
      </w:r>
    </w:p>
    <w:p>
      <w:pPr>
        <w:spacing w:before="0" w:after="100"/>
      </w:pPr>
      <w:r>
        <w:t xml:space="preserve"/>
      </w:r>
    </w:p>
    <w:p>
      <w:pPr>
        <w:spacing w:before="200" w:after="80"/>
      </w:pPr>
      <w:r>
        <w:rPr>
          <w:rFonts w:ascii="Arial" w:cs="Arial" w:eastAsia="Arial" w:hAnsi="Arial"/>
          <w:b/>
          <w:bCs/>
          <w:color w:val="1A1A2E"/>
          <w:sz w:val="24"/>
          <w:szCs w:val="24"/>
        </w:rPr>
        <w:t xml:space="preserve">Step 2 — Ongoing Check-in (recurring, under 30 seconds)</w:t>
      </w:r>
    </w:p>
    <w:p>
      <w:pPr>
        <w:pStyle w:val="ListParagraph"/>
        <w:numPr>
          <w:ilvl w:val="0"/>
          <w:numId w:val="2"/>
        </w:numPr>
        <w:spacing w:before="40" w:after="40"/>
      </w:pPr>
      <w:r>
        <w:rPr>
          <w:rFonts w:ascii="Arial" w:cs="Arial" w:eastAsia="Arial" w:hAnsi="Arial"/>
          <w:color w:val="1A1A2E"/>
          <w:sz w:val="22"/>
          <w:szCs w:val="22"/>
        </w:rPr>
        <w:t xml:space="preserve">App sends a push notification N days before the deadline.</w:t>
      </w:r>
    </w:p>
    <w:p>
      <w:pPr>
        <w:pStyle w:val="ListParagraph"/>
        <w:numPr>
          <w:ilvl w:val="0"/>
          <w:numId w:val="2"/>
        </w:numPr>
        <w:spacing w:before="40" w:after="40"/>
      </w:pPr>
      <w:r>
        <w:rPr>
          <w:rFonts w:ascii="Arial" w:cs="Arial" w:eastAsia="Arial" w:hAnsi="Arial"/>
          <w:color w:val="1A1A2E"/>
          <w:sz w:val="22"/>
          <w:szCs w:val="22"/>
        </w:rPr>
        <w:t xml:space="preserve">Owner opens app, taps 'I'm alive.' App computes ZK proof client-side in approximately 2-3 seconds.</w:t>
      </w:r>
    </w:p>
    <w:p>
      <w:pPr>
        <w:pStyle w:val="ListParagraph"/>
        <w:numPr>
          <w:ilvl w:val="0"/>
          <w:numId w:val="2"/>
        </w:numPr>
        <w:spacing w:before="40" w:after="40"/>
      </w:pPr>
      <w:r>
        <w:rPr>
          <w:rFonts w:ascii="Arial" w:cs="Arial" w:eastAsia="Arial" w:hAnsi="Arial"/>
          <w:color w:val="1A1A2E"/>
          <w:sz w:val="22"/>
          <w:szCs w:val="22"/>
        </w:rPr>
        <w:t xml:space="preserve">Proof is submitted to LivenessRegistry as a standard transaction — indistinguishable on-chain from any other ZK protocol interaction.</w:t>
      </w:r>
    </w:p>
    <w:p>
      <w:pPr>
        <w:pStyle w:val="ListParagraph"/>
        <w:numPr>
          <w:ilvl w:val="0"/>
          <w:numId w:val="2"/>
        </w:numPr>
        <w:spacing w:before="40" w:after="40"/>
      </w:pPr>
      <w:r>
        <w:rPr>
          <w:rFonts w:ascii="Arial" w:cs="Arial" w:eastAsia="Arial" w:hAnsi="Arial"/>
          <w:color w:val="1A1A2E"/>
          <w:sz w:val="22"/>
          <w:szCs w:val="22"/>
        </w:rPr>
        <w:t xml:space="preserve">Missed counter resets. Deadline extends by one interval. Done.</w:t>
      </w:r>
    </w:p>
    <w:p>
      <w:pPr>
        <w:spacing w:before="0" w:after="100"/>
      </w:pPr>
      <w:r>
        <w:t xml:space="preserve"/>
      </w:r>
    </w:p>
    <w:p>
      <w:pPr>
        <w:pStyle w:val="Heading2"/>
        <w:spacing w:before="280" w:after="100"/>
      </w:pPr>
      <w:r>
        <w:rPr>
          <w:rFonts w:ascii="Arial" w:cs="Arial" w:eastAsia="Arial" w:hAnsi="Arial"/>
          <w:b/>
          <w:bCs/>
          <w:color w:val="1B4FBF"/>
          <w:sz w:val="28"/>
          <w:szCs w:val="28"/>
        </w:rPr>
        <w:t xml:space="preserve">4.2 Beneficiary Flow</w:t>
      </w:r>
    </w:p>
    <w:p>
      <w:pPr>
        <w:spacing w:before="0" w:after="100"/>
      </w:pPr>
      <w:r>
        <w:t xml:space="preserve"/>
      </w:r>
    </w:p>
    <w:p>
      <w:pPr>
        <w:spacing w:before="200" w:after="80"/>
      </w:pPr>
      <w:r>
        <w:rPr>
          <w:rFonts w:ascii="Arial" w:cs="Arial" w:eastAsia="Arial" w:hAnsi="Arial"/>
          <w:b/>
          <w:bCs/>
          <w:color w:val="1A1A2E"/>
          <w:sz w:val="24"/>
          <w:szCs w:val="24"/>
        </w:rPr>
        <w:t xml:space="preserve">Setup (done once, with owner)</w:t>
      </w:r>
    </w:p>
    <w:p>
      <w:pPr>
        <w:pStyle w:val="ListParagraph"/>
        <w:numPr>
          <w:ilvl w:val="0"/>
          <w:numId w:val="2"/>
        </w:numPr>
        <w:spacing w:before="40" w:after="40"/>
      </w:pPr>
      <w:r>
        <w:rPr>
          <w:rFonts w:ascii="Arial" w:cs="Arial" w:eastAsia="Arial" w:hAnsi="Arial"/>
          <w:color w:val="1A1A2E"/>
          <w:sz w:val="22"/>
          <w:szCs w:val="22"/>
        </w:rPr>
        <w:t xml:space="preserve">Beneficiary generates a key pair in the Thanatos app (or provides an existing public key).</w:t>
      </w:r>
    </w:p>
    <w:p>
      <w:pPr>
        <w:pStyle w:val="ListParagraph"/>
        <w:numPr>
          <w:ilvl w:val="0"/>
          <w:numId w:val="2"/>
        </w:numPr>
        <w:spacing w:before="40" w:after="40"/>
      </w:pPr>
      <w:r>
        <w:rPr>
          <w:rFonts w:ascii="Arial" w:cs="Arial" w:eastAsia="Arial" w:hAnsi="Arial"/>
          <w:color w:val="1A1A2E"/>
          <w:sz w:val="22"/>
          <w:szCs w:val="22"/>
        </w:rPr>
        <w:t xml:space="preserve">Owner inputs this public key during vault setup. Beneficiary receives the physical paper with the vault salt.</w:t>
      </w:r>
    </w:p>
    <w:p>
      <w:pPr>
        <w:pStyle w:val="ListParagraph"/>
        <w:numPr>
          <w:ilvl w:val="0"/>
          <w:numId w:val="2"/>
        </w:numPr>
        <w:spacing w:before="40" w:after="40"/>
      </w:pPr>
      <w:r>
        <w:rPr>
          <w:rFonts w:ascii="Arial" w:cs="Arial" w:eastAsia="Arial" w:hAnsi="Arial"/>
          <w:color w:val="1A1A2E"/>
          <w:sz w:val="22"/>
          <w:szCs w:val="22"/>
        </w:rPr>
        <w:t xml:space="preserve">Beneficiary's app runs passively in the background, scanning for VaultActivated events on Starknet.</w:t>
      </w:r>
    </w:p>
    <w:p>
      <w:pPr>
        <w:spacing w:before="0" w:after="100"/>
      </w:pPr>
      <w:r>
        <w:t xml:space="preserve"/>
      </w:r>
    </w:p>
    <w:p>
      <w:pPr>
        <w:spacing w:before="200" w:after="80"/>
      </w:pPr>
      <w:r>
        <w:rPr>
          <w:rFonts w:ascii="Arial" w:cs="Arial" w:eastAsia="Arial" w:hAnsi="Arial"/>
          <w:b/>
          <w:bCs/>
          <w:color w:val="1A1A2E"/>
          <w:sz w:val="24"/>
          <w:szCs w:val="24"/>
        </w:rPr>
        <w:t xml:space="preserve">Claim (after activation)</w:t>
      </w:r>
    </w:p>
    <w:p>
      <w:pPr>
        <w:pStyle w:val="ListParagraph"/>
        <w:numPr>
          <w:ilvl w:val="0"/>
          <w:numId w:val="2"/>
        </w:numPr>
        <w:spacing w:before="40" w:after="40"/>
      </w:pPr>
      <w:r>
        <w:rPr>
          <w:rFonts w:ascii="Arial" w:cs="Arial" w:eastAsia="Arial" w:hAnsi="Arial"/>
          <w:color w:val="1A1A2E"/>
          <w:sz w:val="22"/>
          <w:szCs w:val="22"/>
        </w:rPr>
        <w:t xml:space="preserve">App detects VaultActivated event. Uses the salt from the physical paper to verify this vault belongs to them.</w:t>
      </w:r>
    </w:p>
    <w:p>
      <w:pPr>
        <w:pStyle w:val="ListParagraph"/>
        <w:numPr>
          <w:ilvl w:val="0"/>
          <w:numId w:val="2"/>
        </w:numPr>
        <w:spacing w:before="40" w:after="40"/>
      </w:pPr>
      <w:r>
        <w:rPr>
          <w:rFonts w:ascii="Arial" w:cs="Arial" w:eastAsia="Arial" w:hAnsi="Arial"/>
          <w:color w:val="1A1A2E"/>
          <w:sz w:val="22"/>
          <w:szCs w:val="22"/>
        </w:rPr>
        <w:t xml:space="preserve">Beneficiary enters salt into app. App decrypts the sealed_beneficiary data using their private key.</w:t>
      </w:r>
    </w:p>
    <w:p>
      <w:pPr>
        <w:pStyle w:val="ListParagraph"/>
        <w:numPr>
          <w:ilvl w:val="0"/>
          <w:numId w:val="2"/>
        </w:numPr>
        <w:spacing w:before="40" w:after="40"/>
      </w:pPr>
      <w:r>
        <w:rPr>
          <w:rFonts w:ascii="Arial" w:cs="Arial" w:eastAsia="Arial" w:hAnsi="Arial"/>
          <w:color w:val="1A1A2E"/>
          <w:sz w:val="22"/>
          <w:szCs w:val="22"/>
        </w:rPr>
        <w:t xml:space="preserve">App constructs claim proof and submits to VaultController. Assets transfer as a shielded note to the beneficiary's address.</w:t>
      </w:r>
    </w:p>
    <w:p>
      <w:pPr>
        <w:pStyle w:val="ListParagraph"/>
        <w:numPr>
          <w:ilvl w:val="0"/>
          <w:numId w:val="2"/>
        </w:numPr>
        <w:spacing w:before="40" w:after="40"/>
      </w:pPr>
      <w:r>
        <w:rPr>
          <w:rFonts w:ascii="Arial" w:cs="Arial" w:eastAsia="Arial" w:hAnsi="Arial"/>
          <w:color w:val="1A1A2E"/>
          <w:sz w:val="22"/>
          <w:szCs w:val="22"/>
        </w:rPr>
        <w:t xml:space="preserve">Beneficiary can then withdraw from the Tongo shielded system at their discretion.</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EDF8" w:val="clear"/>
            <w:tcMar>
              <w:top w:type="dxa" w:w="120"/>
              <w:left w:type="dxa" w:w="200"/>
              <w:bottom w:type="dxa" w:w="120"/>
              <w:right w:type="dxa" w:w="200"/>
            </w:tcMar>
          </w:tcPr>
          <w:p>
            <w:pPr>
              <w:spacing w:before="0" w:after="60"/>
            </w:pPr>
            <w:r>
              <w:rPr>
                <w:rFonts w:ascii="Arial" w:cs="Arial" w:eastAsia="Arial" w:hAnsi="Arial"/>
                <w:b/>
                <w:bCs/>
                <w:color w:val="1B4FBF"/>
                <w:sz w:val="20"/>
                <w:szCs w:val="20"/>
              </w:rPr>
              <w:t xml:space="preserve">Physical + Digital Security Model</w:t>
            </w:r>
          </w:p>
          <w:p>
            <w:pPr>
              <w:spacing w:before="0" w:after="0"/>
            </w:pPr>
            <w:r>
              <w:rPr>
                <w:rFonts w:ascii="Arial" w:cs="Arial" w:eastAsia="Arial" w:hAnsi="Arial"/>
                <w:color w:val="1A1A2E"/>
                <w:sz w:val="20"/>
                <w:szCs w:val="20"/>
              </w:rPr>
              <w:t xml:space="preserve">The protocol requires exactly one piece of out-of-band communication: the vault salt, written on physical paper by the owner and given to the beneficiary during setup. This is deliberately analogous to existing estate planning (sealed envelopes, safe deposit boxes) — it is familiar, low-tech, and completely offline. The protocol's security does not depend on any digital channel between owner and beneficiary.</w:t>
            </w:r>
          </w:p>
        </w:tc>
      </w:tr>
    </w:tbl>
    <w:p>
      <w:r>
        <w:br w:type="page"/>
      </w:r>
    </w:p>
    <w:p>
      <w:pPr>
        <w:pStyle w:val="Heading1"/>
        <w:spacing w:before="360" w:after="120"/>
      </w:pPr>
      <w:r>
        <w:rPr>
          <w:rFonts w:ascii="Arial" w:cs="Arial" w:eastAsia="Arial" w:hAnsi="Arial"/>
          <w:b/>
          <w:bCs/>
          <w:color w:val="1A1A2E"/>
          <w:sz w:val="36"/>
          <w:szCs w:val="36"/>
        </w:rPr>
        <w:t xml:space="preserve">5. Competitive Analysis</w:t>
      </w:r>
    </w:p>
    <w:p>
      <w:pPr>
        <w:pBdr>
          <w:bottom w:val="single" w:color="DDDDDD" w:sz="4" w:space="1"/>
        </w:pBdr>
        <w:spacing w:before="120" w:after="120"/>
      </w:pPr>
      <w:r>
        <w:t xml:space="preserve"/>
      </w:r>
    </w:p>
    <w:p>
      <w:pPr>
        <w:spacing w:before="0" w:after="100"/>
      </w:pPr>
      <w:r>
        <w:t xml:space="preserve"/>
      </w:r>
    </w:p>
    <w:p>
      <w:pPr>
        <w:pStyle w:val="Heading2"/>
        <w:spacing w:before="280" w:after="100"/>
      </w:pPr>
      <w:r>
        <w:rPr>
          <w:rFonts w:ascii="Arial" w:cs="Arial" w:eastAsia="Arial" w:hAnsi="Arial"/>
          <w:b/>
          <w:bCs/>
          <w:color w:val="1B4FBF"/>
          <w:sz w:val="28"/>
          <w:szCs w:val="28"/>
        </w:rPr>
        <w:t xml:space="preserve">5.1 Direct Competitors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000"/>
        <w:gridCol w:w="1000"/>
        <w:gridCol w:w="1000"/>
        <w:gridCol w:w="2860"/>
      </w:tblGrid>
      <w:tr>
        <w:trPr>
          <w:tblHeader/>
        </w:trPr>
        <w:tc>
          <w:tcPr>
            <w:tcW w:type="dxa" w:w="1800"/>
            <w:tcBorders>
              <w:top w:val="single" w:color="DDDDDD" w:sz="1"/>
              <w:left w:val="single" w:color="DDDDDD" w:sz="1"/>
              <w:bottom w:val="single" w:color="DDDDDD" w:sz="1"/>
              <w:right w:val="single" w:color="DDDDDD" w:sz="1"/>
            </w:tcBorders>
            <w:shd w:fill="1B4FBF" w:val="clear"/>
            <w:tcMar>
              <w:top w:type="dxa" w:w="100"/>
              <w:left w:type="dxa" w:w="140"/>
              <w:bottom w:type="dxa" w:w="100"/>
              <w:right w:type="dxa" w:w="140"/>
            </w:tcMar>
          </w:tcPr>
          <w:p>
            <w:r>
              <w:rPr>
                <w:rFonts w:ascii="Arial" w:cs="Arial" w:eastAsia="Arial" w:hAnsi="Arial"/>
                <w:b/>
                <w:bCs/>
                <w:color w:val="FFFFFF"/>
                <w:sz w:val="20"/>
                <w:szCs w:val="20"/>
              </w:rPr>
              <w:t xml:space="preserve">Competitor</w:t>
            </w:r>
          </w:p>
        </w:tc>
        <w:tc>
          <w:tcPr>
            <w:tcW w:type="dxa" w:w="1700"/>
            <w:tcBorders>
              <w:top w:val="single" w:color="DDDDDD" w:sz="1"/>
              <w:left w:val="single" w:color="DDDDDD" w:sz="1"/>
              <w:bottom w:val="single" w:color="DDDDDD" w:sz="1"/>
              <w:right w:val="single" w:color="DDDDDD" w:sz="1"/>
            </w:tcBorders>
            <w:shd w:fill="1B4FB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000"/>
            <w:tcBorders>
              <w:top w:val="single" w:color="DDDDDD" w:sz="1"/>
              <w:left w:val="single" w:color="DDDDDD" w:sz="1"/>
              <w:bottom w:val="single" w:color="DDDDDD" w:sz="1"/>
              <w:right w:val="single" w:color="DDDDDD" w:sz="1"/>
            </w:tcBorders>
            <w:shd w:fill="1B4FBF" w:val="clear"/>
            <w:tcMar>
              <w:top w:type="dxa" w:w="100"/>
              <w:left w:type="dxa" w:w="140"/>
              <w:bottom w:type="dxa" w:w="100"/>
              <w:right w:type="dxa" w:w="140"/>
            </w:tcMar>
          </w:tcPr>
          <w:p>
            <w:r>
              <w:rPr>
                <w:rFonts w:ascii="Arial" w:cs="Arial" w:eastAsia="Arial" w:hAnsi="Arial"/>
                <w:b/>
                <w:bCs/>
                <w:color w:val="FFFFFF"/>
                <w:sz w:val="20"/>
                <w:szCs w:val="20"/>
              </w:rPr>
              <w:t xml:space="preserve">Privacy</w:t>
            </w:r>
          </w:p>
        </w:tc>
        <w:tc>
          <w:tcPr>
            <w:tcW w:type="dxa" w:w="1000"/>
            <w:tcBorders>
              <w:top w:val="single" w:color="DDDDDD" w:sz="1"/>
              <w:left w:val="single" w:color="DDDDDD" w:sz="1"/>
              <w:bottom w:val="single" w:color="DDDDDD" w:sz="1"/>
              <w:right w:val="single" w:color="DDDDDD" w:sz="1"/>
            </w:tcBorders>
            <w:shd w:fill="1B4FBF" w:val="clear"/>
            <w:tcMar>
              <w:top w:type="dxa" w:w="100"/>
              <w:left w:type="dxa" w:w="140"/>
              <w:bottom w:type="dxa" w:w="100"/>
              <w:right w:type="dxa" w:w="140"/>
            </w:tcMar>
          </w:tcPr>
          <w:p>
            <w:r>
              <w:rPr>
                <w:rFonts w:ascii="Arial" w:cs="Arial" w:eastAsia="Arial" w:hAnsi="Arial"/>
                <w:b/>
                <w:bCs/>
                <w:color w:val="FFFFFF"/>
                <w:sz w:val="20"/>
                <w:szCs w:val="20"/>
              </w:rPr>
              <w:t xml:space="preserve">Trustless</w:t>
            </w:r>
          </w:p>
        </w:tc>
        <w:tc>
          <w:tcPr>
            <w:tcW w:type="dxa" w:w="1000"/>
            <w:tcBorders>
              <w:top w:val="single" w:color="DDDDDD" w:sz="1"/>
              <w:left w:val="single" w:color="DDDDDD" w:sz="1"/>
              <w:bottom w:val="single" w:color="DDDDDD" w:sz="1"/>
              <w:right w:val="single" w:color="DDDDDD" w:sz="1"/>
            </w:tcBorders>
            <w:shd w:fill="1B4FBF" w:val="clear"/>
            <w:tcMar>
              <w:top w:type="dxa" w:w="100"/>
              <w:left w:type="dxa" w:w="140"/>
              <w:bottom w:type="dxa" w:w="100"/>
              <w:right w:type="dxa" w:w="140"/>
            </w:tcMar>
          </w:tcPr>
          <w:p>
            <w:r>
              <w:rPr>
                <w:rFonts w:ascii="Arial" w:cs="Arial" w:eastAsia="Arial" w:hAnsi="Arial"/>
                <w:b/>
                <w:bCs/>
                <w:color w:val="FFFFFF"/>
                <w:sz w:val="20"/>
                <w:szCs w:val="20"/>
              </w:rPr>
              <w:t xml:space="preserve">BTC Support</w:t>
            </w:r>
          </w:p>
        </w:tc>
        <w:tc>
          <w:tcPr>
            <w:tcW w:type="dxa" w:w="2860"/>
            <w:tcBorders>
              <w:top w:val="single" w:color="DDDDDD" w:sz="1"/>
              <w:left w:val="single" w:color="DDDDDD" w:sz="1"/>
              <w:bottom w:val="single" w:color="DDDDDD" w:sz="1"/>
              <w:right w:val="single" w:color="DDDDDD" w:sz="1"/>
            </w:tcBorders>
            <w:shd w:fill="1B4FBF" w:val="clear"/>
            <w:tcMar>
              <w:top w:type="dxa" w:w="100"/>
              <w:left w:type="dxa" w:w="140"/>
              <w:bottom w:type="dxa" w:w="100"/>
              <w:right w:type="dxa" w:w="140"/>
            </w:tcMar>
          </w:tcPr>
          <w:p>
            <w:r>
              <w:rPr>
                <w:rFonts w:ascii="Arial" w:cs="Arial" w:eastAsia="Arial" w:hAnsi="Arial"/>
                <w:b/>
                <w:bCs/>
                <w:color w:val="FFFFFF"/>
                <w:sz w:val="20"/>
                <w:szCs w:val="20"/>
              </w:rPr>
              <w:t xml:space="preserve">Why We Win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Casa / Covenant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Custodial inheritance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Partial</w:t>
            </w:r>
          </w:p>
        </w:tc>
        <w:tc>
          <w:tcPr>
            <w:tcW w:type="dxa" w:w="2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They hold your keys. Single point of failure, subpoenable, can go bankrupt.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Sarcophagus Protocol</w:t>
            </w:r>
          </w:p>
        </w:tc>
        <w:tc>
          <w:tcPr>
            <w:tcW w:type="dxa" w:w="1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Decentralised dead man's switch</w:t>
            </w:r>
          </w:p>
        </w:tc>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Partial</w:t>
            </w:r>
          </w:p>
        </w:tc>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Partial</w:t>
            </w:r>
          </w:p>
        </w:tc>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28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Not ZK-native. Owner activity visible. No private beneficiary. Largely inactive.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Gnosis Safe + timelock</w:t>
            </w:r>
          </w:p>
        </w:tc>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Multisig time-lock</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Via wBTC</w:t>
            </w:r>
          </w:p>
        </w:tc>
        <w:tc>
          <w:tcPr>
            <w:tcW w:type="dxa" w:w="2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Beneficiary address exposed on-chain from day one. Anyone can monitor.</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Web2 services (DeadMansSwitch.net)</w:t>
            </w:r>
          </w:p>
        </w:tc>
        <w:tc>
          <w:tcPr>
            <w:tcW w:type="dxa" w:w="1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Email-based trigger</w:t>
            </w:r>
          </w:p>
        </w:tc>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None</w:t>
            </w:r>
          </w:p>
        </w:tc>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28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Centralised. No crypto. Trivially censorable or shut down.</w:t>
            </w:r>
          </w:p>
        </w:tc>
      </w:tr>
    </w:tbl>
    <w:p>
      <w:pPr>
        <w:spacing w:before="0" w:after="100"/>
      </w:pPr>
      <w:r>
        <w:t xml:space="preserve"/>
      </w:r>
    </w:p>
    <w:p>
      <w:pPr>
        <w:pStyle w:val="Heading2"/>
        <w:spacing w:before="280" w:after="100"/>
      </w:pPr>
      <w:r>
        <w:rPr>
          <w:rFonts w:ascii="Arial" w:cs="Arial" w:eastAsia="Arial" w:hAnsi="Arial"/>
          <w:b/>
          <w:bCs/>
          <w:color w:val="1B4FBF"/>
          <w:sz w:val="28"/>
          <w:szCs w:val="28"/>
        </w:rPr>
        <w:t xml:space="preserve">5.2 Differentiation</w:t>
      </w:r>
    </w:p>
    <w:p>
      <w:pPr>
        <w:spacing w:before="60" w:after="80"/>
      </w:pPr>
      <w:r>
        <w:rPr>
          <w:rFonts w:ascii="Arial" w:cs="Arial" w:eastAsia="Arial" w:hAnsi="Arial"/>
          <w:color w:val="1A1A2E"/>
          <w:sz w:val="22"/>
          <w:szCs w:val="22"/>
        </w:rPr>
        <w:t xml:space="preserve">The competitive moat is not one feature — it is the combination of all four properties simultaneously: trustless execution, zero on-chain identity leakage, dark beneficiary commitment, and private asset transfer. Every competitor sacrifices at least two of these. Thanatos sacrifices none.</w:t>
      </w:r>
    </w:p>
    <w:p>
      <w:pPr>
        <w:spacing w:before="0" w:after="100"/>
      </w:pPr>
      <w:r>
        <w:t xml:space="preserve"/>
      </w:r>
    </w:p>
    <w:p>
      <w:pPr>
        <w:spacing w:before="60" w:after="80"/>
      </w:pPr>
      <w:r>
        <w:rPr>
          <w:rFonts w:ascii="Arial" w:cs="Arial" w:eastAsia="Arial" w:hAnsi="Arial"/>
          <w:color w:val="1A1A2E"/>
          <w:sz w:val="22"/>
          <w:szCs w:val="22"/>
        </w:rPr>
        <w:t xml:space="preserve">Additionally, the epoch-bound nullifier system is a novel extension of Semaphore that makes periodic liveness proofs possible without any of the replay vulnerabilities present in naive implementations. This is a genuine technical contribution to the ZK ecosystem, not just an application of existing tools.</w:t>
      </w:r>
    </w:p>
    <w:p>
      <w:r>
        <w:br w:type="page"/>
      </w:r>
    </w:p>
    <w:p>
      <w:pPr>
        <w:pStyle w:val="Heading1"/>
        <w:spacing w:before="360" w:after="120"/>
      </w:pPr>
      <w:r>
        <w:rPr>
          <w:rFonts w:ascii="Arial" w:cs="Arial" w:eastAsia="Arial" w:hAnsi="Arial"/>
          <w:b/>
          <w:bCs/>
          <w:color w:val="1A1A2E"/>
          <w:sz w:val="36"/>
          <w:szCs w:val="36"/>
        </w:rPr>
        <w:t xml:space="preserve">6. Starknet Track Alignment</w:t>
      </w:r>
    </w:p>
    <w:p>
      <w:pPr>
        <w:pBdr>
          <w:bottom w:val="single" w:color="DDDDDD" w:sz="4" w:space="1"/>
        </w:pBdr>
        <w:spacing w:before="120" w:after="120"/>
      </w:pPr>
      <w:r>
        <w:t xml:space="preserve"/>
      </w:r>
    </w:p>
    <w:p>
      <w:pPr>
        <w:spacing w:before="0" w:after="100"/>
      </w:pPr>
      <w:r>
        <w:t xml:space="preserve"/>
      </w:r>
    </w:p>
    <w:p>
      <w:pPr>
        <w:pStyle w:val="Heading2"/>
        <w:spacing w:before="280" w:after="100"/>
      </w:pPr>
      <w:r>
        <w:rPr>
          <w:rFonts w:ascii="Arial" w:cs="Arial" w:eastAsia="Arial" w:hAnsi="Arial"/>
          <w:b/>
          <w:bCs/>
          <w:color w:val="1B4FBF"/>
          <w:sz w:val="28"/>
          <w:szCs w:val="28"/>
        </w:rPr>
        <w:t xml:space="preserve">6.1 Privacy Track Coverage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DDDDDD" w:sz="1"/>
              <w:left w:val="single" w:color="DDDDDD" w:sz="1"/>
              <w:bottom w:val="single" w:color="DDDDDD" w:sz="1"/>
              <w:right w:val="single" w:color="DDDDDD" w:sz="1"/>
            </w:tcBorders>
            <w:shd w:fill="1B4FBF" w:val="clear"/>
            <w:tcMar>
              <w:top w:type="dxa" w:w="100"/>
              <w:left w:type="dxa" w:w="140"/>
              <w:bottom w:type="dxa" w:w="100"/>
              <w:right w:type="dxa" w:w="140"/>
            </w:tcMar>
          </w:tcPr>
          <w:p>
            <w:r>
              <w:rPr>
                <w:rFonts w:ascii="Arial" w:cs="Arial" w:eastAsia="Arial" w:hAnsi="Arial"/>
                <w:b/>
                <w:bCs/>
                <w:color w:val="FFFFFF"/>
                <w:sz w:val="20"/>
                <w:szCs w:val="20"/>
              </w:rPr>
              <w:t xml:space="preserve">Track Item</w:t>
            </w:r>
          </w:p>
        </w:tc>
        <w:tc>
          <w:tcPr>
            <w:tcW w:type="dxa" w:w="2600"/>
            <w:tcBorders>
              <w:top w:val="single" w:color="DDDDDD" w:sz="1"/>
              <w:left w:val="single" w:color="DDDDDD" w:sz="1"/>
              <w:bottom w:val="single" w:color="DDDDDD" w:sz="1"/>
              <w:right w:val="single" w:color="DDDDDD" w:sz="1"/>
            </w:tcBorders>
            <w:shd w:fill="1B4FBF" w:val="clear"/>
            <w:tcMar>
              <w:top w:type="dxa" w:w="100"/>
              <w:left w:type="dxa" w:w="140"/>
              <w:bottom w:type="dxa" w:w="100"/>
              <w:right w:type="dxa" w:w="140"/>
            </w:tcMar>
          </w:tcPr>
          <w:p>
            <w:r>
              <w:rPr>
                <w:rFonts w:ascii="Arial" w:cs="Arial" w:eastAsia="Arial" w:hAnsi="Arial"/>
                <w:b/>
                <w:bCs/>
                <w:color w:val="FFFFFF"/>
                <w:sz w:val="20"/>
                <w:szCs w:val="20"/>
              </w:rPr>
              <w:t xml:space="preserve">Thanatos Component</w:t>
            </w:r>
          </w:p>
        </w:tc>
        <w:tc>
          <w:tcPr>
            <w:tcW w:type="dxa" w:w="3960"/>
            <w:tcBorders>
              <w:top w:val="single" w:color="DDDDDD" w:sz="1"/>
              <w:left w:val="single" w:color="DDDDDD" w:sz="1"/>
              <w:bottom w:val="single" w:color="DDDDDD" w:sz="1"/>
              <w:right w:val="single" w:color="DDDDDD" w:sz="1"/>
            </w:tcBorders>
            <w:shd w:fill="1B4FBF" w:val="clear"/>
            <w:tcMar>
              <w:top w:type="dxa" w:w="100"/>
              <w:left w:type="dxa" w:w="140"/>
              <w:bottom w:type="dxa" w:w="100"/>
              <w:right w:type="dxa" w:w="140"/>
            </w:tcMar>
          </w:tcPr>
          <w:p>
            <w:r>
              <w:rPr>
                <w:rFonts w:ascii="Arial" w:cs="Arial" w:eastAsia="Arial" w:hAnsi="Arial"/>
                <w:b/>
                <w:bCs/>
                <w:color w:val="FFFFFF"/>
                <w:sz w:val="20"/>
                <w:szCs w:val="20"/>
              </w:rPr>
              <w:t xml:space="preserve">Implementation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Implement Semaphore on Starknet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LivenessRegistry group membership</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 Semaphore port to Cairo with epoch-bound nullifier extension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Anonymous credentials system</w:t>
            </w:r>
          </w:p>
        </w:tc>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Identity commitment scheme</w:t>
            </w:r>
          </w:p>
        </w:tc>
        <w:tc>
          <w:tcPr>
            <w:tcW w:type="dxa" w:w="3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Prove wallet ownership and group membership without identity reveal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Private payment app using Tongo</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VaultController asset layer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assets stored and transferred as Tongo shielded notes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Verify Noir proofs on Starknet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Check-in proof verification</w:t>
            </w:r>
          </w:p>
        </w:tc>
        <w:tc>
          <w:tcPr>
            <w:tcW w:type="dxa" w:w="3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Noir liveness circuit verified via Garaga on every check-in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Shielded wallet UI</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Deposit and claim flows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 deposit, shielded storage, and private claim interface</w:t>
            </w:r>
          </w:p>
        </w:tc>
      </w:tr>
    </w:tbl>
    <w:p>
      <w:pPr>
        <w:spacing w:before="0" w:after="100"/>
      </w:pPr>
      <w:r>
        <w:t xml:space="preserve"/>
      </w:r>
    </w:p>
    <w:p>
      <w:pPr>
        <w:pStyle w:val="Heading2"/>
        <w:spacing w:before="280" w:after="100"/>
      </w:pPr>
      <w:r>
        <w:rPr>
          <w:rFonts w:ascii="Arial" w:cs="Arial" w:eastAsia="Arial" w:hAnsi="Arial"/>
          <w:b/>
          <w:bCs/>
          <w:color w:val="1B4FBF"/>
          <w:sz w:val="28"/>
          <w:szCs w:val="28"/>
        </w:rPr>
        <w:t xml:space="preserve">6.2 Bitcoin Track Coverage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DDDDDD" w:sz="1"/>
              <w:left w:val="single" w:color="DDDDDD" w:sz="1"/>
              <w:bottom w:val="single" w:color="DDDDDD" w:sz="1"/>
              <w:right w:val="single" w:color="DDDDDD" w:sz="1"/>
            </w:tcBorders>
            <w:shd w:fill="1B4FBF" w:val="clear"/>
            <w:tcMar>
              <w:top w:type="dxa" w:w="100"/>
              <w:left w:type="dxa" w:w="140"/>
              <w:bottom w:type="dxa" w:w="100"/>
              <w:right w:type="dxa" w:w="140"/>
            </w:tcMar>
          </w:tcPr>
          <w:p>
            <w:r>
              <w:rPr>
                <w:rFonts w:ascii="Arial" w:cs="Arial" w:eastAsia="Arial" w:hAnsi="Arial"/>
                <w:b/>
                <w:bCs/>
                <w:color w:val="FFFFFF"/>
                <w:sz w:val="20"/>
                <w:szCs w:val="20"/>
              </w:rPr>
              <w:t xml:space="preserve">Track Item</w:t>
            </w:r>
          </w:p>
        </w:tc>
        <w:tc>
          <w:tcPr>
            <w:tcW w:type="dxa" w:w="3760"/>
            <w:tcBorders>
              <w:top w:val="single" w:color="DDDDDD" w:sz="1"/>
              <w:left w:val="single" w:color="DDDDDD" w:sz="1"/>
              <w:bottom w:val="single" w:color="DDDDDD" w:sz="1"/>
              <w:right w:val="single" w:color="DDDDDD" w:sz="1"/>
            </w:tcBorders>
            <w:shd w:fill="1B4FBF" w:val="clear"/>
            <w:tcMar>
              <w:top w:type="dxa" w:w="100"/>
              <w:left w:type="dxa" w:w="140"/>
              <w:bottom w:type="dxa" w:w="100"/>
              <w:right w:type="dxa" w:w="140"/>
            </w:tcMar>
          </w:tcPr>
          <w:p>
            <w:r>
              <w:rPr>
                <w:rFonts w:ascii="Arial" w:cs="Arial" w:eastAsia="Arial" w:hAnsi="Arial"/>
                <w:b/>
                <w:bCs/>
                <w:color w:val="FFFFFF"/>
                <w:sz w:val="20"/>
                <w:szCs w:val="20"/>
              </w:rPr>
              <w:t xml:space="preserve">Thanatos Component</w:t>
            </w:r>
          </w:p>
        </w:tc>
        <w:tc>
          <w:tcPr>
            <w:tcW w:type="dxa" w:w="3200"/>
            <w:tcBorders>
              <w:top w:val="single" w:color="DDDDDD" w:sz="1"/>
              <w:left w:val="single" w:color="DDDDDD" w:sz="1"/>
              <w:bottom w:val="single" w:color="DDDDDD" w:sz="1"/>
              <w:right w:val="single" w:color="DDDDDD" w:sz="1"/>
            </w:tcBorders>
            <w:shd w:fill="1B4FBF" w:val="clear"/>
            <w:tcMar>
              <w:top w:type="dxa" w:w="100"/>
              <w:left w:type="dxa" w:w="140"/>
              <w:bottom w:type="dxa" w:w="100"/>
              <w:right w:type="dxa" w:w="140"/>
            </w:tcMar>
          </w:tcPr>
          <w:p>
            <w:r>
              <w:rPr>
                <w:rFonts w:ascii="Arial" w:cs="Arial" w:eastAsia="Arial" w:hAnsi="Arial"/>
                <w:b/>
                <w:bCs/>
                <w:color w:val="FFFFFF"/>
                <w:sz w:val="20"/>
                <w:szCs w:val="20"/>
              </w:rPr>
              <w:t xml:space="preserve">Implementation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Private yield on BTC</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BTC deposited into vault, accruing no yield but preserved privately — positioning for yield integration post-hackathon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tBTC/sBTC wrapped as Tongo shielded note in VaultController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Private BTC swap</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Beneficiary can exit via private swap after claim</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Integration point with existing Starknet DEX infrastructure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Cross-chain BTC bridge UI</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BTC onboarding flow</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UI guides user through tBTC bridge to Starknet before deposit</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EDF8" w:val="clear"/>
            <w:tcMar>
              <w:top w:type="dxa" w:w="120"/>
              <w:left w:type="dxa" w:w="200"/>
              <w:bottom w:type="dxa" w:w="120"/>
              <w:right w:type="dxa" w:w="200"/>
            </w:tcMar>
          </w:tcPr>
          <w:p>
            <w:pPr>
              <w:spacing w:before="0" w:after="60"/>
            </w:pPr>
            <w:r>
              <w:rPr>
                <w:rFonts w:ascii="Arial" w:cs="Arial" w:eastAsia="Arial" w:hAnsi="Arial"/>
                <w:b/>
                <w:bCs/>
                <w:color w:val="1B4FBF"/>
                <w:sz w:val="20"/>
                <w:szCs w:val="20"/>
              </w:rPr>
              <w:t xml:space="preserve">Prize Pool Strategy</w:t>
            </w:r>
          </w:p>
          <w:p>
            <w:pPr>
              <w:spacing w:before="0" w:after="0"/>
            </w:pPr>
            <w:r>
              <w:rPr>
                <w:rFonts w:ascii="Arial" w:cs="Arial" w:eastAsia="Arial" w:hAnsi="Arial"/>
                <w:color w:val="1A1A2E"/>
                <w:sz w:val="20"/>
                <w:szCs w:val="20"/>
              </w:rPr>
              <w:t xml:space="preserve">Targeting both Privacy Track ($9,500 USD) and Bitcoin Track ($9,675 USD + $5,500 in-kind) from a single coherent product. The Bitcoin integration is not forced — it genuinely serves the most underserved demographic in the inheritance space. Combined target: up to $19,175 USD equivalent.</w:t>
            </w:r>
          </w:p>
        </w:tc>
      </w:tr>
    </w:tbl>
    <w:p>
      <w:r>
        <w:br w:type="page"/>
      </w:r>
    </w:p>
    <w:p>
      <w:pPr>
        <w:pStyle w:val="Heading1"/>
        <w:spacing w:before="360" w:after="120"/>
      </w:pPr>
      <w:r>
        <w:rPr>
          <w:rFonts w:ascii="Arial" w:cs="Arial" w:eastAsia="Arial" w:hAnsi="Arial"/>
          <w:b/>
          <w:bCs/>
          <w:color w:val="1A1A2E"/>
          <w:sz w:val="36"/>
          <w:szCs w:val="36"/>
        </w:rPr>
        <w:t xml:space="preserve">7. Hackathon Build Plan</w:t>
      </w:r>
    </w:p>
    <w:p>
      <w:pPr>
        <w:pBdr>
          <w:bottom w:val="single" w:color="DDDDDD" w:sz="4" w:space="1"/>
        </w:pBdr>
        <w:spacing w:before="120" w:after="120"/>
      </w:pPr>
      <w:r>
        <w:t xml:space="preserve"/>
      </w:r>
    </w:p>
    <w:p>
      <w:pPr>
        <w:spacing w:before="0" w:after="100"/>
      </w:pPr>
      <w:r>
        <w:t xml:space="preserve"/>
      </w:r>
    </w:p>
    <w:p>
      <w:pPr>
        <w:spacing w:before="60" w:after="80"/>
      </w:pPr>
      <w:r>
        <w:rPr>
          <w:rFonts w:ascii="Arial" w:cs="Arial" w:eastAsia="Arial" w:hAnsi="Arial"/>
          <w:color w:val="1A1A2E"/>
          <w:sz w:val="22"/>
          <w:szCs w:val="22"/>
        </w:rPr>
        <w:t xml:space="preserve">Four weeks. Scoped to demonstrate the full protocol lifecycle — setup, check-in, simulated missed check-ins, activation, and claim — with real ZK proofs on Starknet testnet.</w:t>
      </w:r>
    </w:p>
    <w:p>
      <w:pPr>
        <w:spacing w:before="0" w:after="100"/>
      </w:pPr>
      <w:r>
        <w:t xml:space="preserve"/>
      </w:r>
    </w:p>
    <w:p>
      <w:pPr>
        <w:pStyle w:val="Heading2"/>
        <w:spacing w:before="280" w:after="100"/>
      </w:pPr>
      <w:r>
        <w:rPr>
          <w:rFonts w:ascii="Arial" w:cs="Arial" w:eastAsia="Arial" w:hAnsi="Arial"/>
          <w:b/>
          <w:bCs/>
          <w:color w:val="1B4FBF"/>
          <w:sz w:val="28"/>
          <w:szCs w:val="28"/>
        </w:rPr>
        <w:t xml:space="preserve">Week 1 — ZK Foundation (Hardest First)</w:t>
      </w:r>
    </w:p>
    <w:p>
      <w:pPr>
        <w:pStyle w:val="ListParagraph"/>
        <w:numPr>
          <w:ilvl w:val="0"/>
          <w:numId w:val="2"/>
        </w:numPr>
        <w:spacing w:before="40" w:after="40"/>
      </w:pPr>
      <w:r>
        <w:rPr>
          <w:rFonts w:ascii="Arial" w:cs="Arial" w:eastAsia="Arial" w:hAnsi="Arial"/>
          <w:color w:val="1A1A2E"/>
          <w:sz w:val="22"/>
          <w:szCs w:val="22"/>
        </w:rPr>
        <w:t xml:space="preserve">Write Noir liveness circuit: identity commitment derivation, Merkle membership proof, epoch-bound nullifier derivation</w:t>
      </w:r>
    </w:p>
    <w:p>
      <w:pPr>
        <w:pStyle w:val="ListParagraph"/>
        <w:numPr>
          <w:ilvl w:val="0"/>
          <w:numId w:val="2"/>
        </w:numPr>
        <w:spacing w:before="40" w:after="40"/>
      </w:pPr>
      <w:r>
        <w:rPr>
          <w:rFonts w:ascii="Arial" w:cs="Arial" w:eastAsia="Arial" w:hAnsi="Arial"/>
          <w:color w:val="1A1A2E"/>
          <w:sz w:val="22"/>
          <w:szCs w:val="22"/>
        </w:rPr>
        <w:t xml:space="preserve">Compile circuit and generate verifying key</w:t>
      </w:r>
    </w:p>
    <w:p>
      <w:pPr>
        <w:pStyle w:val="ListParagraph"/>
        <w:numPr>
          <w:ilvl w:val="0"/>
          <w:numId w:val="2"/>
        </w:numPr>
        <w:spacing w:before="40" w:after="40"/>
      </w:pPr>
      <w:r>
        <w:rPr>
          <w:rFonts w:ascii="Arial" w:cs="Arial" w:eastAsia="Arial" w:hAnsi="Arial"/>
          <w:color w:val="1A1A2E"/>
          <w:sz w:val="22"/>
          <w:szCs w:val="22"/>
        </w:rPr>
        <w:t xml:space="preserve">Deploy Garaga verifier contract on Starknet testnet</w:t>
      </w:r>
    </w:p>
    <w:p>
      <w:pPr>
        <w:pStyle w:val="ListParagraph"/>
        <w:numPr>
          <w:ilvl w:val="0"/>
          <w:numId w:val="2"/>
        </w:numPr>
        <w:spacing w:before="40" w:after="40"/>
      </w:pPr>
      <w:r>
        <w:rPr>
          <w:rFonts w:ascii="Arial" w:cs="Arial" w:eastAsia="Arial" w:hAnsi="Arial"/>
          <w:color w:val="1A1A2E"/>
          <w:sz w:val="22"/>
          <w:szCs w:val="22"/>
        </w:rPr>
        <w:t xml:space="preserve">Verify end-to-end: generate proof locally, submit to verifier, confirm on-chain acceptance</w:t>
      </w:r>
    </w:p>
    <w:p>
      <w:pPr>
        <w:pStyle w:val="ListParagraph"/>
        <w:numPr>
          <w:ilvl w:val="0"/>
          <w:numId w:val="2"/>
        </w:numPr>
        <w:spacing w:before="40" w:after="40"/>
      </w:pPr>
      <w:r>
        <w:rPr>
          <w:rFonts w:ascii="Arial" w:cs="Arial" w:eastAsia="Arial" w:hAnsi="Arial"/>
          <w:color w:val="1A1A2E"/>
          <w:sz w:val="22"/>
          <w:szCs w:val="22"/>
        </w:rPr>
        <w:t xml:space="preserve">This is the highest-risk component. Completing it in Week 1 de-risks the entire build.</w:t>
      </w:r>
    </w:p>
    <w:p>
      <w:pPr>
        <w:spacing w:before="0" w:after="100"/>
      </w:pPr>
      <w:r>
        <w:t xml:space="preserve"/>
      </w:r>
    </w:p>
    <w:p>
      <w:pPr>
        <w:pStyle w:val="Heading2"/>
        <w:spacing w:before="280" w:after="100"/>
      </w:pPr>
      <w:r>
        <w:rPr>
          <w:rFonts w:ascii="Arial" w:cs="Arial" w:eastAsia="Arial" w:hAnsi="Arial"/>
          <w:b/>
          <w:bCs/>
          <w:color w:val="1B4FBF"/>
          <w:sz w:val="28"/>
          <w:szCs w:val="28"/>
        </w:rPr>
        <w:t xml:space="preserve">Week 2 — Core Cairo Contracts</w:t>
      </w:r>
    </w:p>
    <w:p>
      <w:pPr>
        <w:pStyle w:val="ListParagraph"/>
        <w:numPr>
          <w:ilvl w:val="0"/>
          <w:numId w:val="2"/>
        </w:numPr>
        <w:spacing w:before="40" w:after="40"/>
      </w:pPr>
      <w:r>
        <w:rPr>
          <w:rFonts w:ascii="Arial" w:cs="Arial" w:eastAsia="Arial" w:hAnsi="Arial"/>
          <w:color w:val="1A1A2E"/>
          <w:sz w:val="22"/>
          <w:szCs w:val="22"/>
        </w:rPr>
        <w:t xml:space="preserve">Implement Semaphore group in Cairo (identity commitment, Merkle tree, membership management)</w:t>
      </w:r>
    </w:p>
    <w:p>
      <w:pPr>
        <w:pStyle w:val="ListParagraph"/>
        <w:numPr>
          <w:ilvl w:val="0"/>
          <w:numId w:val="2"/>
        </w:numPr>
        <w:spacing w:before="40" w:after="40"/>
      </w:pPr>
      <w:r>
        <w:rPr>
          <w:rFonts w:ascii="Arial" w:cs="Arial" w:eastAsia="Arial" w:hAnsi="Arial"/>
          <w:color w:val="1A1A2E"/>
          <w:sz w:val="22"/>
          <w:szCs w:val="22"/>
        </w:rPr>
        <w:t xml:space="preserve">Build LivenessRegistry: register, checkin (with Garaga verifier call), report_missed, activation trigger</w:t>
      </w:r>
    </w:p>
    <w:p>
      <w:pPr>
        <w:pStyle w:val="ListParagraph"/>
        <w:numPr>
          <w:ilvl w:val="0"/>
          <w:numId w:val="2"/>
        </w:numPr>
        <w:spacing w:before="40" w:after="40"/>
      </w:pPr>
      <w:r>
        <w:rPr>
          <w:rFonts w:ascii="Arial" w:cs="Arial" w:eastAsia="Arial" w:hAnsi="Arial"/>
          <w:color w:val="1A1A2E"/>
          <w:sz w:val="22"/>
          <w:szCs w:val="22"/>
        </w:rPr>
        <w:t xml:space="preserve">Build VaultController: deposit (mock shielded note for now), activate, claim (with ZK claim proof)</w:t>
      </w:r>
    </w:p>
    <w:p>
      <w:pPr>
        <w:pStyle w:val="ListParagraph"/>
        <w:numPr>
          <w:ilvl w:val="0"/>
          <w:numId w:val="2"/>
        </w:numPr>
        <w:spacing w:before="40" w:after="40"/>
      </w:pPr>
      <w:r>
        <w:rPr>
          <w:rFonts w:ascii="Arial" w:cs="Arial" w:eastAsia="Arial" w:hAnsi="Arial"/>
          <w:color w:val="1A1A2E"/>
          <w:sz w:val="22"/>
          <w:szCs w:val="22"/>
        </w:rPr>
        <w:t xml:space="preserve">Write unit tests for all contract functions on testnet</w:t>
      </w:r>
    </w:p>
    <w:p>
      <w:pPr>
        <w:pStyle w:val="ListParagraph"/>
        <w:numPr>
          <w:ilvl w:val="0"/>
          <w:numId w:val="2"/>
        </w:numPr>
        <w:spacing w:before="40" w:after="40"/>
      </w:pPr>
      <w:r>
        <w:rPr>
          <w:rFonts w:ascii="Arial" w:cs="Arial" w:eastAsia="Arial" w:hAnsi="Arial"/>
          <w:color w:val="1A1A2E"/>
          <w:sz w:val="22"/>
          <w:szCs w:val="22"/>
        </w:rPr>
        <w:t xml:space="preserve">Skip KeeperRegistry for MVP — simulate with a single admin script</w:t>
      </w:r>
    </w:p>
    <w:p>
      <w:pPr>
        <w:spacing w:before="0" w:after="100"/>
      </w:pPr>
      <w:r>
        <w:t xml:space="preserve"/>
      </w:r>
    </w:p>
    <w:p>
      <w:pPr>
        <w:pStyle w:val="Heading2"/>
        <w:spacing w:before="280" w:after="100"/>
      </w:pPr>
      <w:r>
        <w:rPr>
          <w:rFonts w:ascii="Arial" w:cs="Arial" w:eastAsia="Arial" w:hAnsi="Arial"/>
          <w:b/>
          <w:bCs/>
          <w:color w:val="1B4FBF"/>
          <w:sz w:val="28"/>
          <w:szCs w:val="28"/>
        </w:rPr>
        <w:t xml:space="preserve">Week 3 — Frontend and BTC Integration</w:t>
      </w:r>
    </w:p>
    <w:p>
      <w:pPr>
        <w:pStyle w:val="ListParagraph"/>
        <w:numPr>
          <w:ilvl w:val="0"/>
          <w:numId w:val="2"/>
        </w:numPr>
        <w:spacing w:before="40" w:after="40"/>
      </w:pPr>
      <w:r>
        <w:rPr>
          <w:rFonts w:ascii="Arial" w:cs="Arial" w:eastAsia="Arial" w:hAnsi="Arial"/>
          <w:color w:val="1A1A2E"/>
          <w:sz w:val="22"/>
          <w:szCs w:val="22"/>
        </w:rPr>
        <w:t xml:space="preserve">Build Next.js app: identity generation, vault setup flow, check-in screen with client-side proof generation</w:t>
      </w:r>
    </w:p>
    <w:p>
      <w:pPr>
        <w:pStyle w:val="ListParagraph"/>
        <w:numPr>
          <w:ilvl w:val="0"/>
          <w:numId w:val="2"/>
        </w:numPr>
        <w:spacing w:before="40" w:after="40"/>
      </w:pPr>
      <w:r>
        <w:rPr>
          <w:rFonts w:ascii="Arial" w:cs="Arial" w:eastAsia="Arial" w:hAnsi="Arial"/>
          <w:color w:val="1A1A2E"/>
          <w:sz w:val="22"/>
          <w:szCs w:val="22"/>
        </w:rPr>
        <w:t xml:space="preserve">Integrate tBTC bridge UI for BTC onboarding (or mock with ERC20 for demo)</w:t>
      </w:r>
    </w:p>
    <w:p>
      <w:pPr>
        <w:pStyle w:val="ListParagraph"/>
        <w:numPr>
          <w:ilvl w:val="0"/>
          <w:numId w:val="2"/>
        </w:numPr>
        <w:spacing w:before="40" w:after="40"/>
      </w:pPr>
      <w:r>
        <w:rPr>
          <w:rFonts w:ascii="Arial" w:cs="Arial" w:eastAsia="Arial" w:hAnsi="Arial"/>
          <w:color w:val="1A1A2E"/>
          <w:sz w:val="22"/>
          <w:szCs w:val="22"/>
        </w:rPr>
        <w:t xml:space="preserve">Build beneficiary event scanner and claim flow</w:t>
      </w:r>
    </w:p>
    <w:p>
      <w:pPr>
        <w:pStyle w:val="ListParagraph"/>
        <w:numPr>
          <w:ilvl w:val="0"/>
          <w:numId w:val="2"/>
        </w:numPr>
        <w:spacing w:before="40" w:after="40"/>
      </w:pPr>
      <w:r>
        <w:rPr>
          <w:rFonts w:ascii="Arial" w:cs="Arial" w:eastAsia="Arial" w:hAnsi="Arial"/>
          <w:color w:val="1A1A2E"/>
          <w:sz w:val="22"/>
          <w:szCs w:val="22"/>
        </w:rPr>
        <w:t xml:space="preserve">Replace mock shielded note with real Tongo integration if time permits; otherwise use confidential ERC20 transfer as proxy</w:t>
      </w:r>
    </w:p>
    <w:p>
      <w:pPr>
        <w:spacing w:before="0" w:after="100"/>
      </w:pPr>
      <w:r>
        <w:t xml:space="preserve"/>
      </w:r>
    </w:p>
    <w:p>
      <w:pPr>
        <w:pStyle w:val="Heading2"/>
        <w:spacing w:before="280" w:after="100"/>
      </w:pPr>
      <w:r>
        <w:rPr>
          <w:rFonts w:ascii="Arial" w:cs="Arial" w:eastAsia="Arial" w:hAnsi="Arial"/>
          <w:b/>
          <w:bCs/>
          <w:color w:val="1B4FBF"/>
          <w:sz w:val="28"/>
          <w:szCs w:val="28"/>
        </w:rPr>
        <w:t xml:space="preserve">Week 4 — Polish and Demo</w:t>
      </w:r>
    </w:p>
    <w:p>
      <w:pPr>
        <w:pStyle w:val="ListParagraph"/>
        <w:numPr>
          <w:ilvl w:val="0"/>
          <w:numId w:val="2"/>
        </w:numPr>
        <w:spacing w:before="40" w:after="40"/>
      </w:pPr>
      <w:r>
        <w:rPr>
          <w:rFonts w:ascii="Arial" w:cs="Arial" w:eastAsia="Arial" w:hAnsi="Arial"/>
          <w:color w:val="1A1A2E"/>
          <w:sz w:val="22"/>
          <w:szCs w:val="22"/>
        </w:rPr>
        <w:t xml:space="preserve">End-to-end demo video: show full lifecycle with real transactions on testnet</w:t>
      </w:r>
    </w:p>
    <w:p>
      <w:pPr>
        <w:pStyle w:val="ListParagraph"/>
        <w:numPr>
          <w:ilvl w:val="0"/>
          <w:numId w:val="2"/>
        </w:numPr>
        <w:spacing w:before="40" w:after="40"/>
      </w:pPr>
      <w:r>
        <w:rPr>
          <w:rFonts w:ascii="Arial" w:cs="Arial" w:eastAsia="Arial" w:hAnsi="Arial"/>
          <w:color w:val="1A1A2E"/>
          <w:sz w:val="22"/>
          <w:szCs w:val="22"/>
        </w:rPr>
        <w:t xml:space="preserve">Write project documentation and technical architecture writeup for submission</w:t>
      </w:r>
    </w:p>
    <w:p>
      <w:pPr>
        <w:pStyle w:val="ListParagraph"/>
        <w:numPr>
          <w:ilvl w:val="0"/>
          <w:numId w:val="2"/>
        </w:numPr>
        <w:spacing w:before="40" w:after="40"/>
      </w:pPr>
      <w:r>
        <w:rPr>
          <w:rFonts w:ascii="Arial" w:cs="Arial" w:eastAsia="Arial" w:hAnsi="Arial"/>
          <w:color w:val="1A1A2E"/>
          <w:sz w:val="22"/>
          <w:szCs w:val="22"/>
        </w:rPr>
        <w:t xml:space="preserve">Record a second demo specifically highlighting the BTC track angle for Bitcoin track submission</w:t>
      </w:r>
    </w:p>
    <w:p>
      <w:pPr>
        <w:pStyle w:val="ListParagraph"/>
        <w:numPr>
          <w:ilvl w:val="0"/>
          <w:numId w:val="2"/>
        </w:numPr>
        <w:spacing w:before="40" w:after="40"/>
      </w:pPr>
      <w:r>
        <w:rPr>
          <w:rFonts w:ascii="Arial" w:cs="Arial" w:eastAsia="Arial" w:hAnsi="Arial"/>
          <w:color w:val="1A1A2E"/>
          <w:sz w:val="22"/>
          <w:szCs w:val="22"/>
        </w:rPr>
        <w:t xml:space="preserve">Submit to both Privacy Track and Bitcoin Track on DoraHacks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8" w:val="clear"/>
            <w:tcMar>
              <w:top w:type="dxa" w:w="120"/>
              <w:left w:type="dxa" w:w="200"/>
              <w:bottom w:type="dxa" w:w="120"/>
              <w:right w:type="dxa" w:w="200"/>
            </w:tcMar>
          </w:tcPr>
          <w:p>
            <w:pPr>
              <w:spacing w:before="0" w:after="60"/>
            </w:pPr>
            <w:r>
              <w:rPr>
                <w:rFonts w:ascii="Arial" w:cs="Arial" w:eastAsia="Arial" w:hAnsi="Arial"/>
                <w:b/>
                <w:bCs/>
                <w:color w:val="D4580A"/>
                <w:sz w:val="20"/>
                <w:szCs w:val="20"/>
              </w:rPr>
              <w:t xml:space="preserve">Scope Discipline</w:t>
            </w:r>
          </w:p>
          <w:p>
            <w:pPr>
              <w:spacing w:before="0" w:after="0"/>
            </w:pPr>
            <w:r>
              <w:rPr>
                <w:rFonts w:ascii="Arial" w:cs="Arial" w:eastAsia="Arial" w:hAnsi="Arial"/>
                <w:color w:val="1A1A2E"/>
                <w:sz w:val="20"/>
                <w:szCs w:val="20"/>
              </w:rPr>
              <w:t xml:space="preserve">The KeeperRegistry, multi-asset vaults, and native Tongo integration are explicitly post-hackathon features. The MVP must demonstrate the core loop — ZK check-in working on testnet, vault activation logic functional, claim flow visible — before touching any stretch goals.</w:t>
            </w:r>
          </w:p>
        </w:tc>
      </w:tr>
    </w:tbl>
    <w:p>
      <w:r>
        <w:br w:type="page"/>
      </w:r>
    </w:p>
    <w:p>
      <w:pPr>
        <w:pStyle w:val="Heading1"/>
        <w:spacing w:before="360" w:after="120"/>
      </w:pPr>
      <w:r>
        <w:rPr>
          <w:rFonts w:ascii="Arial" w:cs="Arial" w:eastAsia="Arial" w:hAnsi="Arial"/>
          <w:b/>
          <w:bCs/>
          <w:color w:val="1A1A2E"/>
          <w:sz w:val="36"/>
          <w:szCs w:val="36"/>
        </w:rPr>
        <w:t xml:space="preserve">8. Post-Hackathon Roadmap</w:t>
      </w:r>
    </w:p>
    <w:p>
      <w:pPr>
        <w:pBdr>
          <w:bottom w:val="single" w:color="DDDDDD" w:sz="4" w:space="1"/>
        </w:pBdr>
        <w:spacing w:before="120" w:after="120"/>
      </w:pPr>
      <w:r>
        <w:t xml:space="preserve"/>
      </w:r>
    </w:p>
    <w:p>
      <w:pPr>
        <w:spacing w:before="0" w:after="100"/>
      </w:pPr>
      <w:r>
        <w:t xml:space="preserve"/>
      </w:r>
    </w:p>
    <w:p>
      <w:pPr>
        <w:pStyle w:val="Heading2"/>
        <w:spacing w:before="280" w:after="100"/>
      </w:pPr>
      <w:r>
        <w:rPr>
          <w:rFonts w:ascii="Arial" w:cs="Arial" w:eastAsia="Arial" w:hAnsi="Arial"/>
          <w:b/>
          <w:bCs/>
          <w:color w:val="1B4FBF"/>
          <w:sz w:val="28"/>
          <w:szCs w:val="28"/>
        </w:rPr>
        <w:t xml:space="preserve">8.1 Revenue Model</w:t>
      </w:r>
    </w:p>
    <w:p>
      <w:pPr>
        <w:spacing w:before="60" w:after="80"/>
      </w:pPr>
      <w:r>
        <w:rPr>
          <w:rFonts w:ascii="Arial" w:cs="Arial" w:eastAsia="Arial" w:hAnsi="Arial"/>
          <w:color w:val="1A1A2E"/>
          <w:sz w:val="22"/>
          <w:szCs w:val="22"/>
        </w:rPr>
        <w:t xml:space="preserve">Two monetization paths, both non-custodial and protocol-native.</w:t>
      </w:r>
    </w:p>
    <w:p>
      <w:pPr>
        <w:spacing w:before="0" w:after="100"/>
      </w:pPr>
      <w:r>
        <w:t xml:space="preserve"/>
      </w:r>
    </w:p>
    <w:p>
      <w:pPr>
        <w:pStyle w:val="ListParagraph"/>
        <w:numPr>
          <w:ilvl w:val="0"/>
          <w:numId w:val="2"/>
        </w:numPr>
        <w:spacing w:before="40" w:after="40"/>
      </w:pPr>
      <w:r>
        <w:rPr>
          <w:rFonts w:ascii="Arial" w:cs="Arial" w:eastAsia="Arial" w:hAnsi="Arial"/>
          <w:color w:val="1A1A2E"/>
          <w:sz w:val="22"/>
          <w:szCs w:val="22"/>
        </w:rPr>
        <w:t xml:space="preserve">Protocol fee at vault creation — 0.1% of deposited value split between keeper fee pool (80%) and protocol treasury (20%). Aligns incentives: keepers are funded by the vaults they protect.</w:t>
      </w:r>
    </w:p>
    <w:p>
      <w:pPr>
        <w:pStyle w:val="ListParagraph"/>
        <w:numPr>
          <w:ilvl w:val="0"/>
          <w:numId w:val="2"/>
        </w:numPr>
        <w:spacing w:before="40" w:after="40"/>
      </w:pPr>
      <w:r>
        <w:rPr>
          <w:rFonts w:ascii="Arial" w:cs="Arial" w:eastAsia="Arial" w:hAnsi="Arial"/>
          <w:color w:val="1A1A2E"/>
          <w:sz w:val="22"/>
          <w:szCs w:val="22"/>
        </w:rPr>
        <w:t xml:space="preserve">Optional relay subscription — users who do not want to self-host their prover can pay a monthly fee for a privacy-preserving relay that submits their check-in proof. The relay never sees the proof inputs, only submits the finished proof.</w:t>
      </w:r>
    </w:p>
    <w:p>
      <w:pPr>
        <w:spacing w:before="0" w:after="100"/>
      </w:pPr>
      <w:r>
        <w:t xml:space="preserve"/>
      </w:r>
    </w:p>
    <w:p>
      <w:pPr>
        <w:pStyle w:val="Heading2"/>
        <w:spacing w:before="280" w:after="100"/>
      </w:pPr>
      <w:r>
        <w:rPr>
          <w:rFonts w:ascii="Arial" w:cs="Arial" w:eastAsia="Arial" w:hAnsi="Arial"/>
          <w:b/>
          <w:bCs/>
          <w:color w:val="1B4FBF"/>
          <w:sz w:val="28"/>
          <w:szCs w:val="28"/>
        </w:rPr>
        <w:t xml:space="preserve">8.2 Technical Roadmap</w:t>
      </w:r>
    </w:p>
    <w:p>
      <w:pPr>
        <w:pStyle w:val="ListParagraph"/>
        <w:numPr>
          <w:ilvl w:val="0"/>
          <w:numId w:val="2"/>
        </w:numPr>
        <w:spacing w:before="40" w:after="40"/>
      </w:pPr>
      <w:r>
        <w:rPr>
          <w:rFonts w:ascii="Arial" w:cs="Arial" w:eastAsia="Arial" w:hAnsi="Arial"/>
          <w:color w:val="1A1A2E"/>
          <w:sz w:val="22"/>
          <w:szCs w:val="22"/>
        </w:rPr>
        <w:t xml:space="preserve">v1.1 — KeeperRegistry with STRK staking and slashing for keeper accountability</w:t>
      </w:r>
    </w:p>
    <w:p>
      <w:pPr>
        <w:pStyle w:val="ListParagraph"/>
        <w:numPr>
          <w:ilvl w:val="0"/>
          <w:numId w:val="2"/>
        </w:numPr>
        <w:spacing w:before="40" w:after="40"/>
      </w:pPr>
      <w:r>
        <w:rPr>
          <w:rFonts w:ascii="Arial" w:cs="Arial" w:eastAsia="Arial" w:hAnsi="Arial"/>
          <w:color w:val="1A1A2E"/>
          <w:sz w:val="22"/>
          <w:szCs w:val="22"/>
        </w:rPr>
        <w:t xml:space="preserve">v1.2 — Native Tongo integration replacing mock shielded notes</w:t>
      </w:r>
    </w:p>
    <w:p>
      <w:pPr>
        <w:pStyle w:val="ListParagraph"/>
        <w:numPr>
          <w:ilvl w:val="0"/>
          <w:numId w:val="2"/>
        </w:numPr>
        <w:spacing w:before="40" w:after="40"/>
      </w:pPr>
      <w:r>
        <w:rPr>
          <w:rFonts w:ascii="Arial" w:cs="Arial" w:eastAsia="Arial" w:hAnsi="Arial"/>
          <w:color w:val="1A1A2E"/>
          <w:sz w:val="22"/>
          <w:szCs w:val="22"/>
        </w:rPr>
        <w:t xml:space="preserve">v1.3 — Multi-asset vaults via Merkle commitment of individual asset notes</w:t>
      </w:r>
    </w:p>
    <w:p>
      <w:pPr>
        <w:pStyle w:val="ListParagraph"/>
        <w:numPr>
          <w:ilvl w:val="0"/>
          <w:numId w:val="2"/>
        </w:numPr>
        <w:spacing w:before="40" w:after="40"/>
      </w:pPr>
      <w:r>
        <w:rPr>
          <w:rFonts w:ascii="Arial" w:cs="Arial" w:eastAsia="Arial" w:hAnsi="Arial"/>
          <w:color w:val="1A1A2E"/>
          <w:sz w:val="22"/>
          <w:szCs w:val="22"/>
        </w:rPr>
        <w:t xml:space="preserve">v1.4 — Conditional inheritance rules: split across multiple beneficiaries, percentage allocations, time-delayed releases</w:t>
      </w:r>
    </w:p>
    <w:p>
      <w:pPr>
        <w:pStyle w:val="ListParagraph"/>
        <w:numPr>
          <w:ilvl w:val="0"/>
          <w:numId w:val="2"/>
        </w:numPr>
        <w:spacing w:before="40" w:after="40"/>
      </w:pPr>
      <w:r>
        <w:rPr>
          <w:rFonts w:ascii="Arial" w:cs="Arial" w:eastAsia="Arial" w:hAnsi="Arial"/>
          <w:color w:val="1A1A2E"/>
          <w:sz w:val="22"/>
          <w:szCs w:val="22"/>
        </w:rPr>
        <w:t xml:space="preserve">v2.0 — Mobile app with secure enclave key storage, biometric-gated proof generation</w:t>
      </w:r>
    </w:p>
    <w:p>
      <w:pPr>
        <w:spacing w:before="0" w:after="100"/>
      </w:pPr>
      <w:r>
        <w:t xml:space="preserve"/>
      </w:r>
    </w:p>
    <w:p>
      <w:pPr>
        <w:pStyle w:val="Heading2"/>
        <w:spacing w:before="280" w:after="100"/>
      </w:pPr>
      <w:r>
        <w:rPr>
          <w:rFonts w:ascii="Arial" w:cs="Arial" w:eastAsia="Arial" w:hAnsi="Arial"/>
          <w:b/>
          <w:bCs/>
          <w:color w:val="1B4FBF"/>
          <w:sz w:val="28"/>
          <w:szCs w:val="28"/>
        </w:rPr>
        <w:t xml:space="preserve">8.3 Grant Pipeline</w:t>
      </w:r>
    </w:p>
    <w:p>
      <w:pPr>
        <w:spacing w:before="60" w:after="80"/>
      </w:pPr>
      <w:r>
        <w:rPr>
          <w:rFonts w:ascii="Arial" w:cs="Arial" w:eastAsia="Arial" w:hAnsi="Arial"/>
          <w:color w:val="1A1A2E"/>
          <w:sz w:val="22"/>
          <w:szCs w:val="22"/>
        </w:rPr>
        <w:t xml:space="preserve">Thanatos is a strong candidate for the Starknet Foundation grant pipeline post-hackathon based on prior patterns (Re{solve} winners received $25K seed grants and SNF Accelerator placement). The combination of genuine protocol innovation (epoch-bound Semaphore extension), real use case, and multi-track coverage positions it well for continued foundation support.</w:t>
      </w:r>
    </w:p>
    <w:p>
      <w:r>
        <w:br w:type="page"/>
      </w:r>
    </w:p>
    <w:p>
      <w:pPr>
        <w:pStyle w:val="Heading1"/>
        <w:spacing w:before="360" w:after="120"/>
      </w:pPr>
      <w:r>
        <w:rPr>
          <w:rFonts w:ascii="Arial" w:cs="Arial" w:eastAsia="Arial" w:hAnsi="Arial"/>
          <w:b/>
          <w:bCs/>
          <w:color w:val="1A1A2E"/>
          <w:sz w:val="36"/>
          <w:szCs w:val="36"/>
        </w:rPr>
        <w:t xml:space="preserve">9. Why Thanatos Wins</w:t>
      </w:r>
    </w:p>
    <w:p>
      <w:pPr>
        <w:pBdr>
          <w:bottom w:val="single" w:color="DDDDDD" w:sz="4" w:space="1"/>
        </w:pBdr>
        <w:spacing w:before="120" w:after="120"/>
      </w:pPr>
      <w:r>
        <w:t xml:space="preserve"/>
      </w:r>
    </w:p>
    <w:p>
      <w:pPr>
        <w:spacing w:before="0" w:after="100"/>
      </w:pPr>
      <w:r>
        <w:t xml:space="preserve"/>
      </w:r>
    </w:p>
    <w:p>
      <w:pPr>
        <w:spacing w:before="60" w:after="80"/>
      </w:pPr>
      <w:r>
        <w:rPr>
          <w:rFonts w:ascii="Arial" w:cs="Arial" w:eastAsia="Arial" w:hAnsi="Arial"/>
          <w:color w:val="1A1A2E"/>
          <w:sz w:val="22"/>
          <w:szCs w:val="22"/>
        </w:rPr>
        <w:t xml:space="preserve">Most hackathon projects build one primitive in isolation. Thanatos assembles five primitives — Semaphore, Garaga/Noir, Tongo, anonymous credentials, and keeper economics — into a product with a story that any judge can understand in thirty seconds: you built a trustless will.</w:t>
      </w:r>
    </w:p>
    <w:p>
      <w:pPr>
        <w:spacing w:before="0" w:after="100"/>
      </w:pPr>
      <w:r>
        <w:t xml:space="preserve"/>
      </w:r>
    </w:p>
    <w:p>
      <w:pPr>
        <w:spacing w:before="60" w:after="80"/>
      </w:pPr>
      <w:r>
        <w:rPr>
          <w:rFonts w:ascii="Arial" w:cs="Arial" w:eastAsia="Arial" w:hAnsi="Arial"/>
          <w:color w:val="1A1A2E"/>
          <w:sz w:val="22"/>
          <w:szCs w:val="22"/>
        </w:rPr>
        <w:t xml:space="preserve">The problem is real, the loss of $140 billion in crypto to death and incapacitation is documented. The solution is technically deep, introducing a novel epoch-bound nullifier extension to Semaphore that is a genuine contribution to the ecosystem. The market is large, every crypto holder with any significant portfolio is a potential user. The BTC angle is not forced, it is the strongest version of the pitch.</w:t>
      </w:r>
    </w:p>
    <w:p>
      <w:pPr>
        <w:spacing w:before="0" w:after="100"/>
      </w:pPr>
      <w:r>
        <w:t xml:space="preserve"/>
      </w:r>
    </w:p>
    <w:p>
      <w:pPr>
        <w:spacing w:before="60" w:after="80"/>
      </w:pPr>
      <w:r>
        <w:rPr>
          <w:rFonts w:ascii="Arial" w:cs="Arial" w:eastAsia="Arial" w:hAnsi="Arial"/>
          <w:color w:val="1A1A2E"/>
          <w:sz w:val="22"/>
          <w:szCs w:val="22"/>
        </w:rPr>
        <w:t xml:space="preserve">And it is completely unexpected — which is exactly what wins hackathons.</w:t>
      </w:r>
    </w:p>
    <w:p>
      <w:pPr>
        <w:spacing w:before="0" w:after="100"/>
      </w:pPr>
      <w:r>
        <w:t xml:space="preserve"/>
      </w:r>
    </w:p>
    <w:p>
      <w:pPr>
        <w:pBdr>
          <w:bottom w:val="single" w:color="1B4FBF" w:sz="6" w:space="1"/>
        </w:pBdr>
        <w:spacing w:before="160" w:after="160"/>
      </w:pPr>
      <w:r>
        <w:t xml:space="preserve"/>
      </w:r>
    </w:p>
    <w:p>
      <w:pPr>
        <w:spacing w:before="0" w:after="100"/>
      </w:pPr>
      <w:r>
        <w:t xml:space="preserve"/>
      </w:r>
    </w:p>
    <w:p>
      <w:pPr>
        <w:spacing w:before="60" w:after="60"/>
        <w:jc w:val="center"/>
      </w:pPr>
      <w:r>
        <w:rPr>
          <w:rFonts w:ascii="Arial" w:cs="Arial" w:eastAsia="Arial" w:hAnsi="Arial"/>
          <w:b/>
          <w:bCs/>
          <w:color w:val="1A1A2E"/>
          <w:sz w:val="36"/>
          <w:szCs w:val="36"/>
        </w:rPr>
        <w:t xml:space="preserve">Thanatos Protocol</w:t>
      </w:r>
    </w:p>
    <w:p>
      <w:pPr>
        <w:spacing w:before="0" w:after="60"/>
        <w:jc w:val="center"/>
      </w:pPr>
      <w:r>
        <w:rPr>
          <w:rFonts w:ascii="Arial" w:cs="Arial" w:eastAsia="Arial" w:hAnsi="Arial"/>
          <w:i/>
          <w:iCs/>
          <w:color w:val="666666"/>
          <w:sz w:val="24"/>
          <w:szCs w:val="24"/>
        </w:rPr>
        <w:t xml:space="preserve">"Nobody knows you're dead until your money moves.</w:t>
      </w:r>
    </w:p>
    <w:p>
      <w:pPr>
        <w:spacing w:before="0" w:after="0"/>
        <w:jc w:val="center"/>
      </w:pPr>
      <w:r>
        <w:rPr>
          <w:rFonts w:ascii="Arial" w:cs="Arial" w:eastAsia="Arial" w:hAnsi="Arial"/>
          <w:i/>
          <w:iCs/>
          <w:color w:val="666666"/>
          <w:sz w:val="24"/>
          <w:szCs w:val="24"/>
        </w:rPr>
        <w:t xml:space="preserve">And even then, no one knows where it went."</w:t>
      </w:r>
    </w:p>
    <w:p>
      <w:pPr>
        <w:spacing w:before="0" w:after="200"/>
      </w:pPr>
      <w:r>
        <w:t xml:space="preserve"/>
      </w:r>
    </w:p>
    <w:p>
      <w:pPr>
        <w:pBdr>
          <w:bottom w:val="single" w:color="1B4FBF" w:sz="6" w:space="1"/>
        </w:pBdr>
        <w:spacing w:before="160" w:after="16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Thanatos Protocol — Starknet Privacy &amp; Bitcoin Hackathon 2026 — Confidential</w:t>
    </w:r>
    <w:r>
      <w:rPr>
        <w:rFonts w:ascii="Arial" w:cs="Arial" w:eastAsia="Arial" w:hAnsi="Arial"/>
        <w:color w:val="666666"/>
        <w:sz w:val="16"/>
        <w:szCs w:val="16"/>
      </w:rPr>
      <w:t xml:space="preserve">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B4FB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2026-02-27T20:42:44.708Z</dcterms:created>
  <dcterms:modified xsi:type="dcterms:W3CDTF">2026-02-27T20:42:44.709Z</dcterms:modified>
</cp:coreProperties>
</file>

<file path=docProps/custom.xml><?xml version="1.0" encoding="utf-8"?>
<Properties xmlns="http://schemas.openxmlformats.org/officeDocument/2006/custom-properties" xmlns:vt="http://schemas.openxmlformats.org/officeDocument/2006/docPropsVTypes"/>
</file>