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Economat</w:t>
      </w:r>
      <w:r>
        <w:t xml:space="preserve"> </w:t>
      </w:r>
      <w:r>
        <w:t xml:space="preserve">—</w:t>
      </w:r>
      <w:r>
        <w:t xml:space="preserve"> </w:t>
      </w:r>
      <w:r>
        <w:t xml:space="preserve">Guide</w:t>
      </w:r>
      <w:r>
        <w:t xml:space="preserve"> </w:t>
      </w:r>
      <w:r>
        <w:t xml:space="preserve">de</w:t>
      </w:r>
      <w:r>
        <w:t xml:space="preserve"> </w:t>
      </w:r>
      <w:r>
        <w:t xml:space="preserve">démonstration</w:t>
      </w:r>
    </w:p>
    <w:p>
      <w:pPr>
        <w:pStyle w:val="FirstParagraph"/>
      </w:pPr>
      <w:r>
        <w:drawing>
          <wp:inline>
            <wp:extent cx="863999" cy="86399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1" w:name="economat"/>
      <w:r>
        <w:t xml:space="preserve">Economat</w:t>
      </w:r>
      <w:bookmarkEnd w:id="21"/>
    </w:p>
    <w:p>
      <w:pPr>
        <w:pStyle w:val="FirstParagraph"/>
      </w:pPr>
      <w:r>
        <w:rPr>
          <w:b/>
        </w:rPr>
        <w:t xml:space="preserve">Plateforme de gestion financière des établissements scolaires</w:t>
      </w:r>
    </w:p>
    <w:p>
      <w:pPr>
        <w:pStyle w:val="BodyText"/>
      </w:pPr>
      <w:r>
        <w:t xml:space="preserve">Ce document présente, écran par écran, le parcours d’utilisation d’Economat — de la connexion aux rapports. Il sert de support de démonstration.</w:t>
      </w:r>
    </w:p>
    <w:p>
      <w:pPr>
        <w:pStyle w:val="Heading1"/>
      </w:pPr>
      <w:bookmarkStart w:id="22" w:name="connexion"/>
      <w:r>
        <w:t xml:space="preserve">1. Connexion</w:t>
      </w:r>
      <w:bookmarkEnd w:id="22"/>
    </w:p>
    <w:p>
      <w:pPr>
        <w:pStyle w:val="FirstParagraph"/>
      </w:pPr>
      <w:r>
        <w:t xml:space="preserve">L’utilisateur ouvre l’application et choisit l’onglet</w:t>
      </w:r>
      <w:r>
        <w:t xml:space="preserve"> </w:t>
      </w:r>
      <w:r>
        <w:rPr>
          <w:b/>
        </w:rPr>
        <w:t xml:space="preserve">Application</w:t>
      </w:r>
      <w:r>
        <w:t xml:space="preserve"> </w:t>
      </w:r>
      <w:r>
        <w:t xml:space="preserve">(ou</w:t>
      </w:r>
      <w:r>
        <w:t xml:space="preserve"> </w:t>
      </w:r>
      <w:r>
        <w:rPr>
          <w:b/>
        </w:rPr>
        <w:t xml:space="preserve">Console</w:t>
      </w:r>
      <w:r>
        <w:t xml:space="preserve"> </w:t>
      </w:r>
      <w:r>
        <w:t xml:space="preserve">pour le Super Administrateur). Il saisit son identifiant et son mot de passe. Si la double authentification est activée, un code à 6 chiffres est envoyé par e-mail.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1_connex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4" w:name="tableau-de-bord"/>
      <w:r>
        <w:t xml:space="preserve">2. Tableau de bord</w:t>
      </w:r>
      <w:bookmarkEnd w:id="24"/>
    </w:p>
    <w:p>
      <w:pPr>
        <w:pStyle w:val="FirstParagraph"/>
      </w:pPr>
      <w:r>
        <w:t xml:space="preserve">Après connexion, le tableau de bord affiche une vue d’ensemble</w:t>
      </w:r>
      <w:r>
        <w:t xml:space="preserve"> </w:t>
      </w:r>
      <w:r>
        <w:rPr>
          <w:b/>
        </w:rPr>
        <w:t xml:space="preserve">adaptée au rôle</w:t>
      </w:r>
      <w:r>
        <w:t xml:space="preserve"> </w:t>
      </w:r>
      <w:r>
        <w:t xml:space="preserve">: recettes encaissées, dépenses, solde de trésorerie, impayés, ainsi que les derniers paiements. En haut, les sélecteurs</w:t>
      </w:r>
      <w:r>
        <w:t xml:space="preserve"> </w:t>
      </w:r>
      <w:r>
        <w:rPr>
          <w:b/>
        </w:rPr>
        <w:t xml:space="preserve">Rôle</w:t>
      </w:r>
      <w:r>
        <w:t xml:space="preserve">,</w:t>
      </w:r>
      <w:r>
        <w:t xml:space="preserve"> </w:t>
      </w:r>
      <w:r>
        <w:rPr>
          <w:b/>
        </w:rPr>
        <w:t xml:space="preserve">Société</w:t>
      </w:r>
      <w:r>
        <w:t xml:space="preserve">,</w:t>
      </w:r>
      <w:r>
        <w:t xml:space="preserve"> </w:t>
      </w:r>
      <w:r>
        <w:rPr>
          <w:b/>
        </w:rPr>
        <w:t xml:space="preserve">Établissement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Exercice</w:t>
      </w:r>
      <w:r>
        <w:t xml:space="preserve"> </w:t>
      </w:r>
      <w:r>
        <w:t xml:space="preserve">définissent le contexte de travail.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2_tableau_de_bo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6" w:name="élèves"/>
      <w:r>
        <w:t xml:space="preserve">3. Élèves</w:t>
      </w:r>
      <w:bookmarkEnd w:id="26"/>
    </w:p>
    <w:p>
      <w:pPr>
        <w:pStyle w:val="FirstParagraph"/>
      </w:pPr>
      <w:r>
        <w:t xml:space="preserve">La liste des élèves affiche la classe, le parent/tuteur, la scolarité et le reste à payer. La recherche permet de retrouver rapidement un élève.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3_ele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8" w:name="ajouter-modifier-un-élève"/>
      <w:r>
        <w:t xml:space="preserve">4. Ajouter / modifier un élève</w:t>
      </w:r>
      <w:bookmarkEnd w:id="28"/>
    </w:p>
    <w:p>
      <w:pPr>
        <w:pStyle w:val="FirstParagraph"/>
      </w:pPr>
      <w:r>
        <w:t xml:space="preserve">Le formulaire est organisé en sections : identité, contact, scolarité, parents (père et mère) et finances. Le matricule est généré automatiquement.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4_nouvel_ele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0" w:name="encaisser-un-versement"/>
      <w:r>
        <w:t xml:space="preserve">5. Encaisser un versement</w:t>
      </w:r>
      <w:bookmarkEnd w:id="30"/>
    </w:p>
    <w:p>
      <w:pPr>
        <w:pStyle w:val="FirstParagraph"/>
      </w:pPr>
      <w:r>
        <w:t xml:space="preserve">Le caissier sélectionne l’élève (son reste à payer s’affiche), saisit le montant, la date, le mode de paiement et le motif, puis valide. Un reçu PDF est généré ; il peut aussi être envoyé par e-mail.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5_encaisse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2" w:name="cantine-pension-transport"/>
      <w:r>
        <w:t xml:space="preserve">6. Cantine, Pension, Transport</w:t>
      </w:r>
      <w:bookmarkEnd w:id="32"/>
    </w:p>
    <w:p>
      <w:pPr>
        <w:pStyle w:val="FirstParagraph"/>
      </w:pPr>
      <w:r>
        <w:t xml:space="preserve">Chaque service dispose d’une grille tarifaire et d’un suivi des inscriptions avec dû / payé / reste, et d’un encaissement dédié.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6_cant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4" w:name="logistique-transport"/>
      <w:r>
        <w:t xml:space="preserve">7. Logistique transport</w:t>
      </w:r>
      <w:bookmarkEnd w:id="34"/>
    </w:p>
    <w:p>
      <w:pPr>
        <w:pStyle w:val="FirstParagraph"/>
      </w:pPr>
      <w:r>
        <w:t xml:space="preserve">Gestion des bus (immatriculation, itinéraire, places), des chauffeurs et de l’affectation chauffeur ↔ bus. Les élèves sont rattachés à un circuit lors de leur inscription au transport.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7_transpo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6" w:name="factures"/>
      <w:r>
        <w:t xml:space="preserve">8. Factures</w:t>
      </w:r>
      <w:bookmarkEnd w:id="36"/>
    </w:p>
    <w:p>
      <w:pPr>
        <w:pStyle w:val="FirstParagraph"/>
      </w:pPr>
      <w:r>
        <w:t xml:space="preserve">Émission de factures par élève avec des lignes de frais (le montant se pré-remplit depuis l’échéancier). Numérotation automatique, suivi du statut et export PDF.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8_factu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8" w:name="dépenses-fournisseurs"/>
      <w:r>
        <w:t xml:space="preserve">9. Dépenses &amp; fournisseurs</w:t>
      </w:r>
      <w:bookmarkEnd w:id="38"/>
    </w:p>
    <w:p>
      <w:pPr>
        <w:pStyle w:val="FirstParagraph"/>
      </w:pPr>
      <w:r>
        <w:t xml:space="preserve">Enregistrement des dépenses (catégorie, fournisseur, mode de paiement, statut) et gestion des fournisseurs. Numérotation automatique.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09_depen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40" w:name="trésorerie"/>
      <w:r>
        <w:t xml:space="preserve">10. Trésorerie</w:t>
      </w:r>
      <w:bookmarkEnd w:id="40"/>
    </w:p>
    <w:p>
      <w:pPr>
        <w:pStyle w:val="FirstParagraph"/>
      </w:pPr>
      <w:r>
        <w:t xml:space="preserve">Chiffres réels de l’établissement (total encaissé, solde des caisses, nombre de caisses) et liste des</w:t>
      </w:r>
      <w:r>
        <w:t xml:space="preserve"> </w:t>
      </w:r>
      <w:r>
        <w:rPr>
          <w:b/>
        </w:rPr>
        <w:t xml:space="preserve">caissiers rattachés</w:t>
      </w:r>
      <w:r>
        <w:t xml:space="preserve"> </w:t>
      </w:r>
      <w:r>
        <w:t xml:space="preserve">à l’établissement, avec les mouvements de caisse.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0_tresoreri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42" w:name="rapports-financiers"/>
      <w:r>
        <w:t xml:space="preserve">11. Rapports financiers</w:t>
      </w:r>
      <w:bookmarkEnd w:id="42"/>
    </w:p>
    <w:p>
      <w:pPr>
        <w:pStyle w:val="FirstParagraph"/>
      </w:pPr>
      <w:r>
        <w:t xml:space="preserve">Indicateurs sur une période, graphiques, élèves débiteurs, et exports</w:t>
      </w:r>
      <w:r>
        <w:t xml:space="preserve"> </w:t>
      </w:r>
      <w:r>
        <w:rPr>
          <w:b/>
        </w:rPr>
        <w:t xml:space="preserve">PDF / Excel / CSV</w:t>
      </w:r>
      <w:r>
        <w:t xml:space="preserve">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1_rappo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44" w:name="gestion-des-utilisateurs"/>
      <w:r>
        <w:t xml:space="preserve">12. Gestion des utilisateurs</w:t>
      </w:r>
      <w:bookmarkEnd w:id="44"/>
    </w:p>
    <w:p>
      <w:pPr>
        <w:pStyle w:val="FirstParagraph"/>
      </w:pPr>
      <w:r>
        <w:t xml:space="preserve">Le directeur crée les comptes de son établissement et leur attribue un rôle (Caissier, Comptable, Économe, Secrétaire, Auditeur, Directeur). Chaque rôle n’accède qu’à son espace, et toutes les actions sont tracées.</w:t>
      </w:r>
    </w:p>
    <w:p>
      <w:pPr>
        <w:pStyle w:val="BodyText"/>
      </w:pPr>
      <w:r>
        <w:drawing>
          <wp:inline>
            <wp:extent cx="5334000" cy="330557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2_utilisateu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46" w:name="sécurité-traçabilité"/>
      <w:r>
        <w:t xml:space="preserve">Sécurité &amp; traçabilité</w:t>
      </w:r>
      <w:bookmarkEnd w:id="4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Multi-tenant</w:t>
      </w:r>
      <w:r>
        <w:t xml:space="preserve"> </w:t>
      </w:r>
      <w:r>
        <w:t xml:space="preserve">: chaque donnée est cloisonnée par société, établissement et exercice.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Rôles &amp; permissions</w:t>
      </w:r>
      <w:r>
        <w:t xml:space="preserve"> </w:t>
      </w:r>
      <w:r>
        <w:t xml:space="preserve">: l’interface s’adapte automatiquement ; un utilisateur n’accède jamais aux données d’un autre rôle sans autorisation.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Traçabilité</w:t>
      </w:r>
      <w:r>
        <w:t xml:space="preserve"> </w:t>
      </w:r>
      <w:r>
        <w:t xml:space="preserve">: connexions, encaissements, annulations, dépenses et factures sont journalisés ; chaque utilisateur consulte son historique dans « Mon activité ».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Double authentification</w:t>
      </w:r>
      <w:r>
        <w:t xml:space="preserve"> </w:t>
      </w:r>
      <w:r>
        <w:t xml:space="preserve">(option) par code e-mail à la connexion.</w:t>
      </w:r>
    </w:p>
    <w:p>
      <w:pPr>
        <w:pStyle w:val="FirstParagraph"/>
      </w:pPr>
      <w:r>
        <w:rPr>
          <w:i/>
        </w:rPr>
        <w:t xml:space="preserve">Document de démonstration — Economat.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Economat — Guide de démonstration</dc:title>
  <dc:creator/>
  <dc:language>fr</dc:language>
  <cp:keywords/>
  <dcterms:created xsi:type="dcterms:W3CDTF">2026-07-13T09:44:42Z</dcterms:created>
  <dcterms:modified xsi:type="dcterms:W3CDTF">2026-07-13T09:44:42Z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