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color w:val="0C3320"/>
          <w:sz w:val="26"/>
        </w:rPr>
        <w:t>INSTRUMENTO PARTICULAR DE COMPROMISSO DE COMPRA E VENDA DE LOTE URBANO COM CARACTERÍSTICAS RURAIS (CHÁCARA) E OUTRAS AVENÇAS</w:t>
      </w:r>
    </w:p>
    <w:p>
      <w:pPr>
        <w:jc w:val="center"/>
      </w:pPr>
      <w:r>
        <w:rPr>
          <w:rFonts w:ascii="Times New Roman" w:hAnsi="Times New Roman"/>
          <w:b w:val="0"/>
          <w:color w:val="555555"/>
          <w:sz w:val="20"/>
        </w:rPr>
        <w:t xml:space="preserve">Contrato n.º </w:t>
      </w:r>
      <w:r>
        <w:rPr>
          <w:rFonts w:ascii="Times New Roman" w:hAnsi="Times New Roman"/>
          <w:b/>
          <w:color w:val="1F4E9A"/>
          <w:sz w:val="20"/>
        </w:rPr>
        <w:t>{{ctr_numero}}</w:t>
      </w:r>
      <w:r>
        <w:rPr>
          <w:rFonts w:ascii="Times New Roman" w:hAnsi="Times New Roman"/>
          <w:b w:val="0"/>
          <w:color w:val="555555"/>
          <w:sz w:val="20"/>
        </w:rPr>
        <w:t xml:space="preserve"> · </w:t>
      </w:r>
      <w:r>
        <w:rPr>
          <w:rFonts w:ascii="Times New Roman" w:hAnsi="Times New Roman"/>
          <w:b w:val="0"/>
          <w:color w:val="1F4E9A"/>
          <w:sz w:val="20"/>
        </w:rPr>
        <w:t>{{emp_nome}}</w:t>
      </w:r>
      <w:r>
        <w:rPr>
          <w:rFonts w:ascii="Times New Roman" w:hAnsi="Times New Roman"/>
          <w:b w:val="0"/>
          <w:color w:val="555555"/>
          <w:sz w:val="20"/>
        </w:rPr>
        <w:t xml:space="preserve"> · Versão do modelo </w:t>
      </w:r>
      <w:r>
        <w:rPr>
          <w:rFonts w:ascii="Times New Roman" w:hAnsi="Times New Roman"/>
          <w:b w:val="0"/>
          <w:color w:val="1F4E9A"/>
          <w:sz w:val="20"/>
        </w:rPr>
        <w:t>{{ctr_versao_modelo}}</w:t>
      </w:r>
    </w:p>
    <w:p>
      <w:pPr>
        <w:keepNext/>
        <w:spacing w:before="180"/>
        <w:pBdr>
          <w:bottom w:val="single" w:sz="6" w:space="1" w:color="C9A84C"/>
        </w:pBdr>
      </w:pPr>
      <w:r>
        <w:rPr>
          <w:rFonts w:ascii="Times New Roman" w:hAnsi="Times New Roman"/>
          <w:b/>
          <w:color w:val="0C3320"/>
          <w:sz w:val="22"/>
        </w:rPr>
        <w:t>QUADRO-RESUMO (Lei n.º 6.766/1979, art. 26-A; CDC, arts. 6º, III, 46, 52 e 54, §§ 3º e 4º)</w:t>
      </w:r>
    </w:p>
    <w:p>
      <w:pPr>
        <w:jc w:val="both"/>
      </w:pPr>
      <w:r>
        <w:rPr>
          <w:rFonts w:ascii="Times New Roman" w:hAnsi="Times New Roman"/>
          <w:b w:val="0"/>
          <w:sz w:val="19"/>
        </w:rPr>
        <w:t>Este Quadro-Resumo integra o contrato e prevalece, quanto aos dados nele preenchidos, sobre as cláusulas genéricas. As cláusulas que limitam direitos do(a) PROMISSÁRIO(A) COMPRADOR(A) estão redigidas em destaque (CDC, art. 54, § 4º).</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F3EEDF"/>
          </w:tcPr>
          <w:p>
            <w:pPr>
              <w:spacing w:after="20"/>
              <w:jc w:val="left"/>
            </w:pPr>
            <w:r>
              <w:rPr>
                <w:rFonts w:ascii="Times New Roman" w:hAnsi="Times New Roman"/>
                <w:b/>
                <w:color w:val="0C3320"/>
                <w:sz w:val="18"/>
              </w:rPr>
              <w:t>1. Promitente vendedora</w:t>
            </w:r>
          </w:p>
        </w:tc>
        <w:tc>
          <w:tcPr>
            <w:tcW w:type="dxa" w:w="6520"/>
          </w:tcPr>
          <w:p>
            <w:pPr>
              <w:spacing w:after="20"/>
              <w:jc w:val="left"/>
            </w:pPr>
            <w:r>
              <w:rPr>
                <w:rFonts w:ascii="Times New Roman" w:hAnsi="Times New Roman"/>
                <w:b w:val="0"/>
                <w:color w:val="1F4E9A"/>
                <w:sz w:val="18"/>
              </w:rPr>
              <w:t>{{vend_qualificacao_resumida}}</w:t>
            </w:r>
          </w:p>
        </w:tc>
      </w:tr>
      <w:tr>
        <w:tc>
          <w:tcPr>
            <w:tcW w:type="dxa" w:w="2835"/>
            <w:shd w:val="clear" w:color="auto" w:fill="F3EEDF"/>
          </w:tcPr>
          <w:p>
            <w:pPr>
              <w:spacing w:after="20"/>
              <w:jc w:val="left"/>
            </w:pPr>
            <w:r>
              <w:rPr>
                <w:rFonts w:ascii="Times New Roman" w:hAnsi="Times New Roman"/>
                <w:b/>
                <w:color w:val="0C3320"/>
                <w:sz w:val="18"/>
              </w:rPr>
              <w:t>2. Promissário(a) comprador(a)</w:t>
            </w:r>
          </w:p>
        </w:tc>
        <w:tc>
          <w:tcPr>
            <w:tcW w:type="dxa" w:w="6520"/>
          </w:tcPr>
          <w:p>
            <w:pPr>
              <w:spacing w:after="20"/>
              <w:jc w:val="left"/>
            </w:pPr>
            <w:r>
              <w:rPr>
                <w:rFonts w:ascii="Times New Roman" w:hAnsi="Times New Roman"/>
                <w:b w:val="0"/>
                <w:color w:val="1F4E9A"/>
                <w:sz w:val="18"/>
              </w:rPr>
              <w:t>{{comp_nome}}</w:t>
            </w:r>
            <w:r>
              <w:rPr>
                <w:rFonts w:ascii="Times New Roman" w:hAnsi="Times New Roman"/>
                <w:b w:val="0"/>
                <w:sz w:val="18"/>
              </w:rPr>
              <w:t xml:space="preserve"> — CPF </w:t>
            </w:r>
            <w:r>
              <w:rPr>
                <w:rFonts w:ascii="Times New Roman" w:hAnsi="Times New Roman"/>
                <w:b w:val="0"/>
                <w:color w:val="1F4E9A"/>
                <w:sz w:val="18"/>
              </w:rPr>
              <w:t>{{comp_cpf}}</w:t>
            </w:r>
            <w:r>
              <w:rPr>
                <w:rFonts w:ascii="Times New Roman" w:hAnsi="Times New Roman"/>
                <w:b w:val="0"/>
                <w:color w:val="1F4E9A"/>
                <w:sz w:val="18"/>
              </w:rPr>
              <w:t>{{comp2_resumo}}</w:t>
            </w:r>
          </w:p>
        </w:tc>
      </w:tr>
      <w:tr>
        <w:tc>
          <w:tcPr>
            <w:tcW w:type="dxa" w:w="2835"/>
            <w:shd w:val="clear" w:color="auto" w:fill="F3EEDF"/>
          </w:tcPr>
          <w:p>
            <w:pPr>
              <w:spacing w:after="20"/>
              <w:jc w:val="left"/>
            </w:pPr>
            <w:r>
              <w:rPr>
                <w:rFonts w:ascii="Times New Roman" w:hAnsi="Times New Roman"/>
                <w:b/>
                <w:color w:val="0C3320"/>
                <w:sz w:val="18"/>
              </w:rPr>
              <w:t>3. Gestora de vendas e corretores</w:t>
            </w:r>
          </w:p>
        </w:tc>
        <w:tc>
          <w:tcPr>
            <w:tcW w:type="dxa" w:w="6520"/>
          </w:tcPr>
          <w:p>
            <w:pPr>
              <w:spacing w:after="20"/>
              <w:jc w:val="left"/>
            </w:pPr>
            <w:r>
              <w:rPr>
                <w:rFonts w:ascii="Times New Roman" w:hAnsi="Times New Roman"/>
                <w:b w:val="0"/>
                <w:sz w:val="18"/>
              </w:rPr>
              <w:t xml:space="preserve">ROMATEC CONSULTORIA TOTAL — CNPJ 17.261.987/0001-09 — </w:t>
            </w:r>
            <w:r>
              <w:rPr>
                <w:rFonts w:ascii="Times New Roman" w:hAnsi="Times New Roman"/>
                <w:b/>
                <w:sz w:val="18"/>
              </w:rPr>
              <w:t xml:space="preserve">CRECI/MA </w:t>
            </w:r>
            <w:r>
              <w:rPr>
                <w:rFonts w:ascii="Times New Roman" w:hAnsi="Times New Roman"/>
                <w:b/>
                <w:color w:val="1F4E9A"/>
                <w:sz w:val="18"/>
              </w:rPr>
              <w:t>{{rom_creci_pj}}</w:t>
            </w:r>
            <w:r>
              <w:rPr>
                <w:rFonts w:ascii="Times New Roman" w:hAnsi="Times New Roman"/>
                <w:b w:val="0"/>
                <w:sz w:val="18"/>
              </w:rPr>
              <w:t xml:space="preserve"> (pessoa jurídica) · corretor responsável José Romário Pinto Bezerra, </w:t>
            </w:r>
            <w:r>
              <w:rPr>
                <w:rFonts w:ascii="Times New Roman" w:hAnsi="Times New Roman"/>
                <w:b/>
                <w:sz w:val="18"/>
              </w:rPr>
              <w:t xml:space="preserve">CRECI/MA </w:t>
            </w:r>
            <w:r>
              <w:rPr>
                <w:rFonts w:ascii="Times New Roman" w:hAnsi="Times New Roman"/>
                <w:b/>
                <w:color w:val="1F4E9A"/>
                <w:sz w:val="18"/>
              </w:rPr>
              <w:t>{{corr_creci}}</w:t>
            </w:r>
            <w:r>
              <w:rPr>
                <w:rFonts w:ascii="Times New Roman" w:hAnsi="Times New Roman"/>
                <w:b w:val="0"/>
                <w:sz w:val="18"/>
              </w:rPr>
              <w:t xml:space="preserve">, carteira válida até </w:t>
            </w:r>
            <w:r>
              <w:rPr>
                <w:rFonts w:ascii="Times New Roman" w:hAnsi="Times New Roman"/>
                <w:b w:val="0"/>
                <w:color w:val="1F4E9A"/>
                <w:sz w:val="18"/>
              </w:rPr>
              <w:t>{{corr_creci_validade}}</w:t>
            </w:r>
            <w:r>
              <w:rPr>
                <w:rFonts w:ascii="Times New Roman" w:hAnsi="Times New Roman"/>
                <w:b w:val="0"/>
                <w:sz w:val="18"/>
              </w:rPr>
              <w:t xml:space="preserve">, certidão de regularidade n.º </w:t>
            </w:r>
            <w:r>
              <w:rPr>
                <w:rFonts w:ascii="Times New Roman" w:hAnsi="Times New Roman"/>
                <w:b w:val="0"/>
                <w:color w:val="1F4E9A"/>
                <w:sz w:val="18"/>
              </w:rPr>
              <w:t>{{corr_certidao_codigo}}</w:t>
            </w:r>
            <w:r>
              <w:rPr>
                <w:rFonts w:ascii="Times New Roman" w:hAnsi="Times New Roman"/>
                <w:b w:val="0"/>
                <w:color w:val="1F4E9A"/>
                <w:sz w:val="18"/>
              </w:rPr>
              <w:t>{{corr_parceiro_resumo}}</w:t>
            </w:r>
          </w:p>
        </w:tc>
      </w:tr>
      <w:tr>
        <w:tc>
          <w:tcPr>
            <w:tcW w:type="dxa" w:w="2835"/>
            <w:shd w:val="clear" w:color="auto" w:fill="F3EEDF"/>
          </w:tcPr>
          <w:p>
            <w:pPr>
              <w:spacing w:after="20"/>
              <w:jc w:val="left"/>
            </w:pPr>
            <w:r>
              <w:rPr>
                <w:rFonts w:ascii="Times New Roman" w:hAnsi="Times New Roman"/>
                <w:b/>
                <w:color w:val="0C3320"/>
                <w:sz w:val="18"/>
              </w:rPr>
              <w:t>4. Unidade</w:t>
            </w:r>
          </w:p>
        </w:tc>
        <w:tc>
          <w:tcPr>
            <w:tcW w:type="dxa" w:w="6520"/>
          </w:tcPr>
          <w:p>
            <w:pPr>
              <w:spacing w:after="20"/>
              <w:jc w:val="left"/>
            </w:pPr>
            <w:r>
              <w:rPr>
                <w:rFonts w:ascii="Times New Roman" w:hAnsi="Times New Roman"/>
                <w:b w:val="0"/>
                <w:sz w:val="18"/>
              </w:rPr>
              <w:t xml:space="preserve">Chácara </w:t>
            </w:r>
            <w:r>
              <w:rPr>
                <w:rFonts w:ascii="Times New Roman" w:hAnsi="Times New Roman"/>
                <w:b/>
                <w:color w:val="1F4E9A"/>
                <w:sz w:val="18"/>
              </w:rPr>
              <w:t>{{lote_codigo}}</w:t>
            </w:r>
            <w:r>
              <w:rPr>
                <w:rFonts w:ascii="Times New Roman" w:hAnsi="Times New Roman"/>
                <w:b w:val="0"/>
                <w:sz w:val="18"/>
              </w:rPr>
              <w:t xml:space="preserve"> (Quadra </w:t>
            </w:r>
            <w:r>
              <w:rPr>
                <w:rFonts w:ascii="Times New Roman" w:hAnsi="Times New Roman"/>
                <w:b w:val="0"/>
                <w:color w:val="1F4E9A"/>
                <w:sz w:val="18"/>
              </w:rPr>
              <w:t>{{lote_quadra}}</w:t>
            </w:r>
            <w:r>
              <w:rPr>
                <w:rFonts w:ascii="Times New Roman" w:hAnsi="Times New Roman"/>
                <w:b w:val="0"/>
                <w:sz w:val="18"/>
              </w:rPr>
              <w:t xml:space="preserve">, Lote </w:t>
            </w:r>
            <w:r>
              <w:rPr>
                <w:rFonts w:ascii="Times New Roman" w:hAnsi="Times New Roman"/>
                <w:b w:val="0"/>
                <w:color w:val="1F4E9A"/>
                <w:sz w:val="18"/>
              </w:rPr>
              <w:t>{{lote_numero}}</w:t>
            </w:r>
            <w:r>
              <w:rPr>
                <w:rFonts w:ascii="Times New Roman" w:hAnsi="Times New Roman"/>
                <w:b w:val="0"/>
                <w:sz w:val="18"/>
              </w:rPr>
              <w:t xml:space="preserve">), área de </w:t>
            </w:r>
            <w:r>
              <w:rPr>
                <w:rFonts w:ascii="Times New Roman" w:hAnsi="Times New Roman"/>
                <w:b/>
                <w:color w:val="1F4E9A"/>
                <w:sz w:val="18"/>
              </w:rPr>
              <w:t>{{lote_area_m2}}</w:t>
            </w:r>
            <w:r>
              <w:rPr>
                <w:rFonts w:ascii="Times New Roman" w:hAnsi="Times New Roman"/>
                <w:b/>
                <w:sz w:val="18"/>
              </w:rPr>
              <w:t xml:space="preserve"> m²</w:t>
            </w:r>
            <w:r>
              <w:rPr>
                <w:rFonts w:ascii="Times New Roman" w:hAnsi="Times New Roman"/>
                <w:b w:val="0"/>
                <w:sz w:val="18"/>
              </w:rPr>
              <w:t xml:space="preserve"> (</w:t>
            </w:r>
            <w:r>
              <w:rPr>
                <w:rFonts w:ascii="Times New Roman" w:hAnsi="Times New Roman"/>
                <w:b w:val="0"/>
                <w:color w:val="1F4E9A"/>
                <w:sz w:val="18"/>
              </w:rPr>
              <w:t>{{lote_area_extenso}}</w:t>
            </w:r>
            <w:r>
              <w:rPr>
                <w:rFonts w:ascii="Times New Roman" w:hAnsi="Times New Roman"/>
                <w:b w:val="0"/>
                <w:sz w:val="18"/>
              </w:rPr>
              <w:t xml:space="preserve">), perímetro de </w:t>
            </w:r>
            <w:r>
              <w:rPr>
                <w:rFonts w:ascii="Times New Roman" w:hAnsi="Times New Roman"/>
                <w:b w:val="0"/>
                <w:color w:val="1F4E9A"/>
                <w:sz w:val="18"/>
              </w:rPr>
              <w:t>{{lote_perimetro_m}}</w:t>
            </w:r>
            <w:r>
              <w:rPr>
                <w:rFonts w:ascii="Times New Roman" w:hAnsi="Times New Roman"/>
                <w:b w:val="0"/>
                <w:sz w:val="18"/>
              </w:rPr>
              <w:t xml:space="preserve"> m, frente para a </w:t>
            </w:r>
            <w:r>
              <w:rPr>
                <w:rFonts w:ascii="Times New Roman" w:hAnsi="Times New Roman"/>
                <w:b w:val="0"/>
                <w:color w:val="1F4E9A"/>
                <w:sz w:val="18"/>
              </w:rPr>
              <w:t>{{lote_via_frente}}</w:t>
            </w:r>
          </w:p>
        </w:tc>
      </w:tr>
      <w:tr>
        <w:tc>
          <w:tcPr>
            <w:tcW w:type="dxa" w:w="2835"/>
            <w:shd w:val="clear" w:color="auto" w:fill="F3EEDF"/>
          </w:tcPr>
          <w:p>
            <w:pPr>
              <w:spacing w:after="20"/>
              <w:jc w:val="left"/>
            </w:pPr>
            <w:r>
              <w:rPr>
                <w:rFonts w:ascii="Times New Roman" w:hAnsi="Times New Roman"/>
                <w:b/>
                <w:color w:val="0C3320"/>
                <w:sz w:val="18"/>
              </w:rPr>
              <w:t>5. Matrícula</w:t>
            </w:r>
          </w:p>
        </w:tc>
        <w:tc>
          <w:tcPr>
            <w:tcW w:type="dxa" w:w="6520"/>
          </w:tcPr>
          <w:p>
            <w:pPr>
              <w:spacing w:after="20"/>
              <w:jc w:val="left"/>
            </w:pPr>
            <w:r>
              <w:rPr>
                <w:rFonts w:ascii="Times New Roman" w:hAnsi="Times New Roman"/>
                <w:b w:val="0"/>
                <w:sz w:val="18"/>
              </w:rPr>
              <w:t xml:space="preserve">Imóvel de origem: Matrícula n.º </w:t>
            </w:r>
            <w:r>
              <w:rPr>
                <w:rFonts w:ascii="Times New Roman" w:hAnsi="Times New Roman"/>
                <w:b/>
                <w:color w:val="1F4E9A"/>
                <w:sz w:val="18"/>
              </w:rPr>
              <w:t>{{emp_matricula_origem}}</w:t>
            </w:r>
            <w:r>
              <w:rPr>
                <w:rFonts w:ascii="Times New Roman" w:hAnsi="Times New Roman"/>
                <w:b w:val="0"/>
                <w:sz w:val="18"/>
              </w:rPr>
              <w:t xml:space="preserve">, </w:t>
            </w:r>
            <w:r>
              <w:rPr>
                <w:rFonts w:ascii="Times New Roman" w:hAnsi="Times New Roman"/>
                <w:b w:val="0"/>
                <w:color w:val="1F4E9A"/>
                <w:sz w:val="18"/>
              </w:rPr>
              <w:t>{{emp_matricula_livro_fls}}</w:t>
            </w:r>
            <w:r>
              <w:rPr>
                <w:rFonts w:ascii="Times New Roman" w:hAnsi="Times New Roman"/>
                <w:b w:val="0"/>
                <w:sz w:val="18"/>
              </w:rPr>
              <w:t xml:space="preserve">, </w:t>
            </w:r>
            <w:r>
              <w:rPr>
                <w:rFonts w:ascii="Times New Roman" w:hAnsi="Times New Roman"/>
                <w:b w:val="0"/>
                <w:color w:val="1F4E9A"/>
                <w:sz w:val="18"/>
              </w:rPr>
              <w:t>{{emp_cartorio_ri}}</w:t>
            </w:r>
            <w:r>
              <w:rPr>
                <w:rFonts w:ascii="Times New Roman" w:hAnsi="Times New Roman"/>
                <w:b w:val="0"/>
                <w:sz w:val="18"/>
              </w:rPr>
              <w:t xml:space="preserve"> · Matrícula do empreendimento: </w:t>
            </w:r>
            <w:r>
              <w:rPr>
                <w:rFonts w:ascii="Times New Roman" w:hAnsi="Times New Roman"/>
                <w:b/>
                <w:color w:val="1F4E9A"/>
                <w:sz w:val="18"/>
              </w:rPr>
              <w:t>{{emp_matricula_empreendimento}}</w:t>
            </w:r>
            <w:r>
              <w:rPr>
                <w:rFonts w:ascii="Times New Roman" w:hAnsi="Times New Roman"/>
                <w:b w:val="0"/>
                <w:sz w:val="18"/>
              </w:rPr>
              <w:t xml:space="preserve"> · Matrícula individual da unidade: </w:t>
            </w:r>
            <w:r>
              <w:rPr>
                <w:rFonts w:ascii="Times New Roman" w:hAnsi="Times New Roman"/>
                <w:b/>
                <w:color w:val="1F4E9A"/>
                <w:sz w:val="18"/>
              </w:rPr>
              <w:t>{{lote_matricula}}</w:t>
            </w:r>
          </w:p>
        </w:tc>
      </w:tr>
      <w:tr>
        <w:tc>
          <w:tcPr>
            <w:tcW w:type="dxa" w:w="2835"/>
            <w:shd w:val="clear" w:color="auto" w:fill="F3EEDF"/>
          </w:tcPr>
          <w:p>
            <w:pPr>
              <w:spacing w:after="20"/>
              <w:jc w:val="left"/>
            </w:pPr>
            <w:r>
              <w:rPr>
                <w:rFonts w:ascii="Times New Roman" w:hAnsi="Times New Roman"/>
                <w:b/>
                <w:color w:val="0C3320"/>
                <w:sz w:val="18"/>
              </w:rPr>
              <w:t>6. Registro do parcelamento</w:t>
            </w:r>
          </w:p>
        </w:tc>
        <w:tc>
          <w:tcPr>
            <w:tcW w:type="dxa" w:w="6520"/>
          </w:tcPr>
          <w:p>
            <w:pPr>
              <w:spacing w:after="20"/>
              <w:jc w:val="left"/>
            </w:pPr>
            <w:r>
              <w:rPr>
                <w:rFonts w:ascii="Times New Roman" w:hAnsi="Times New Roman"/>
                <w:b w:val="0"/>
                <w:sz w:val="18"/>
              </w:rPr>
              <w:t xml:space="preserve">Registro </w:t>
            </w:r>
            <w:r>
              <w:rPr>
                <w:rFonts w:ascii="Times New Roman" w:hAnsi="Times New Roman"/>
                <w:b/>
                <w:color w:val="1F4E9A"/>
                <w:sz w:val="18"/>
              </w:rPr>
              <w:t>{{emp_registro_parcelamento}}</w:t>
            </w:r>
            <w:r>
              <w:rPr>
                <w:rFonts w:ascii="Times New Roman" w:hAnsi="Times New Roman"/>
                <w:b w:val="0"/>
                <w:sz w:val="18"/>
              </w:rPr>
              <w:t xml:space="preserve">, em </w:t>
            </w:r>
            <w:r>
              <w:rPr>
                <w:rFonts w:ascii="Times New Roman" w:hAnsi="Times New Roman"/>
                <w:b w:val="0"/>
                <w:color w:val="1F4E9A"/>
                <w:sz w:val="18"/>
              </w:rPr>
              <w:t>{{emp_registro_data}}</w:t>
            </w:r>
            <w:r>
              <w:rPr>
                <w:rFonts w:ascii="Times New Roman" w:hAnsi="Times New Roman"/>
                <w:b w:val="0"/>
                <w:sz w:val="18"/>
              </w:rPr>
              <w:t xml:space="preserve"> · Aprovação municipal: </w:t>
            </w:r>
            <w:r>
              <w:rPr>
                <w:rFonts w:ascii="Times New Roman" w:hAnsi="Times New Roman"/>
                <w:b/>
                <w:color w:val="1F4E9A"/>
                <w:sz w:val="18"/>
              </w:rPr>
              <w:t>{{emp_aprovacao_numero}}</w:t>
            </w:r>
            <w:r>
              <w:rPr>
                <w:rFonts w:ascii="Times New Roman" w:hAnsi="Times New Roman"/>
                <w:b w:val="0"/>
                <w:sz w:val="18"/>
              </w:rPr>
              <w:t xml:space="preserve">, de </w:t>
            </w:r>
            <w:r>
              <w:rPr>
                <w:rFonts w:ascii="Times New Roman" w:hAnsi="Times New Roman"/>
                <w:b w:val="0"/>
                <w:color w:val="1F4E9A"/>
                <w:sz w:val="18"/>
              </w:rPr>
              <w:t>{{emp_aprovacao_data}}</w:t>
            </w:r>
            <w:r>
              <w:rPr>
                <w:rFonts w:ascii="Times New Roman" w:hAnsi="Times New Roman"/>
                <w:b w:val="0"/>
                <w:sz w:val="18"/>
              </w:rPr>
              <w:t xml:space="preserve"> · Lei Municipal n.º </w:t>
            </w:r>
            <w:r>
              <w:rPr>
                <w:rFonts w:ascii="Times New Roman" w:hAnsi="Times New Roman"/>
                <w:b/>
                <w:color w:val="1F4E9A"/>
                <w:sz w:val="18"/>
              </w:rPr>
              <w:t>{{emp_lei_municipal}}</w:t>
            </w:r>
          </w:p>
        </w:tc>
      </w:tr>
      <w:tr>
        <w:tc>
          <w:tcPr>
            <w:tcW w:type="dxa" w:w="2835"/>
            <w:shd w:val="clear" w:color="auto" w:fill="F3EEDF"/>
          </w:tcPr>
          <w:p>
            <w:pPr>
              <w:spacing w:after="20"/>
              <w:jc w:val="left"/>
            </w:pPr>
            <w:r>
              <w:rPr>
                <w:rFonts w:ascii="Times New Roman" w:hAnsi="Times New Roman"/>
                <w:b/>
                <w:color w:val="0C3320"/>
                <w:sz w:val="18"/>
              </w:rPr>
              <w:t>7. Licenciamento ambiental</w:t>
            </w:r>
          </w:p>
        </w:tc>
        <w:tc>
          <w:tcPr>
            <w:tcW w:type="dxa" w:w="6520"/>
          </w:tcPr>
          <w:p>
            <w:pPr>
              <w:spacing w:after="20"/>
              <w:jc w:val="left"/>
            </w:pPr>
            <w:r>
              <w:rPr>
                <w:rFonts w:ascii="Times New Roman" w:hAnsi="Times New Roman"/>
                <w:b/>
                <w:color w:val="1F4E9A"/>
                <w:sz w:val="18"/>
              </w:rPr>
              <w:t>{{emp_licenca_ambiental}}</w:t>
            </w:r>
            <w:r>
              <w:rPr>
                <w:rFonts w:ascii="Times New Roman" w:hAnsi="Times New Roman"/>
                <w:b w:val="0"/>
                <w:sz w:val="18"/>
              </w:rPr>
              <w:t xml:space="preserve"> · Processo </w:t>
            </w:r>
            <w:r>
              <w:rPr>
                <w:rFonts w:ascii="Times New Roman" w:hAnsi="Times New Roman"/>
                <w:b/>
                <w:color w:val="1F4E9A"/>
                <w:sz w:val="18"/>
              </w:rPr>
              <w:t>{{emp_licenca_processo}}</w:t>
            </w:r>
            <w:r>
              <w:rPr>
                <w:rFonts w:ascii="Times New Roman" w:hAnsi="Times New Roman"/>
                <w:b w:val="0"/>
                <w:sz w:val="18"/>
              </w:rPr>
              <w:t xml:space="preserve"> · </w:t>
            </w:r>
            <w:r>
              <w:rPr>
                <w:rFonts w:ascii="Times New Roman" w:hAnsi="Times New Roman"/>
                <w:b w:val="0"/>
                <w:color w:val="1F4E9A"/>
                <w:sz w:val="18"/>
              </w:rPr>
              <w:t>{{emp_licenca_orgao}}</w:t>
            </w:r>
            <w:r>
              <w:rPr>
                <w:rFonts w:ascii="Times New Roman" w:hAnsi="Times New Roman"/>
                <w:b w:val="0"/>
                <w:sz w:val="18"/>
              </w:rPr>
              <w:t xml:space="preserve"> · validade até </w:t>
            </w:r>
            <w:r>
              <w:rPr>
                <w:rFonts w:ascii="Times New Roman" w:hAnsi="Times New Roman"/>
                <w:b/>
                <w:color w:val="1F4E9A"/>
                <w:sz w:val="18"/>
              </w:rPr>
              <w:t>{{emp_licenca_validade}}</w:t>
            </w:r>
          </w:p>
        </w:tc>
      </w:tr>
      <w:tr>
        <w:tc>
          <w:tcPr>
            <w:tcW w:type="dxa" w:w="2835"/>
            <w:shd w:val="clear" w:color="auto" w:fill="F3EEDF"/>
          </w:tcPr>
          <w:p>
            <w:pPr>
              <w:spacing w:after="20"/>
              <w:jc w:val="left"/>
            </w:pPr>
            <w:r>
              <w:rPr>
                <w:rFonts w:ascii="Times New Roman" w:hAnsi="Times New Roman"/>
                <w:b/>
                <w:color w:val="0C3320"/>
                <w:sz w:val="18"/>
              </w:rPr>
              <w:t>8. Preço</w:t>
            </w:r>
          </w:p>
        </w:tc>
        <w:tc>
          <w:tcPr>
            <w:tcW w:type="dxa" w:w="6520"/>
          </w:tcPr>
          <w:p>
            <w:pPr>
              <w:spacing w:after="20"/>
              <w:jc w:val="left"/>
            </w:pPr>
            <w:r>
              <w:rPr>
                <w:rFonts w:ascii="Times New Roman" w:hAnsi="Times New Roman"/>
                <w:b w:val="0"/>
                <w:sz w:val="18"/>
              </w:rPr>
              <w:t xml:space="preserve">Preço de tabela (pagamento parcelado): </w:t>
            </w:r>
            <w:r>
              <w:rPr>
                <w:rFonts w:ascii="Times New Roman" w:hAnsi="Times New Roman"/>
                <w:b/>
                <w:sz w:val="18"/>
              </w:rPr>
              <w:t xml:space="preserve">R$ </w:t>
            </w:r>
            <w:r>
              <w:rPr>
                <w:rFonts w:ascii="Times New Roman" w:hAnsi="Times New Roman"/>
                <w:b/>
                <w:color w:val="1F4E9A"/>
                <w:sz w:val="18"/>
              </w:rPr>
              <w:t>{{plano_preco_tabela}}</w:t>
            </w:r>
            <w:r>
              <w:rPr>
                <w:rFonts w:ascii="Times New Roman" w:hAnsi="Times New Roman"/>
                <w:b w:val="0"/>
                <w:sz w:val="18"/>
              </w:rPr>
              <w:t xml:space="preserve"> (</w:t>
            </w:r>
            <w:r>
              <w:rPr>
                <w:rFonts w:ascii="Times New Roman" w:hAnsi="Times New Roman"/>
                <w:b w:val="0"/>
                <w:color w:val="1F4E9A"/>
                <w:sz w:val="18"/>
              </w:rPr>
              <w:t>{{plano_preco_tabela_extenso}}</w:t>
            </w:r>
            <w:r>
              <w:rPr>
                <w:rFonts w:ascii="Times New Roman" w:hAnsi="Times New Roman"/>
                <w:b w:val="0"/>
                <w:sz w:val="18"/>
              </w:rPr>
              <w:t xml:space="preserve">) · Preço para pagamento integral à vista: R$ </w:t>
            </w:r>
            <w:r>
              <w:rPr>
                <w:rFonts w:ascii="Times New Roman" w:hAnsi="Times New Roman"/>
                <w:b w:val="0"/>
                <w:color w:val="1F4E9A"/>
                <w:sz w:val="18"/>
              </w:rPr>
              <w:t>{{plano_preco_avista}}</w:t>
            </w:r>
          </w:p>
        </w:tc>
      </w:tr>
      <w:tr>
        <w:tc>
          <w:tcPr>
            <w:tcW w:type="dxa" w:w="2835"/>
            <w:shd w:val="clear" w:color="auto" w:fill="F3EEDF"/>
          </w:tcPr>
          <w:p>
            <w:pPr>
              <w:spacing w:after="20"/>
              <w:jc w:val="left"/>
            </w:pPr>
            <w:r>
              <w:rPr>
                <w:rFonts w:ascii="Times New Roman" w:hAnsi="Times New Roman"/>
                <w:b/>
                <w:color w:val="0C3320"/>
                <w:sz w:val="18"/>
              </w:rPr>
              <w:t>9. Entrada (sinal e princípio de pagamento)</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{{plano_entrada_valor}}</w:t>
            </w:r>
            <w:r>
              <w:rPr>
                <w:rFonts w:ascii="Times New Roman" w:hAnsi="Times New Roman"/>
                <w:b w:val="0"/>
                <w:sz w:val="18"/>
              </w:rPr>
              <w:t xml:space="preserve"> (</w:t>
            </w:r>
            <w:r>
              <w:rPr>
                <w:rFonts w:ascii="Times New Roman" w:hAnsi="Times New Roman"/>
                <w:b w:val="0"/>
                <w:color w:val="1F4E9A"/>
                <w:sz w:val="18"/>
              </w:rPr>
              <w:t>{{plano_entrada_percentual}}</w:t>
            </w:r>
            <w:r>
              <w:rPr>
                <w:rFonts w:ascii="Times New Roman" w:hAnsi="Times New Roman"/>
                <w:b w:val="0"/>
                <w:sz w:val="18"/>
              </w:rPr>
              <w:t xml:space="preserve"> do preço) — </w:t>
            </w:r>
            <w:r>
              <w:rPr>
                <w:rFonts w:ascii="Times New Roman" w:hAnsi="Times New Roman"/>
                <w:b w:val="0"/>
                <w:color w:val="1F4E9A"/>
                <w:sz w:val="18"/>
              </w:rPr>
              <w:t>{{plano_entrada_forma}}</w:t>
            </w:r>
          </w:p>
        </w:tc>
      </w:tr>
      <w:tr>
        <w:tc>
          <w:tcPr>
            <w:tcW w:type="dxa" w:w="2835"/>
            <w:shd w:val="clear" w:color="auto" w:fill="F3EEDF"/>
          </w:tcPr>
          <w:p>
            <w:pPr>
              <w:spacing w:after="20"/>
              <w:jc w:val="left"/>
            </w:pPr>
            <w:r>
              <w:rPr>
                <w:rFonts w:ascii="Times New Roman" w:hAnsi="Times New Roman"/>
                <w:b/>
                <w:color w:val="0C3320"/>
                <w:sz w:val="18"/>
              </w:rPr>
              <w:t>10. Saldo</w:t>
            </w:r>
          </w:p>
        </w:tc>
        <w:tc>
          <w:tcPr>
            <w:tcW w:type="dxa" w:w="6520"/>
          </w:tcPr>
          <w:p>
            <w:pPr>
              <w:spacing w:after="20"/>
              <w:jc w:val="left"/>
            </w:pPr>
            <w:r>
              <w:rPr>
                <w:rFonts w:ascii="Times New Roman" w:hAnsi="Times New Roman"/>
                <w:b/>
                <w:sz w:val="18"/>
              </w:rPr>
              <w:t xml:space="preserve">R$ {{plano_saldo_valor}} em {{plano_saldo_qtd}} parcelas mensais, fixas e consecutivas de R$ {{plano_saldo_parcela}}, vencendo a primeira em {{plano_saldo_venc1}} — Sistema de Amortização Francês (Tabela Price) · {{plano_condicao_titulo}}</w:t>
            </w:r>
            <w:r>
              <w:rPr>
                <w:rFonts w:ascii="Times New Roman" w:hAnsi="Times New Roman"/>
                <w:b/>
                <w:color w:val="1F4E9A"/>
                <w:sz w:val="18"/>
              </w:rPr>
              <w:t/>
            </w:r>
            <w:r>
              <w:rPr>
                <w:rFonts w:ascii="Times New Roman" w:hAnsi="Times New Roman"/>
                <w:b w:val="0"/>
                <w:sz w:val="18"/>
              </w:rPr>
              <w:t/>
            </w:r>
            <w:r>
              <w:rPr>
                <w:rFonts w:ascii="Times New Roman" w:hAnsi="Times New Roman"/>
                <w:b/>
                <w:color w:val="1F4E9A"/>
                <w:sz w:val="18"/>
              </w:rPr>
              <w:t/>
            </w:r>
            <w:r>
              <w:rPr>
                <w:rFonts w:ascii="Times New Roman" w:hAnsi="Times New Roman"/>
                <w:b/>
                <w:sz w:val="18"/>
              </w:rPr>
              <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p>
        </w:tc>
      </w:tr>
      <w:tr>
        <w:tc>
          <w:tcPr>
            <w:tcW w:type="dxa" w:w="2835"/>
            <w:shd w:val="clear" w:color="auto" w:fill="F3EEDF"/>
          </w:tcPr>
          <w:p>
            <w:pPr>
              <w:spacing w:after="20"/>
              <w:jc w:val="left"/>
            </w:pPr>
            <w:r>
              <w:rPr>
                <w:rFonts w:ascii="Times New Roman" w:hAnsi="Times New Roman"/>
                <w:b/>
                <w:color w:val="0C3320"/>
                <w:sz w:val="18"/>
              </w:rPr>
              <w:t>11. Juros e correção</w:t>
            </w:r>
          </w:p>
        </w:tc>
        <w:tc>
          <w:tcPr>
            <w:tcW w:type="dxa" w:w="6520"/>
          </w:tcPr>
          <w:p>
            <w:pPr>
              <w:spacing w:after="20"/>
              <w:jc w:val="left"/>
            </w:pPr>
            <w:r>
              <w:rPr>
                <w:rFonts w:ascii="Times New Roman" w:hAnsi="Times New Roman"/>
                <w:b w:val="0"/>
                <w:sz w:val="18"/>
              </w:rPr>
              <w:t xml:space="preserve">Juros remuneratórios prefixados de </w:t>
            </w:r>
            <w:r>
              <w:rPr>
                <w:rFonts w:ascii="Times New Roman" w:hAnsi="Times New Roman"/>
                <w:b/>
                <w:color w:val="1F4E9A"/>
                <w:sz w:val="18"/>
              </w:rPr>
              <w:t>{{plano_taxa_aa}}</w:t>
            </w:r>
            <w:r>
              <w:rPr>
                <w:rFonts w:ascii="Times New Roman" w:hAnsi="Times New Roman"/>
                <w:b/>
                <w:sz w:val="18"/>
              </w:rPr>
              <w:t xml:space="preserve"> ao ano, efetivos</w:t>
            </w:r>
            <w:r>
              <w:rPr>
                <w:rFonts w:ascii="Times New Roman" w:hAnsi="Times New Roman"/>
                <w:b w:val="0"/>
                <w:sz w:val="18"/>
              </w:rPr>
              <w:t xml:space="preserve"> (taxa mensal equivalente de </w:t>
            </w:r>
            <w:r>
              <w:rPr>
                <w:rFonts w:ascii="Times New Roman" w:hAnsi="Times New Roman"/>
                <w:b w:val="0"/>
                <w:color w:val="1F4E9A"/>
                <w:sz w:val="18"/>
              </w:rPr>
              <w:t>{{plano_taxa_am}}</w:t>
            </w:r>
            <w:r>
              <w:rPr>
                <w:rFonts w:ascii="Times New Roman" w:hAnsi="Times New Roman"/>
                <w:b w:val="0"/>
                <w:sz w:val="18"/>
              </w:rPr>
              <w:t xml:space="preserve">), já embutidos nas parcelas. </w:t>
            </w:r>
            <w:r>
              <w:rPr>
                <w:rFonts w:ascii="Times New Roman" w:hAnsi="Times New Roman"/>
                <w:b/>
                <w:sz w:val="18"/>
              </w:rPr>
              <w:t>Parcelas fixas, sem correção monetária</w:t>
            </w:r>
            <w:r>
              <w:rPr>
                <w:rFonts w:ascii="Times New Roman" w:hAnsi="Times New Roman"/>
                <w:b w:val="0"/>
                <w:sz w:val="18"/>
              </w:rPr>
              <w:t xml:space="preserve"> enquanto adimplidas. Custo efetivo total: </w:t>
            </w:r>
            <w:r>
              <w:rPr>
                <w:rFonts w:ascii="Times New Roman" w:hAnsi="Times New Roman"/>
                <w:b w:val="0"/>
                <w:color w:val="1F4E9A"/>
                <w:sz w:val="18"/>
              </w:rPr>
              <w:t>{{plano_cet_aa}}</w:t>
            </w:r>
            <w:r>
              <w:rPr>
                <w:rFonts w:ascii="Times New Roman" w:hAnsi="Times New Roman"/>
                <w:b w:val="0"/>
                <w:sz w:val="18"/>
              </w:rPr>
              <w:t xml:space="preserve"> ao ano</w:t>
            </w:r>
          </w:p>
        </w:tc>
      </w:tr>
      <w:tr>
        <w:tc>
          <w:tcPr>
            <w:tcW w:type="dxa" w:w="2835"/>
            <w:shd w:val="clear" w:color="auto" w:fill="F3EEDF"/>
          </w:tcPr>
          <w:p>
            <w:pPr>
              <w:spacing w:after="20"/>
              <w:jc w:val="left"/>
            </w:pPr>
            <w:r>
              <w:rPr>
                <w:rFonts w:ascii="Times New Roman" w:hAnsi="Times New Roman"/>
                <w:b/>
                <w:color w:val="0C3320"/>
                <w:sz w:val="18"/>
              </w:rPr>
              <w:t>12. Total a pagar</w:t>
            </w:r>
          </w:p>
        </w:tc>
        <w:tc>
          <w:tcPr>
            <w:tcW w:type="dxa" w:w="6520"/>
          </w:tcPr>
          <w:p>
            <w:pPr>
              <w:spacing w:after="20"/>
              <w:jc w:val="left"/>
            </w:pPr>
            <w:r>
              <w:rPr>
                <w:rFonts w:ascii="Times New Roman" w:hAnsi="Times New Roman"/>
                <w:b w:val="0"/>
                <w:sz w:val="18"/>
              </w:rPr>
              <w:t xml:space="preserve">R$ </w:t>
            </w:r>
            <w:r>
              <w:rPr>
                <w:rFonts w:ascii="Times New Roman" w:hAnsi="Times New Roman"/>
                <w:b w:val="0"/>
                <w:color w:val="1F4E9A"/>
                <w:sz w:val="18"/>
              </w:rPr>
              <w:t>{{plano_total_pagar}}</w:t>
            </w:r>
            <w:r>
              <w:rPr>
                <w:rFonts w:ascii="Times New Roman" w:hAnsi="Times New Roman"/>
                <w:b w:val="0"/>
                <w:sz w:val="18"/>
              </w:rPr>
              <w:t xml:space="preserve"> · juros totais: R$ </w:t>
            </w:r>
            <w:r>
              <w:rPr>
                <w:rFonts w:ascii="Times New Roman" w:hAnsi="Times New Roman"/>
                <w:b w:val="0"/>
                <w:color w:val="1F4E9A"/>
                <w:sz w:val="18"/>
              </w:rPr>
              <w:t>{{plano_total_juros}}</w:t>
            </w:r>
            <w:r>
              <w:rPr>
                <w:rFonts w:ascii="Times New Roman" w:hAnsi="Times New Roman"/>
                <w:b w:val="0"/>
                <w:sz w:val="18"/>
              </w:rPr>
              <w:t xml:space="preserve"> · diferença em relação ao preço à vista: R$ </w:t>
            </w:r>
            <w:r>
              <w:rPr>
                <w:rFonts w:ascii="Times New Roman" w:hAnsi="Times New Roman"/>
                <w:b w:val="0"/>
                <w:color w:val="1F4E9A"/>
                <w:sz w:val="18"/>
              </w:rPr>
              <w:t>{{plano_diferenca_avista}}</w:t>
            </w:r>
          </w:p>
        </w:tc>
      </w:tr>
      <w:tr>
        <w:tc>
          <w:tcPr>
            <w:tcW w:type="dxa" w:w="2835"/>
            <w:shd w:val="clear" w:color="auto" w:fill="F3EEDF"/>
          </w:tcPr>
          <w:p>
            <w:pPr>
              <w:spacing w:after="20"/>
              <w:jc w:val="left"/>
            </w:pPr>
            <w:r>
              <w:rPr>
                <w:rFonts w:ascii="Times New Roman" w:hAnsi="Times New Roman"/>
                <w:b/>
                <w:color w:val="0C3320"/>
                <w:sz w:val="18"/>
              </w:rPr>
              <w:t>13. Mora</w:t>
            </w:r>
          </w:p>
        </w:tc>
        <w:tc>
          <w:tcPr>
            <w:tcW w:type="dxa" w:w="6520"/>
          </w:tcPr>
          <w:p>
            <w:pPr>
              <w:spacing w:after="20"/>
              <w:jc w:val="left"/>
            </w:pPr>
            <w:r>
              <w:rPr>
                <w:rFonts w:ascii="Times New Roman" w:hAnsi="Times New Roman"/>
                <w:b w:val="0"/>
                <w:sz w:val="18"/>
              </w:rPr>
              <w:t>Multa de 2%, juros de mora de 1% ao mês pro rata die e correção pelo IPCA/IBGE sobre a parcela em atraso (Cláusula 7ª)</w:t>
            </w:r>
          </w:p>
        </w:tc>
      </w:tr>
      <w:tr>
        <w:tc>
          <w:tcPr>
            <w:tcW w:type="dxa" w:w="2835"/>
            <w:shd w:val="clear" w:color="auto" w:fill="F3EEDF"/>
          </w:tcPr>
          <w:p>
            <w:pPr>
              <w:spacing w:after="20"/>
              <w:jc w:val="left"/>
            </w:pPr>
            <w:r>
              <w:rPr>
                <w:rFonts w:ascii="Times New Roman" w:hAnsi="Times New Roman"/>
                <w:b/>
                <w:color w:val="0C3320"/>
                <w:sz w:val="18"/>
              </w:rPr>
              <w:t>14. Corretagem</w:t>
            </w:r>
          </w:p>
        </w:tc>
        <w:tc>
          <w:tcPr>
            <w:tcW w:type="dxa" w:w="6520"/>
          </w:tcPr>
          <w:p>
            <w:pPr>
              <w:spacing w:after="20"/>
              <w:jc w:val="left"/>
            </w:pPr>
            <w:r>
              <w:rPr>
                <w:rFonts w:ascii="Times New Roman" w:hAnsi="Times New Roman"/>
                <w:b/>
                <w:sz w:val="18"/>
              </w:rPr>
              <w:t xml:space="preserve">R$ {{com_valor}} ({{com_percentual}} do preço de tabela), paga pela PROMITENTE VENDEDORA e já incluída no preço, à beneficiária {{com_beneficiario}}, retida integralmente no pagamento da entrada do ato (Cláusula 19ª); dela, {{intermed_comissao_pct}} (R$ {{intermed_comissao_valor}}) remuneram o(a) corretor(a) intermediador(a), pagos no ato do sinal e não restituíveis na desistência do(a) COMPRADOR(A) (Cláusula 19.1.2)</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rPr>
              <w:t/>
            </w:r>
          </w:p>
        </w:tc>
      </w:tr>
      <w:tr>
        <w:tc>
          <w:tcPr>
            <w:tcW w:type="dxa" w:w="2835"/>
            <w:shd w:val="clear" w:color="auto" w:fill="F3EEDF"/>
          </w:tcPr>
          <w:p>
            <w:pPr>
              <w:spacing w:after="20"/>
              <w:jc w:val="left"/>
            </w:pPr>
            <w:r>
              <w:rPr>
                <w:rFonts w:ascii="Times New Roman" w:hAnsi="Times New Roman"/>
                <w:b/>
                <w:color w:val="0C3320"/>
                <w:sz w:val="18"/>
              </w:rPr>
              <w:t>15. Desfazimento</w:t>
            </w:r>
          </w:p>
        </w:tc>
        <w:tc>
          <w:tcPr>
            <w:tcW w:type="dxa" w:w="6520"/>
          </w:tcPr>
          <w:p>
            <w:pPr>
              <w:spacing w:after="20"/>
              <w:jc w:val="left"/>
            </w:pPr>
            <w:r>
              <w:rPr>
                <w:rFonts w:ascii="Times New Roman" w:hAnsi="Times New Roman"/>
                <w:b w:val="0"/>
                <w:sz w:val="18"/>
              </w:rPr>
              <w:t>Retenções da Lei n.º 6.766/1979, art. 32-A: fruição de 0,75% ao mês, cláusula penal de até 10% do valor atualizado, encargos, tributos, contribuições associativas e corretagem (Cláusulas 8ª e 9ª)</w:t>
            </w:r>
          </w:p>
        </w:tc>
      </w:tr>
      <w:tr>
        <w:tc>
          <w:tcPr>
            <w:tcW w:type="dxa" w:w="2835"/>
            <w:shd w:val="clear" w:color="auto" w:fill="F3EEDF"/>
          </w:tcPr>
          <w:p>
            <w:pPr>
              <w:spacing w:after="20"/>
              <w:jc w:val="left"/>
            </w:pPr>
            <w:r>
              <w:rPr>
                <w:rFonts w:ascii="Times New Roman" w:hAnsi="Times New Roman"/>
                <w:b/>
                <w:color w:val="0C3320"/>
                <w:sz w:val="18"/>
              </w:rPr>
              <w:t>16. Obras de infraestrutura</w:t>
            </w:r>
          </w:p>
        </w:tc>
        <w:tc>
          <w:tcPr>
            <w:tcW w:type="dxa" w:w="6520"/>
          </w:tcPr>
          <w:p>
            <w:pPr>
              <w:spacing w:after="20"/>
              <w:jc w:val="left"/>
            </w:pPr>
            <w:r>
              <w:rPr>
                <w:rFonts w:ascii="Times New Roman" w:hAnsi="Times New Roman"/>
                <w:b w:val="0"/>
                <w:sz w:val="18"/>
              </w:rPr>
              <w:t xml:space="preserve">Prazo de </w:t>
            </w:r>
            <w:r>
              <w:rPr>
                <w:rFonts w:ascii="Times New Roman" w:hAnsi="Times New Roman"/>
                <w:b/>
                <w:color w:val="1F4E9A"/>
                <w:sz w:val="18"/>
              </w:rPr>
              <w:t>{{emp_prazo_obras_meses}}</w:t>
            </w:r>
            <w:r>
              <w:rPr>
                <w:rFonts w:ascii="Times New Roman" w:hAnsi="Times New Roman"/>
                <w:b/>
                <w:sz w:val="18"/>
              </w:rPr>
              <w:t xml:space="preserve"> meses</w:t>
            </w:r>
            <w:r>
              <w:rPr>
                <w:rFonts w:ascii="Times New Roman" w:hAnsi="Times New Roman"/>
                <w:b w:val="0"/>
                <w:sz w:val="18"/>
              </w:rPr>
              <w:t xml:space="preserve">, contados da expedição da </w:t>
            </w:r>
            <w:r>
              <w:rPr>
                <w:rFonts w:ascii="Times New Roman" w:hAnsi="Times New Roman"/>
                <w:b/>
                <w:sz w:val="18"/>
              </w:rPr>
              <w:t xml:space="preserve">Licença de Instalação n.º </w:t>
            </w:r>
            <w:r>
              <w:rPr>
                <w:rFonts w:ascii="Times New Roman" w:hAnsi="Times New Roman"/>
                <w:b/>
                <w:color w:val="1F4E9A"/>
                <w:sz w:val="18"/>
              </w:rPr>
              <w:t>{{emp_li_numero}}</w:t>
            </w:r>
            <w:r>
              <w:rPr>
                <w:rFonts w:ascii="Times New Roman" w:hAnsi="Times New Roman"/>
                <w:b w:val="0"/>
                <w:sz w:val="18"/>
              </w:rPr>
              <w:t xml:space="preserve">, de </w:t>
            </w:r>
            <w:r>
              <w:rPr>
                <w:rFonts w:ascii="Times New Roman" w:hAnsi="Times New Roman"/>
                <w:b w:val="0"/>
                <w:color w:val="1F4E9A"/>
                <w:sz w:val="18"/>
              </w:rPr>
              <w:t>{{emp_li_data}}</w:t>
            </w:r>
            <w:r>
              <w:rPr>
                <w:rFonts w:ascii="Times New Roman" w:hAnsi="Times New Roman"/>
                <w:b w:val="0"/>
                <w:sz w:val="18"/>
              </w:rPr>
              <w:t xml:space="preserve">, prorrogável </w:t>
            </w:r>
            <w:r>
              <w:rPr>
                <w:rFonts w:ascii="Times New Roman" w:hAnsi="Times New Roman"/>
                <w:b/>
                <w:sz w:val="18"/>
              </w:rPr>
              <w:t xml:space="preserve">uma única vez por até </w:t>
            </w:r>
            <w:r>
              <w:rPr>
                <w:rFonts w:ascii="Times New Roman" w:hAnsi="Times New Roman"/>
                <w:b/>
                <w:color w:val="1F4E9A"/>
                <w:sz w:val="18"/>
              </w:rPr>
              <w:t>{{emp_prorrogacao_meses}}</w:t>
            </w:r>
            <w:r>
              <w:rPr>
                <w:rFonts w:ascii="Times New Roman" w:hAnsi="Times New Roman"/>
                <w:b/>
                <w:sz w:val="18"/>
              </w:rPr>
              <w:t xml:space="preserve"> meses</w:t>
            </w:r>
            <w:r>
              <w:rPr>
                <w:rFonts w:ascii="Times New Roman" w:hAnsi="Times New Roman"/>
                <w:b w:val="0"/>
                <w:sz w:val="18"/>
              </w:rPr>
              <w:t xml:space="preserve"> (total máximo de 48 meses — Lei n.º 6.766/1979, art. 18, V) · termo final previsto: </w:t>
            </w:r>
            <w:r>
              <w:rPr>
                <w:rFonts w:ascii="Times New Roman" w:hAnsi="Times New Roman"/>
                <w:b/>
                <w:color w:val="1F4E9A"/>
                <w:sz w:val="18"/>
              </w:rPr>
              <w:t>{{emp_obras_termo_final}}</w:t>
            </w:r>
            <w:r>
              <w:rPr>
                <w:rFonts w:ascii="Times New Roman" w:hAnsi="Times New Roman"/>
                <w:b w:val="0"/>
                <w:sz w:val="18"/>
              </w:rPr>
              <w:t xml:space="preserve"> · protocolo do pedido de termo de vistoria: </w:t>
            </w:r>
            <w:r>
              <w:rPr>
                <w:rFonts w:ascii="Times New Roman" w:hAnsi="Times New Roman"/>
                <w:b w:val="0"/>
                <w:color w:val="1F4E9A"/>
                <w:sz w:val="18"/>
              </w:rPr>
              <w:t>{{emp_obras_protocolo_vistoria}}</w:t>
            </w:r>
          </w:p>
        </w:tc>
      </w:tr>
      <w:tr>
        <w:tc>
          <w:tcPr>
            <w:tcW w:type="dxa" w:w="2835"/>
            <w:shd w:val="clear" w:color="auto" w:fill="F3EEDF"/>
          </w:tcPr>
          <w:p>
            <w:pPr>
              <w:spacing w:after="20"/>
              <w:jc w:val="left"/>
            </w:pPr>
            <w:r>
              <w:rPr>
                <w:rFonts w:ascii="Times New Roman" w:hAnsi="Times New Roman"/>
                <w:b/>
                <w:color w:val="0C3320"/>
                <w:sz w:val="18"/>
              </w:rPr>
              <w:t>17. Ônus e pendências declarados</w:t>
            </w:r>
          </w:p>
        </w:tc>
        <w:tc>
          <w:tcPr>
            <w:tcW w:type="dxa" w:w="6520"/>
          </w:tcPr>
          <w:p>
            <w:pPr>
              <w:spacing w:after="20"/>
              <w:jc w:val="left"/>
            </w:pPr>
            <w:r>
              <w:rPr>
                <w:rFonts w:ascii="Times New Roman" w:hAnsi="Times New Roman"/>
                <w:b w:val="0"/>
                <w:color w:val="1F4E9A"/>
                <w:sz w:val="18"/>
              </w:rPr>
              <w:t>{{emp_onus_declarados}}</w:t>
            </w:r>
          </w:p>
        </w:tc>
      </w:tr>
      <w:tr>
        <w:tc>
          <w:tcPr>
            <w:tcW w:type="dxa" w:w="2835"/>
            <w:shd w:val="clear" w:color="auto" w:fill="F3EEDF"/>
          </w:tcPr>
          <w:p>
            <w:pPr>
              <w:spacing w:after="20"/>
              <w:jc w:val="left"/>
            </w:pPr>
            <w:r>
              <w:rPr>
                <w:rFonts w:ascii="Times New Roman" w:hAnsi="Times New Roman"/>
                <w:b/>
                <w:color w:val="0C3320"/>
                <w:sz w:val="18"/>
              </w:rPr>
              <w:t>18. Contribuição associativa</w:t>
            </w:r>
          </w:p>
        </w:tc>
        <w:tc>
          <w:tcPr>
            <w:tcW w:type="dxa" w:w="6520"/>
          </w:tcPr>
          <w:p>
            <w:pPr>
              <w:spacing w:after="20"/>
              <w:jc w:val="left"/>
            </w:pPr>
            <w:r>
              <w:rPr>
                <w:rFonts w:ascii="Times New Roman" w:hAnsi="Times New Roman"/>
                <w:b w:val="0"/>
                <w:sz w:val="18"/>
              </w:rPr>
              <w:t xml:space="preserve">Fixada inicialmente em R$ </w:t>
            </w:r>
            <w:r>
              <w:rPr>
                <w:rFonts w:ascii="Times New Roman" w:hAnsi="Times New Roman"/>
                <w:b w:val="0"/>
                <w:color w:val="1F4E9A"/>
                <w:sz w:val="18"/>
              </w:rPr>
              <w:t xml:space="preserve">{{emp_contribuicao_mensal}}</w:t>
            </w:r>
            <w:r>
              <w:rPr>
                <w:rFonts w:ascii="Times New Roman" w:hAnsi="Times New Roman"/>
                <w:b w:val="0"/>
                <w:sz w:val="18"/>
              </w:rPr>
              <w:t xml:space="preserve">/mês por chácara, rateada igualmente por unidade (todas as chácaras pagam o mesmo valor), devida a partir da imissão na posse e reajustável por deliberação da assembleia (Cláusula 14ª)</w:t>
            </w:r>
          </w:p>
        </w:tc>
      </w:tr>
      <w:tr>
        <w:tc>
          <w:tcPr>
            <w:tcW w:type="dxa" w:w="2835"/>
            <w:shd w:val="clear" w:color="auto" w:fill="F3EEDF"/>
          </w:tcPr>
          <w:p>
            <w:pPr>
              <w:spacing w:after="20"/>
              <w:jc w:val="left"/>
            </w:pPr>
            <w:r>
              <w:rPr>
                <w:rFonts w:ascii="Times New Roman" w:hAnsi="Times New Roman"/>
                <w:b/>
                <w:color w:val="0C3320"/>
                <w:sz w:val="18"/>
              </w:rPr>
              <w:t>19. Liberação de uso</w:t>
            </w:r>
          </w:p>
        </w:tc>
        <w:tc>
          <w:tcPr>
            <w:tcW w:type="dxa" w:w="6520"/>
          </w:tcPr>
          <w:p>
            <w:pPr>
              <w:spacing w:after="20"/>
              <w:jc w:val="left"/>
            </w:pPr>
            <w:r>
              <w:rPr>
                <w:rFonts w:ascii="Times New Roman" w:hAnsi="Times New Roman"/>
                <w:b w:val="0"/>
                <w:sz w:val="18"/>
              </w:rPr>
              <w:t xml:space="preserve">Cercas, muros, edificações, benfeitorias, criações e plantios somente após a quitação da entrada e o pagamento da </w:t>
            </w:r>
            <w:r>
              <w:rPr>
                <w:rFonts w:ascii="Times New Roman" w:hAnsi="Times New Roman"/>
                <w:b/>
                <w:sz w:val="18"/>
              </w:rPr>
              <w:t xml:space="preserve">3ª (terceira) parcela do saldo</w:t>
            </w:r>
            <w:r>
              <w:rPr>
                <w:rFonts w:ascii="Times New Roman" w:hAnsi="Times New Roman"/>
                <w:b w:val="0"/>
                <w:sz w:val="18"/>
              </w:rPr>
              <w:t xml:space="preserve">, com vistoria de medição prévia — 1ª medição sem custo; as seguintes pagas ao agrimensor credenciado (Cláusula 6ª)</w:t>
            </w:r>
          </w:p>
        </w:tc>
      </w:tr>
      <w:tr>
        <w:tc>
          <w:tcPr>
            <w:tcW w:type="dxa" w:w="2835"/>
            <w:shd w:val="clear" w:color="auto" w:fill="F3EEDF"/>
          </w:tcPr>
          <w:p>
            <w:pPr>
              <w:spacing w:after="20"/>
              <w:jc w:val="left"/>
            </w:pPr>
            <w:r>
              <w:rPr>
                <w:rFonts w:ascii="Times New Roman" w:hAnsi="Times New Roman"/>
                <w:b/>
                <w:sz w:val="18"/>
              </w:rPr>
              <w:t xml:space="preserve">20. Venda na planta</w:t>
            </w:r>
          </w:p>
        </w:tc>
        <w:tc>
          <w:tcPr>
            <w:tcW w:type="dxa" w:w="6520"/>
          </w:tcPr>
          <w:p>
            <w:pPr>
              <w:spacing w:after="20"/>
              <w:jc w:val="left"/>
            </w:pPr>
            <w:r>
              <w:rPr>
                <w:rFonts w:ascii="Times New Roman" w:hAnsi="Times New Roman"/>
                <w:b w:val="0"/>
                <w:sz w:val="18"/>
              </w:rPr>
              <w:t xml:space="preserve">Unidade vendida com obras de infraestrutura em execução e aprovações complementares em curso (Equatorial, matrículas individuais, licenças e vistoria municipal). Cada aprovação gera termo aditivo com os respectivos documentos (Cláusula 2.6)</w:t>
            </w:r>
          </w:p>
        </w:tc>
      </w:tr>
      <w:tr>
        <w:tc>
          <w:tcPr>
            <w:tcW w:type="dxa" w:w="2835"/>
            <w:shd w:val="clear" w:color="auto" w:fill="F3EEDF"/>
          </w:tcPr>
          <w:p>
            <w:pPr>
              <w:spacing w:after="20"/>
              <w:jc w:val="left"/>
            </w:pPr>
            <w:r>
              <w:rPr>
                <w:rFonts w:ascii="Times New Roman" w:hAnsi="Times New Roman"/>
                <w:b/>
                <w:sz w:val="18"/>
              </w:rPr>
              <w:t xml:space="preserve">21. Esgotamento sanitário</w:t>
            </w:r>
          </w:p>
        </w:tc>
        <w:tc>
          <w:tcPr>
            <w:tcW w:type="dxa" w:w="6520"/>
          </w:tcPr>
          <w:p>
            <w:pPr>
              <w:spacing w:after="20"/>
              <w:jc w:val="left"/>
            </w:pPr>
            <w:r>
              <w:rPr>
                <w:rFonts w:ascii="Times New Roman" w:hAnsi="Times New Roman"/>
                <w:b w:val="0"/>
                <w:sz w:val="18"/>
              </w:rPr>
              <w:t xml:space="preserve">Não há rede coletora nem tarifa de esgoto. É obrigatório o sistema individual em cada chácara, por conta do(a) COMPRADOR(A): fossa séptica (ABNT NBR 7229) + sumidouro ou filtro anaeróbio (ABNT NBR 13969), conforme projeto-padrão com anuência do SAAE; a edificação só pode ser ocupada após a vistoria do sistema (Cláusula 6.4)</w:t>
            </w:r>
          </w:p>
        </w:tc>
      </w:tr>
      <w:tr>
        <w:tc>
          <w:tcPr>
            <w:tcW w:type="dxa" w:w="2835"/>
            <w:shd w:val="clear" w:color="auto" w:fill="F3EEDF"/>
          </w:tcPr>
          <w:p>
            <w:pPr>
              <w:spacing w:after="20"/>
              <w:jc w:val="left"/>
            </w:pPr>
            <w:r>
              <w:rPr>
                <w:rFonts w:ascii="Times New Roman" w:hAnsi="Times New Roman"/>
                <w:b/>
                <w:sz w:val="18"/>
              </w:rPr>
              <w:t xml:space="preserve">22. Condições específicas</w:t>
            </w:r>
          </w:p>
        </w:tc>
        <w:tc>
          <w:tcPr>
            <w:tcW w:type="dxa" w:w="6520"/>
          </w:tcPr>
          <w:p>
            <w:pPr>
              <w:spacing w:after="20"/>
              <w:jc w:val="left"/>
            </w:pPr>
            <w:r>
              <w:rPr>
                <w:rFonts w:ascii="Times New Roman" w:hAnsi="Times New Roman"/>
                <w:b w:val="0"/>
                <w:color w:val="1F4E9A"/>
                <w:sz w:val="18"/>
              </w:rPr>
              <w:t>{{ctr_condicoes_especificas}}</w:t>
            </w:r>
          </w:p>
        </w:tc>
      </w:tr>
    </w:tbl>
    <w:p>
      <w:pPr>
        <w:spacing w:after="40"/>
      </w:pPr>
    </w:p>
    <w:p>
      <w:pPr>
        <w:keepNext/>
        <w:spacing w:before="180"/>
        <w:pBdr>
          <w:bottom w:val="single" w:sz="6" w:space="1" w:color="C9A84C"/>
        </w:pBdr>
      </w:pPr>
      <w:r>
        <w:rPr>
          <w:rFonts w:ascii="Times New Roman" w:hAnsi="Times New Roman"/>
          <w:b/>
          <w:color w:val="0C3320"/>
          <w:sz w:val="22"/>
        </w:rPr>
        <w:t>DAS PARTES</w:t>
      </w:r>
    </w:p>
    <w:p>
      <w:pPr>
        <w:spacing w:after="0"/>
      </w:pPr>
      <w:r>
        <w:rPr>
          <w:color w:val="990099"/>
          <w:sz w:val="16"/>
        </w:rPr>
        <w:t>{{#vend_pf}}</w:t>
      </w:r>
    </w:p>
    <w:p>
      <w:pPr>
        <w:jc w:val="both"/>
      </w:pPr>
      <w:r>
        <w:rPr>
          <w:rFonts w:ascii="Times New Roman" w:hAnsi="Times New Roman"/>
          <w:b/>
        </w:rPr>
        <w:t xml:space="preserve">PROMITENTE VENDEDORA: </w:t>
      </w:r>
      <w:r>
        <w:rPr>
          <w:rFonts w:ascii="Times New Roman" w:hAnsi="Times New Roman"/>
          <w:b/>
          <w:color w:val="1F4E9A"/>
        </w:rPr>
        <w:t>{{vend_nome}}</w:t>
      </w:r>
      <w:r>
        <w:rPr>
          <w:rFonts w:ascii="Times New Roman" w:hAnsi="Times New Roman"/>
          <w:b w:val="0"/>
        </w:rPr>
        <w:t xml:space="preserve">, </w:t>
      </w:r>
      <w:r>
        <w:rPr>
          <w:rFonts w:ascii="Times New Roman" w:hAnsi="Times New Roman"/>
          <w:b w:val="0"/>
          <w:color w:val="1F4E9A"/>
        </w:rPr>
        <w:t>{{vend_nacionalidade}}</w:t>
      </w:r>
      <w:r>
        <w:rPr>
          <w:rFonts w:ascii="Times New Roman" w:hAnsi="Times New Roman"/>
          <w:b w:val="0"/>
        </w:rPr>
        <w:t xml:space="preserve">, </w:t>
      </w:r>
      <w:r>
        <w:rPr>
          <w:rFonts w:ascii="Times New Roman" w:hAnsi="Times New Roman"/>
          <w:b w:val="0"/>
          <w:color w:val="1F4E9A"/>
        </w:rPr>
        <w:t>{{vend_estado_civil}}</w:t>
      </w:r>
      <w:r>
        <w:rPr>
          <w:rFonts w:ascii="Times New Roman" w:hAnsi="Times New Roman"/>
          <w:b w:val="0"/>
        </w:rPr>
        <w:t xml:space="preserve">, </w:t>
      </w:r>
      <w:r>
        <w:rPr>
          <w:rFonts w:ascii="Times New Roman" w:hAnsi="Times New Roman"/>
          <w:b w:val="0"/>
          <w:color w:val="1F4E9A"/>
        </w:rPr>
        <w:t>{{vend_profissao}}</w:t>
      </w:r>
      <w:r>
        <w:rPr>
          <w:rFonts w:ascii="Times New Roman" w:hAnsi="Times New Roman"/>
          <w:b w:val="0"/>
        </w:rPr>
        <w:t xml:space="preserve">, nascida em </w:t>
      </w:r>
      <w:r>
        <w:rPr>
          <w:rFonts w:ascii="Times New Roman" w:hAnsi="Times New Roman"/>
          <w:b w:val="0"/>
          <w:color w:val="1F4E9A"/>
        </w:rPr>
        <w:t>{{vend_nascimento}}</w:t>
      </w:r>
      <w:r>
        <w:rPr>
          <w:rFonts w:ascii="Times New Roman" w:hAnsi="Times New Roman"/>
          <w:b w:val="0"/>
        </w:rPr>
        <w:t xml:space="preserve">, natural de </w:t>
      </w:r>
      <w:r>
        <w:rPr>
          <w:rFonts w:ascii="Times New Roman" w:hAnsi="Times New Roman"/>
          <w:b w:val="0"/>
          <w:color w:val="1F4E9A"/>
        </w:rPr>
        <w:t>{{vend_naturalidade}}</w:t>
      </w:r>
      <w:r>
        <w:rPr>
          <w:rFonts w:ascii="Times New Roman" w:hAnsi="Times New Roman"/>
          <w:b w:val="0"/>
        </w:rPr>
        <w:t xml:space="preserve">, portadora do RG n.º </w:t>
      </w:r>
      <w:r>
        <w:rPr>
          <w:rFonts w:ascii="Times New Roman" w:hAnsi="Times New Roman"/>
          <w:b w:val="0"/>
          <w:color w:val="1F4E9A"/>
        </w:rPr>
        <w:t>{{vend_rg}}</w:t>
      </w:r>
      <w:r>
        <w:rPr>
          <w:rFonts w:ascii="Times New Roman" w:hAnsi="Times New Roman"/>
          <w:b w:val="0"/>
        </w:rPr>
        <w:t xml:space="preserve">, da CNH n.º </w:t>
      </w:r>
      <w:r>
        <w:rPr>
          <w:rFonts w:ascii="Times New Roman" w:hAnsi="Times New Roman"/>
          <w:b w:val="0"/>
          <w:color w:val="1F4E9A"/>
        </w:rPr>
        <w:t>{{vend_cnh}}</w:t>
      </w:r>
      <w:r>
        <w:rPr>
          <w:rFonts w:ascii="Times New Roman" w:hAnsi="Times New Roman"/>
          <w:b w:val="0"/>
        </w:rPr>
        <w:t xml:space="preserve"> e inscrita no CPF sob o n.º </w:t>
      </w:r>
      <w:r>
        <w:rPr>
          <w:rFonts w:ascii="Times New Roman" w:hAnsi="Times New Roman"/>
          <w:b/>
          <w:color w:val="1F4E9A"/>
        </w:rPr>
        <w:t>{{vend_cpf}}</w:t>
      </w:r>
      <w:r>
        <w:rPr>
          <w:rFonts w:ascii="Times New Roman" w:hAnsi="Times New Roman"/>
          <w:b w:val="0"/>
        </w:rPr>
        <w:t xml:space="preserve">, filha de </w:t>
      </w:r>
      <w:r>
        <w:rPr>
          <w:rFonts w:ascii="Times New Roman" w:hAnsi="Times New Roman"/>
          <w:b w:val="0"/>
          <w:color w:val="1F4E9A"/>
        </w:rPr>
        <w:t>{{vend_filiacao}}</w:t>
      </w:r>
      <w:r>
        <w:rPr>
          <w:rFonts w:ascii="Times New Roman" w:hAnsi="Times New Roman"/>
          <w:b w:val="0"/>
        </w:rPr>
        <w:t xml:space="preserve">, residente e domiciliada na </w:t>
      </w:r>
      <w:r>
        <w:rPr>
          <w:rFonts w:ascii="Times New Roman" w:hAnsi="Times New Roman"/>
          <w:b w:val="0"/>
          <w:color w:val="1F4E9A"/>
        </w:rPr>
        <w:t>{{vend_endereco}}</w:t>
      </w:r>
      <w:r>
        <w:rPr>
          <w:rFonts w:ascii="Times New Roman" w:hAnsi="Times New Roman"/>
          <w:b w:val="0"/>
        </w:rPr>
        <w:t xml:space="preserve">, e-mail </w:t>
      </w:r>
      <w:r>
        <w:rPr>
          <w:rFonts w:ascii="Times New Roman" w:hAnsi="Times New Roman"/>
          <w:b w:val="0"/>
          <w:color w:val="1F4E9A"/>
        </w:rPr>
        <w:t>{{vend_email}}</w:t>
      </w:r>
      <w:r>
        <w:rPr>
          <w:rFonts w:ascii="Times New Roman" w:hAnsi="Times New Roman"/>
          <w:b w:val="0"/>
        </w:rPr>
        <w:t xml:space="preserve">, telefone </w:t>
      </w:r>
      <w:r>
        <w:rPr>
          <w:rFonts w:ascii="Times New Roman" w:hAnsi="Times New Roman"/>
          <w:b w:val="0"/>
          <w:color w:val="1F4E9A"/>
        </w:rPr>
        <w:t>{{vend_telefone}}</w:t>
      </w:r>
      <w:r>
        <w:rPr>
          <w:rFonts w:ascii="Times New Roman" w:hAnsi="Times New Roman"/>
          <w:b w:val="0"/>
        </w:rPr>
        <w:t xml:space="preserve">, </w:t>
      </w:r>
      <w:r>
        <w:rPr>
          <w:rFonts w:ascii="Times New Roman" w:hAnsi="Times New Roman"/>
          <w:b w:val="0"/>
          <w:color w:val="1F4E9A"/>
        </w:rPr>
        <w:t>{{vend_declaracao_uniao}}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spacing w:after="0"/>
      </w:pPr>
      <w:r>
        <w:rPr>
          <w:color w:val="990099"/>
          <w:sz w:val="16"/>
        </w:rPr>
        <w:t>{{/vend_pf}}</w:t>
      </w:r>
    </w:p>
    <w:p>
      <w:pPr>
        <w:spacing w:after="0"/>
      </w:pPr>
      <w:r>
        <w:rPr>
          <w:color w:val="990099"/>
          <w:sz w:val="16"/>
        </w:rPr>
        <w:t>{{#vend_pj}}</w:t>
      </w:r>
    </w:p>
    <w:p>
      <w:pPr>
        <w:jc w:val="both"/>
      </w:pPr>
      <w:r>
        <w:rPr>
          <w:rFonts w:ascii="Times New Roman" w:hAnsi="Times New Roman"/>
          <w:b/>
        </w:rPr>
        <w:t xml:space="preserve">PROMITENTE VENDEDORA: </w:t>
      </w:r>
      <w:r>
        <w:rPr>
          <w:rFonts w:ascii="Times New Roman" w:hAnsi="Times New Roman"/>
          <w:b/>
          <w:color w:val="1F4E9A"/>
        </w:rPr>
        <w:t>{{vend_razao_social}}</w:t>
      </w:r>
      <w:r>
        <w:rPr>
          <w:rFonts w:ascii="Times New Roman" w:hAnsi="Times New Roman"/>
          <w:b w:val="0"/>
        </w:rPr>
        <w:t xml:space="preserve">, pessoa jurídica de direito privado inscrita no CNPJ sob o n.º </w:t>
      </w:r>
      <w:r>
        <w:rPr>
          <w:rFonts w:ascii="Times New Roman" w:hAnsi="Times New Roman"/>
          <w:b/>
          <w:color w:val="1F4E9A"/>
        </w:rPr>
        <w:t>{{vend_cnpj}}</w:t>
      </w:r>
      <w:r>
        <w:rPr>
          <w:rFonts w:ascii="Times New Roman" w:hAnsi="Times New Roman"/>
          <w:b w:val="0"/>
        </w:rPr>
        <w:t xml:space="preserve">, com sede na </w:t>
      </w:r>
      <w:r>
        <w:rPr>
          <w:rFonts w:ascii="Times New Roman" w:hAnsi="Times New Roman"/>
          <w:b w:val="0"/>
          <w:color w:val="1F4E9A"/>
        </w:rPr>
        <w:t>{{vend_sede}}</w:t>
      </w:r>
      <w:r>
        <w:rPr>
          <w:rFonts w:ascii="Times New Roman" w:hAnsi="Times New Roman"/>
          <w:b w:val="0"/>
        </w:rPr>
        <w:t xml:space="preserve">, neste ato representada por </w:t>
      </w:r>
      <w:r>
        <w:rPr>
          <w:rFonts w:ascii="Times New Roman" w:hAnsi="Times New Roman"/>
          <w:b w:val="0"/>
          <w:color w:val="1F4E9A"/>
        </w:rPr>
        <w:t>{{vend_rep_nome}}</w:t>
      </w:r>
      <w:r>
        <w:rPr>
          <w:rFonts w:ascii="Times New Roman" w:hAnsi="Times New Roman"/>
          <w:b w:val="0"/>
        </w:rPr>
        <w:t xml:space="preserve">, </w:t>
      </w:r>
      <w:r>
        <w:rPr>
          <w:rFonts w:ascii="Times New Roman" w:hAnsi="Times New Roman"/>
          <w:b w:val="0"/>
          <w:color w:val="1F4E9A"/>
        </w:rPr>
        <w:t>{{vend_rep_qualificacao}}</w:t>
      </w:r>
      <w:r>
        <w:rPr>
          <w:rFonts w:ascii="Times New Roman" w:hAnsi="Times New Roman"/>
          <w:b w:val="0"/>
        </w:rPr>
        <w:t xml:space="preserve">, CPF n.º </w:t>
      </w:r>
      <w:r>
        <w:rPr>
          <w:rFonts w:ascii="Times New Roman" w:hAnsi="Times New Roman"/>
          <w:b w:val="0"/>
          <w:color w:val="1F4E9A"/>
        </w:rPr>
        <w:t>{{vend_rep_cpf}}</w:t>
      </w:r>
      <w:r>
        <w:rPr>
          <w:rFonts w:ascii="Times New Roman" w:hAnsi="Times New Roman"/>
          <w:b w:val="0"/>
        </w:rPr>
        <w:t xml:space="preserve">, na forma de seu </w:t>
      </w:r>
      <w:r>
        <w:rPr>
          <w:rFonts w:ascii="Times New Roman" w:hAnsi="Times New Roman"/>
          <w:b w:val="0"/>
          <w:color w:val="1F4E9A"/>
        </w:rPr>
        <w:t>{{vend_rep_ato}}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jc w:val="both"/>
      </w:pPr>
      <w:r>
        <w:rPr>
          <w:rFonts w:ascii="Times New Roman" w:hAnsi="Times New Roman"/>
          <w:b/>
        </w:rPr>
        <w:t xml:space="preserve">TITULAR DOS DIREITOS E ANUENTE: </w:t>
      </w:r>
      <w:r>
        <w:rPr>
          <w:rFonts w:ascii="Times New Roman" w:hAnsi="Times New Roman"/>
          <w:b/>
          <w:color w:val="1F4E9A"/>
        </w:rPr>
        <w:t>{{tit_nome}}</w:t>
      </w:r>
      <w:r>
        <w:rPr>
          <w:rFonts w:ascii="Times New Roman" w:hAnsi="Times New Roman"/>
          <w:b w:val="0"/>
        </w:rPr>
        <w:t xml:space="preserve">, </w:t>
      </w:r>
      <w:r>
        <w:rPr>
          <w:rFonts w:ascii="Times New Roman" w:hAnsi="Times New Roman"/>
          <w:b w:val="0"/>
          <w:color w:val="1F4E9A"/>
        </w:rPr>
        <w:t>{{tit_qualificacao}}</w:t>
      </w:r>
      <w:r>
        <w:rPr>
          <w:rFonts w:ascii="Times New Roman" w:hAnsi="Times New Roman"/>
          <w:b w:val="0"/>
        </w:rPr>
        <w:t xml:space="preserve">, CPF n.º </w:t>
      </w:r>
      <w:r>
        <w:rPr>
          <w:rFonts w:ascii="Times New Roman" w:hAnsi="Times New Roman"/>
          <w:b/>
          <w:color w:val="1F4E9A"/>
        </w:rPr>
        <w:t>{{tit_cpf}}</w:t>
      </w:r>
      <w:r>
        <w:rPr>
          <w:rFonts w:ascii="Times New Roman" w:hAnsi="Times New Roman"/>
          <w:b w:val="0"/>
        </w:rPr>
        <w:t>, que comparece para anuir com esta promessa e obrigar-se solidariamente pela outorga do título definitivo;</w:t>
      </w:r>
    </w:p>
    <w:p>
      <w:pPr>
        <w:spacing w:after="0"/>
      </w:pPr>
      <w:r>
        <w:rPr>
          <w:color w:val="990099"/>
          <w:sz w:val="16"/>
        </w:rPr>
        <w:t>{{/vend_pj}}</w:t>
      </w:r>
    </w:p>
    <w:p>
      <w:pPr>
        <w:jc w:val="both"/>
      </w:pPr>
      <w:r>
        <w:rPr>
          <w:rFonts w:ascii="Times New Roman" w:hAnsi="Times New Roman"/>
          <w:b/>
        </w:rPr>
        <w:t xml:space="preserve">PROMISSÁRIO(A) COMPRADOR(A): </w:t>
      </w:r>
      <w:r>
        <w:rPr>
          <w:rFonts w:ascii="Times New Roman" w:hAnsi="Times New Roman"/>
          <w:b/>
          <w:color w:val="1F4E9A"/>
        </w:rPr>
        <w:t>{{comp_nome}}</w:t>
      </w:r>
      <w:r>
        <w:rPr>
          <w:rFonts w:ascii="Times New Roman" w:hAnsi="Times New Roman"/>
          <w:b w:val="0"/>
        </w:rPr>
        <w:t xml:space="preserve">, </w:t>
      </w:r>
      <w:r>
        <w:rPr>
          <w:rFonts w:ascii="Times New Roman" w:hAnsi="Times New Roman"/>
          <w:b w:val="0"/>
          <w:color w:val="1F4E9A"/>
        </w:rPr>
        <w:t>{{comp_nacionalidade}}</w:t>
      </w:r>
      <w:r>
        <w:rPr>
          <w:rFonts w:ascii="Times New Roman" w:hAnsi="Times New Roman"/>
          <w:b w:val="0"/>
        </w:rPr>
        <w:t xml:space="preserve">, </w:t>
      </w:r>
      <w:r>
        <w:rPr>
          <w:rFonts w:ascii="Times New Roman" w:hAnsi="Times New Roman"/>
          <w:b w:val="0"/>
          <w:color w:val="1F4E9A"/>
        </w:rPr>
        <w:t>{{comp_estado_civil}}</w:t>
      </w:r>
      <w:r>
        <w:rPr>
          <w:rFonts w:ascii="Times New Roman" w:hAnsi="Times New Roman"/>
          <w:b w:val="0"/>
        </w:rPr>
        <w:t xml:space="preserve">, </w:t>
      </w:r>
      <w:r>
        <w:rPr>
          <w:rFonts w:ascii="Times New Roman" w:hAnsi="Times New Roman"/>
          <w:b w:val="0"/>
          <w:color w:val="1F4E9A"/>
        </w:rPr>
        <w:t>{{comp_profissao}}</w:t>
      </w:r>
      <w:r>
        <w:rPr>
          <w:rFonts w:ascii="Times New Roman" w:hAnsi="Times New Roman"/>
          <w:b w:val="0"/>
        </w:rPr>
        <w:t xml:space="preserve">, nascido(a) em </w:t>
      </w:r>
      <w:r>
        <w:rPr>
          <w:rFonts w:ascii="Times New Roman" w:hAnsi="Times New Roman"/>
          <w:b w:val="0"/>
          <w:color w:val="1F4E9A"/>
        </w:rPr>
        <w:t>{{comp_nascimento}}</w:t>
      </w:r>
      <w:r>
        <w:rPr>
          <w:rFonts w:ascii="Times New Roman" w:hAnsi="Times New Roman"/>
          <w:b w:val="0"/>
        </w:rPr>
        <w:t xml:space="preserve">, portador(a) do RG n.º </w:t>
      </w:r>
      <w:r>
        <w:rPr>
          <w:rFonts w:ascii="Times New Roman" w:hAnsi="Times New Roman"/>
          <w:b w:val="0"/>
          <w:color w:val="1F4E9A"/>
        </w:rPr>
        <w:t>{{comp_rg}}</w:t>
      </w:r>
      <w:r>
        <w:rPr>
          <w:rFonts w:ascii="Times New Roman" w:hAnsi="Times New Roman"/>
          <w:b w:val="0"/>
        </w:rPr>
        <w:t xml:space="preserve"> </w:t>
      </w:r>
      <w:r>
        <w:rPr>
          <w:rFonts w:ascii="Times New Roman" w:hAnsi="Times New Roman"/>
          <w:b w:val="0"/>
          <w:color w:val="1F4E9A"/>
        </w:rPr>
        <w:t>{{comp_rg_orgao}}</w:t>
      </w:r>
      <w:r>
        <w:rPr>
          <w:rFonts w:ascii="Times New Roman" w:hAnsi="Times New Roman"/>
          <w:b w:val="0"/>
        </w:rPr>
        <w:t xml:space="preserve"> e inscrito(a) no CPF sob o n.º </w:t>
      </w:r>
      <w:r>
        <w:rPr>
          <w:rFonts w:ascii="Times New Roman" w:hAnsi="Times New Roman"/>
          <w:b/>
          <w:color w:val="1F4E9A"/>
        </w:rPr>
        <w:t>{{comp_cpf}}</w:t>
      </w:r>
      <w:r>
        <w:rPr>
          <w:rFonts w:ascii="Times New Roman" w:hAnsi="Times New Roman"/>
          <w:b w:val="0"/>
        </w:rPr>
        <w:t xml:space="preserve">, residente e domiciliado(a) na </w:t>
      </w:r>
      <w:r>
        <w:rPr>
          <w:rFonts w:ascii="Times New Roman" w:hAnsi="Times New Roman"/>
          <w:b w:val="0"/>
          <w:color w:val="1F4E9A"/>
        </w:rPr>
        <w:t>{{comp_endereco}}</w:t>
      </w:r>
      <w:r>
        <w:rPr>
          <w:rFonts w:ascii="Times New Roman" w:hAnsi="Times New Roman"/>
          <w:b w:val="0"/>
        </w:rPr>
        <w:t xml:space="preserve">, e-mail </w:t>
      </w:r>
      <w:r>
        <w:rPr>
          <w:rFonts w:ascii="Times New Roman" w:hAnsi="Times New Roman"/>
          <w:b w:val="0"/>
          <w:color w:val="1F4E9A"/>
        </w:rPr>
        <w:t>{{comp_email}}</w:t>
      </w:r>
      <w:r>
        <w:rPr>
          <w:rFonts w:ascii="Times New Roman" w:hAnsi="Times New Roman"/>
          <w:b w:val="0"/>
        </w:rPr>
        <w:t xml:space="preserve">, telefone/WhatsApp </w:t>
      </w:r>
      <w:r>
        <w:rPr>
          <w:rFonts w:ascii="Times New Roman" w:hAnsi="Times New Roman"/>
          <w:b w:val="0"/>
          <w:color w:val="1F4E9A"/>
        </w:rPr>
        <w:t>{{comp_telefone}}</w:t>
      </w:r>
      <w:r>
        <w:rPr>
          <w:rFonts w:ascii="Times New Roman" w:hAnsi="Times New Roman"/>
          <w:b w:val="0"/>
        </w:rPr>
        <w:t xml:space="preserve">, doravante denominado(a) </w:t>
      </w:r>
      <w:r>
        <w:rPr>
          <w:rFonts w:ascii="Times New Roman" w:hAnsi="Times New Roman"/>
          <w:b/>
        </w:rPr>
        <w:t>COMPRADOR(A)</w:t>
      </w:r>
      <w:r>
        <w:rPr>
          <w:rFonts w:ascii="Times New Roman" w:hAnsi="Times New Roman"/>
          <w:b w:val="0"/>
        </w:rPr>
        <w:t>;</w:t>
      </w:r>
    </w:p>
    <w:p>
      <w:pPr>
        <w:spacing w:after="0"/>
      </w:pPr>
      <w:r>
        <w:rPr>
          <w:color w:val="990099"/>
          <w:sz w:val="16"/>
        </w:rPr>
        <w:t>{{#comp_casado}}</w:t>
      </w:r>
    </w:p>
    <w:p>
      <w:pPr>
        <w:jc w:val="both"/>
      </w:pPr>
      <w:r>
        <w:rPr>
          <w:rFonts w:ascii="Times New Roman" w:hAnsi="Times New Roman"/>
          <w:b/>
        </w:rPr>
        <w:t xml:space="preserve">CÔNJUGE/COMPANHEIRO(A) ANUENTE: </w:t>
      </w:r>
      <w:r>
        <w:rPr>
          <w:rFonts w:ascii="Times New Roman" w:hAnsi="Times New Roman"/>
          <w:b/>
          <w:color w:val="1F4E9A"/>
        </w:rPr>
        <w:t>{{conj_nome}}</w:t>
      </w:r>
      <w:r>
        <w:rPr>
          <w:rFonts w:ascii="Times New Roman" w:hAnsi="Times New Roman"/>
          <w:b w:val="0"/>
        </w:rPr>
        <w:t xml:space="preserve">, </w:t>
      </w:r>
      <w:r>
        <w:rPr>
          <w:rFonts w:ascii="Times New Roman" w:hAnsi="Times New Roman"/>
          <w:b w:val="0"/>
          <w:color w:val="1F4E9A"/>
        </w:rPr>
        <w:t>{{conj_nacionalidade}}</w:t>
      </w:r>
      <w:r>
        <w:rPr>
          <w:rFonts w:ascii="Times New Roman" w:hAnsi="Times New Roman"/>
          <w:b w:val="0"/>
        </w:rPr>
        <w:t xml:space="preserve">, </w:t>
      </w:r>
      <w:r>
        <w:rPr>
          <w:rFonts w:ascii="Times New Roman" w:hAnsi="Times New Roman"/>
          <w:b w:val="0"/>
          <w:color w:val="1F4E9A"/>
        </w:rPr>
        <w:t>{{conj_profissao}}</w:t>
      </w:r>
      <w:r>
        <w:rPr>
          <w:rFonts w:ascii="Times New Roman" w:hAnsi="Times New Roman"/>
          <w:b w:val="0"/>
        </w:rPr>
        <w:t xml:space="preserve">, RG n.º </w:t>
      </w:r>
      <w:r>
        <w:rPr>
          <w:rFonts w:ascii="Times New Roman" w:hAnsi="Times New Roman"/>
          <w:b w:val="0"/>
          <w:color w:val="1F4E9A"/>
        </w:rPr>
        <w:t>{{conj_rg}}</w:t>
      </w:r>
      <w:r>
        <w:rPr>
          <w:rFonts w:ascii="Times New Roman" w:hAnsi="Times New Roman"/>
          <w:b w:val="0"/>
        </w:rPr>
        <w:t xml:space="preserve">, CPF n.º </w:t>
      </w:r>
      <w:r>
        <w:rPr>
          <w:rFonts w:ascii="Times New Roman" w:hAnsi="Times New Roman"/>
          <w:b/>
          <w:color w:val="1F4E9A"/>
        </w:rPr>
        <w:t>{{conj_cpf}}</w:t>
      </w:r>
      <w:r>
        <w:rPr>
          <w:rFonts w:ascii="Times New Roman" w:hAnsi="Times New Roman"/>
          <w:b w:val="0"/>
        </w:rPr>
        <w:t xml:space="preserve">, casado(a)/convivente com o(a) COMPRADOR(A) sob o regime de </w:t>
      </w:r>
      <w:r>
        <w:rPr>
          <w:rFonts w:ascii="Times New Roman" w:hAnsi="Times New Roman"/>
          <w:b/>
          <w:color w:val="1F4E9A"/>
        </w:rPr>
        <w:t>{{conj_regime_bens}}</w:t>
      </w:r>
      <w:r>
        <w:rPr>
          <w:rFonts w:ascii="Times New Roman" w:hAnsi="Times New Roman"/>
          <w:b w:val="0"/>
          <w:color w:val="1F4E9A"/>
        </w:rPr>
        <w:t>{{conj_pacto}}</w:t>
      </w:r>
      <w:r>
        <w:rPr>
          <w:rFonts w:ascii="Times New Roman" w:hAnsi="Times New Roman"/>
          <w:b w:val="0"/>
        </w:rPr>
        <w:t>, que assina em conjunto (Código Civil, arts. 1.647 e 1.725);</w:t>
      </w:r>
    </w:p>
    <w:p>
      <w:pPr>
        <w:spacing w:after="0"/>
      </w:pPr>
      <w:r>
        <w:rPr>
          <w:color w:val="990099"/>
          <w:sz w:val="16"/>
        </w:rPr>
        <w:t>{{/comp_casado}}</w:t>
      </w:r>
    </w:p>
    <w:p>
      <w:pPr>
        <w:spacing w:after="0"/>
      </w:pPr>
      <w:r>
        <w:rPr>
          <w:color w:val="990099"/>
          <w:sz w:val="16"/>
        </w:rPr>
        <w:t>{{#comp2_existe}}</w:t>
      </w:r>
    </w:p>
    <w:p>
      <w:pPr>
        <w:jc w:val="both"/>
      </w:pPr>
      <w:r>
        <w:rPr>
          <w:rFonts w:ascii="Times New Roman" w:hAnsi="Times New Roman"/>
          <w:b/>
        </w:rPr>
        <w:t xml:space="preserve">2º PROMISSÁRIO(A) COMPRADOR(A): </w:t>
      </w:r>
      <w:r>
        <w:rPr>
          <w:rFonts w:ascii="Times New Roman" w:hAnsi="Times New Roman"/>
          <w:b/>
          <w:color w:val="1F4E9A"/>
        </w:rPr>
        <w:t>{{comp2_nome}}</w:t>
      </w:r>
      <w:r>
        <w:rPr>
          <w:rFonts w:ascii="Times New Roman" w:hAnsi="Times New Roman"/>
          <w:b w:val="0"/>
        </w:rPr>
        <w:t xml:space="preserve">, </w:t>
      </w:r>
      <w:r>
        <w:rPr>
          <w:rFonts w:ascii="Times New Roman" w:hAnsi="Times New Roman"/>
          <w:b w:val="0"/>
          <w:color w:val="1F4E9A"/>
        </w:rPr>
        <w:t>{{comp2_qualificacao}}</w:t>
      </w:r>
      <w:r>
        <w:rPr>
          <w:rFonts w:ascii="Times New Roman" w:hAnsi="Times New Roman"/>
          <w:b w:val="0"/>
        </w:rPr>
        <w:t xml:space="preserve">, CPF n.º </w:t>
      </w:r>
      <w:r>
        <w:rPr>
          <w:rFonts w:ascii="Times New Roman" w:hAnsi="Times New Roman"/>
          <w:b/>
          <w:color w:val="1F4E9A"/>
        </w:rPr>
        <w:t>{{comp2_cpf}}</w:t>
      </w:r>
      <w:r>
        <w:rPr>
          <w:rFonts w:ascii="Times New Roman" w:hAnsi="Times New Roman"/>
          <w:b w:val="0"/>
        </w:rPr>
        <w:t xml:space="preserve">, adquirindo em condomínio com o(a) primeiro(a) na proporção de </w:t>
      </w:r>
      <w:r>
        <w:rPr>
          <w:rFonts w:ascii="Times New Roman" w:hAnsi="Times New Roman"/>
          <w:b w:val="0"/>
          <w:color w:val="1F4E9A"/>
        </w:rPr>
        <w:t>{{comp2_fracao}}</w:t>
      </w:r>
      <w:r>
        <w:rPr>
          <w:rFonts w:ascii="Times New Roman" w:hAnsi="Times New Roman"/>
          <w:b w:val="0"/>
        </w:rPr>
        <w:t>, respondendo ambos solidariamente por todas as obrigações deste contrato (Código Civil, art. 265);</w:t>
      </w:r>
    </w:p>
    <w:p>
      <w:pPr>
        <w:spacing w:after="0"/>
      </w:pPr>
      <w:r>
        <w:rPr>
          <w:color w:val="990099"/>
          <w:sz w:val="16"/>
        </w:rPr>
        <w:t>{{/comp2_existe}}</w:t>
      </w:r>
    </w:p>
    <w:p>
      <w:pPr>
        <w:jc w:val="both"/>
      </w:pPr>
      <w:r>
        <w:rPr>
          <w:rFonts w:ascii="Times New Roman" w:hAnsi="Times New Roman"/>
          <w:b/>
        </w:rPr>
        <w:t>INTERMEDIADORA: ROMATEC CONSULTORIA TOTAL</w:t>
      </w:r>
      <w:r>
        <w:rPr>
          <w:rFonts w:ascii="Times New Roman" w:hAnsi="Times New Roman"/>
          <w:b w:val="0"/>
        </w:rPr>
        <w:t xml:space="preserve"> (J R P Bezerra Ltda), inscrita no CNPJ sob o n.º 17.261.987/0001-09 e no </w:t>
      </w:r>
      <w:r>
        <w:rPr>
          <w:rFonts w:ascii="Times New Roman" w:hAnsi="Times New Roman"/>
          <w:b/>
        </w:rPr>
        <w:t xml:space="preserve">CRECI/MA sob o n.º </w:t>
      </w:r>
      <w:r>
        <w:rPr>
          <w:rFonts w:ascii="Times New Roman" w:hAnsi="Times New Roman"/>
          <w:b/>
          <w:color w:val="1F4E9A"/>
        </w:rPr>
        <w:t>{{rom_creci_pj}}</w:t>
      </w:r>
      <w:r>
        <w:rPr>
          <w:rFonts w:ascii="Times New Roman" w:hAnsi="Times New Roman"/>
          <w:b w:val="0"/>
        </w:rPr>
        <w:t xml:space="preserve"> (pessoa jurídica), com sede na Rua São Raimundo, n.º 10, Centro, Açailândia/MA, CEP 65.930-000, por seu responsável técnico e corretor </w:t>
      </w:r>
      <w:r>
        <w:rPr>
          <w:rFonts w:ascii="Times New Roman" w:hAnsi="Times New Roman"/>
          <w:b/>
        </w:rPr>
        <w:t>José Romário Pinto Bezerra</w:t>
      </w:r>
      <w:r>
        <w:rPr>
          <w:rFonts w:ascii="Times New Roman" w:hAnsi="Times New Roman"/>
          <w:b w:val="0"/>
        </w:rPr>
        <w:t xml:space="preserve"> — Técnico em Agrimensura e Edificações CFT/MA 01209185369, credenciado INCRA FQNS, Avaliador Imobiliário CNAI 031161, Corretor de Imóveis </w:t>
      </w:r>
      <w:r>
        <w:rPr>
          <w:rFonts w:ascii="Times New Roman" w:hAnsi="Times New Roman"/>
          <w:b/>
        </w:rPr>
        <w:t xml:space="preserve">CRECI/MA </w:t>
      </w:r>
      <w:r>
        <w:rPr>
          <w:rFonts w:ascii="Times New Roman" w:hAnsi="Times New Roman"/>
          <w:b/>
          <w:color w:val="1F4E9A"/>
        </w:rPr>
        <w:t>{{corr_creci}}</w:t>
      </w:r>
      <w:r>
        <w:rPr>
          <w:rFonts w:ascii="Times New Roman" w:hAnsi="Times New Roman"/>
          <w:b w:val="0"/>
        </w:rPr>
        <w:t xml:space="preserve"> (carteira profissional válida até </w:t>
      </w:r>
      <w:r>
        <w:rPr>
          <w:rFonts w:ascii="Times New Roman" w:hAnsi="Times New Roman"/>
          <w:b w:val="0"/>
          <w:color w:val="1F4E9A"/>
        </w:rPr>
        <w:t>{{corr_creci_validade}}</w:t>
      </w:r>
      <w:r>
        <w:rPr>
          <w:rFonts w:ascii="Times New Roman" w:hAnsi="Times New Roman"/>
          <w:b w:val="0"/>
        </w:rPr>
        <w:t xml:space="preserve">; certidão de regularidade n.º </w:t>
      </w:r>
      <w:r>
        <w:rPr>
          <w:rFonts w:ascii="Times New Roman" w:hAnsi="Times New Roman"/>
          <w:b w:val="0"/>
          <w:color w:val="1F4E9A"/>
        </w:rPr>
        <w:t>{{corr_certidao_codigo}}</w:t>
      </w:r>
      <w:r>
        <w:rPr>
          <w:rFonts w:ascii="Times New Roman" w:hAnsi="Times New Roman"/>
          <w:b w:val="0"/>
        </w:rPr>
        <w:t xml:space="preserve">, emitida em </w:t>
      </w:r>
      <w:r>
        <w:rPr>
          <w:rFonts w:ascii="Times New Roman" w:hAnsi="Times New Roman"/>
          <w:b w:val="0"/>
          <w:color w:val="1F4E9A"/>
        </w:rPr>
        <w:t>{{corr_certidao_data}}</w:t>
      </w:r>
      <w:r>
        <w:rPr>
          <w:rFonts w:ascii="Times New Roman" w:hAnsi="Times New Roman"/>
          <w:b w:val="0"/>
        </w:rPr>
        <w:t xml:space="preserve">) —, que comparece na qualidade de </w:t>
      </w:r>
      <w:r>
        <w:rPr>
          <w:rFonts w:ascii="Times New Roman" w:hAnsi="Times New Roman"/>
          <w:b/>
        </w:rPr>
        <w:t>gestora e administradora das vendas do empreendimento</w:t>
      </w:r>
      <w:r>
        <w:rPr>
          <w:rFonts w:ascii="Times New Roman" w:hAnsi="Times New Roman"/>
          <w:b w:val="0"/>
        </w:rPr>
        <w:t>, intermediadora e assessora técnica, sem assumir obrigações de vendedora;</w:t>
      </w:r>
    </w:p>
    <w:p>
      <w:pPr>
        <w:spacing w:after="0"/>
      </w:pPr>
      <w:r>
        <w:rPr>
          <w:color w:val="990099"/>
          <w:sz w:val="16"/>
        </w:rPr>
        <w:t>{{#corr_parceiro}}</w:t>
      </w:r>
    </w:p>
    <w:p>
      <w:pPr>
        <w:jc w:val="both"/>
      </w:pPr>
      <w:r>
        <w:rPr>
          <w:rFonts w:ascii="Times New Roman" w:hAnsi="Times New Roman"/>
          <w:b/>
        </w:rPr>
        <w:t xml:space="preserve">CORRETOR(A) PARCEIRO(A): </w:t>
      </w:r>
      <w:r>
        <w:rPr>
          <w:rFonts w:ascii="Times New Roman" w:hAnsi="Times New Roman"/>
          <w:b/>
          <w:color w:val="1F4E9A"/>
        </w:rPr>
        <w:t>{{corr_parceiro_nome}}</w:t>
      </w:r>
      <w:r>
        <w:rPr>
          <w:rFonts w:ascii="Times New Roman" w:hAnsi="Times New Roman"/>
          <w:b w:val="0"/>
        </w:rPr>
        <w:t xml:space="preserve">, </w:t>
      </w:r>
      <w:r>
        <w:rPr>
          <w:rFonts w:ascii="Times New Roman" w:hAnsi="Times New Roman"/>
          <w:b/>
        </w:rPr>
        <w:t>CRECI/</w:t>
      </w:r>
      <w:r>
        <w:rPr>
          <w:rFonts w:ascii="Times New Roman" w:hAnsi="Times New Roman"/>
          <w:b/>
          <w:color w:val="1F4E9A"/>
        </w:rPr>
        <w:t>{{corr_parceiro_creci}}</w:t>
      </w:r>
      <w:r>
        <w:rPr>
          <w:rFonts w:ascii="Times New Roman" w:hAnsi="Times New Roman"/>
          <w:b w:val="0"/>
        </w:rPr>
        <w:t xml:space="preserve"> (carteira válida até </w:t>
      </w:r>
      <w:r>
        <w:rPr>
          <w:rFonts w:ascii="Times New Roman" w:hAnsi="Times New Roman"/>
          <w:b w:val="0"/>
          <w:color w:val="1F4E9A"/>
        </w:rPr>
        <w:t>{{corr_parceiro_creci_validade}}</w:t>
      </w:r>
      <w:r>
        <w:rPr>
          <w:rFonts w:ascii="Times New Roman" w:hAnsi="Times New Roman"/>
          <w:b w:val="0"/>
        </w:rPr>
        <w:t xml:space="preserve">; certidão de regularidade n.º </w:t>
      </w:r>
      <w:r>
        <w:rPr>
          <w:rFonts w:ascii="Times New Roman" w:hAnsi="Times New Roman"/>
          <w:b w:val="0"/>
          <w:color w:val="1F4E9A"/>
        </w:rPr>
        <w:t>{{corr_parceiro_certidao_codigo}}</w:t>
      </w:r>
      <w:r>
        <w:rPr>
          <w:rFonts w:ascii="Times New Roman" w:hAnsi="Times New Roman"/>
          <w:b w:val="0"/>
        </w:rPr>
        <w:t xml:space="preserve">), CPF n.º </w:t>
      </w:r>
      <w:r>
        <w:rPr>
          <w:rFonts w:ascii="Times New Roman" w:hAnsi="Times New Roman"/>
          <w:b w:val="0"/>
          <w:color w:val="1F4E9A"/>
        </w:rPr>
        <w:t>{{corr_parceiro_cpf}}</w:t>
      </w:r>
      <w:r>
        <w:rPr>
          <w:rFonts w:ascii="Times New Roman" w:hAnsi="Times New Roman"/>
          <w:b w:val="0"/>
        </w:rPr>
        <w:t>, que participou da intermediação em parceria com a INTERMEDIADORA (Lei n.º 6.530/1978; Código Civil, art. 728).</w:t>
      </w:r>
    </w:p>
    <w:p>
      <w:pPr>
        <w:spacing w:after="0"/>
      </w:pPr>
      <w:r>
        <w:rPr>
          <w:color w:val="990099"/>
          <w:sz w:val="16"/>
        </w:rPr>
        <w:t>{{/corr_parceiro}}</w:t>
      </w:r>
    </w:p>
    <w:p>
      <w:pPr>
        <w:keepNext/>
        <w:spacing w:before="180"/>
        <w:pBdr>
          <w:bottom w:val="single" w:sz="6" w:space="1" w:color="C9A84C"/>
        </w:pBdr>
      </w:pPr>
      <w:r>
        <w:rPr>
          <w:rFonts w:ascii="Times New Roman" w:hAnsi="Times New Roman"/>
          <w:b/>
          <w:color w:val="0C3320"/>
          <w:sz w:val="22"/>
        </w:rPr>
        <w:t>CONSIDERANDOS</w:t>
      </w:r>
    </w:p>
    <w:p>
      <w:pPr>
        <w:ind w:left="454"/>
        <w:jc w:val="both"/>
      </w:pPr>
      <w:r>
        <w:rPr>
          <w:rFonts w:ascii="Times New Roman" w:hAnsi="Times New Roman"/>
          <w:b w:val="0"/>
        </w:rPr>
        <w:t xml:space="preserve">(a) que a área do empreendimento, denominada </w:t>
      </w:r>
      <w:r>
        <w:rPr>
          <w:rFonts w:ascii="Times New Roman" w:hAnsi="Times New Roman"/>
          <w:b/>
          <w:color w:val="1F4E9A"/>
        </w:rPr>
        <w:t>{{emp_imovel_denominacao}}</w:t>
      </w:r>
      <w:r>
        <w:rPr>
          <w:rFonts w:ascii="Times New Roman" w:hAnsi="Times New Roman"/>
          <w:b w:val="0"/>
        </w:rPr>
        <w:t xml:space="preserve">, com </w:t>
      </w:r>
      <w:r>
        <w:rPr>
          <w:rFonts w:ascii="Times New Roman" w:hAnsi="Times New Roman"/>
          <w:b/>
          <w:color w:val="1F4E9A"/>
        </w:rPr>
        <w:t>{{emp_area_ha}}</w:t>
      </w:r>
      <w:r>
        <w:rPr>
          <w:rFonts w:ascii="Times New Roman" w:hAnsi="Times New Roman"/>
          <w:b/>
        </w:rPr>
        <w:t xml:space="preserve"> ha</w:t>
      </w:r>
      <w:r>
        <w:rPr>
          <w:rFonts w:ascii="Times New Roman" w:hAnsi="Times New Roman"/>
          <w:b w:val="0"/>
        </w:rPr>
        <w:t xml:space="preserve"> e perímetro de </w:t>
      </w:r>
      <w:r>
        <w:rPr>
          <w:rFonts w:ascii="Times New Roman" w:hAnsi="Times New Roman"/>
          <w:b w:val="0"/>
          <w:color w:val="1F4E9A"/>
        </w:rPr>
        <w:t>{{emp_perimetro_m}}</w:t>
      </w:r>
      <w:r>
        <w:rPr>
          <w:rFonts w:ascii="Times New Roman" w:hAnsi="Times New Roman"/>
          <w:b w:val="0"/>
        </w:rPr>
        <w:t xml:space="preserve"> m, georreferenciada e certificada no SIGEF/INCRA sob o n.º </w:t>
      </w:r>
      <w:r>
        <w:rPr>
          <w:rFonts w:ascii="Times New Roman" w:hAnsi="Times New Roman"/>
          <w:b/>
          <w:color w:val="1F4E9A"/>
        </w:rPr>
        <w:t>{{emp_sigef}}</w:t>
      </w:r>
      <w:r>
        <w:rPr>
          <w:rFonts w:ascii="Times New Roman" w:hAnsi="Times New Roman"/>
          <w:b w:val="0"/>
        </w:rPr>
        <w:t xml:space="preserve">, é parte do imóvel da Matrícula n.º </w:t>
      </w:r>
      <w:r>
        <w:rPr>
          <w:rFonts w:ascii="Times New Roman" w:hAnsi="Times New Roman"/>
          <w:b w:val="0"/>
          <w:color w:val="1F4E9A"/>
        </w:rPr>
        <w:t>{{emp_matricula_origem}}</w:t>
      </w:r>
      <w:r>
        <w:rPr>
          <w:rFonts w:ascii="Times New Roman" w:hAnsi="Times New Roman"/>
          <w:b w:val="0"/>
        </w:rPr>
        <w:t xml:space="preserve">, </w:t>
      </w:r>
      <w:r>
        <w:rPr>
          <w:rFonts w:ascii="Times New Roman" w:hAnsi="Times New Roman"/>
          <w:b w:val="0"/>
          <w:color w:val="1F4E9A"/>
        </w:rPr>
        <w:t>{{emp_matricula_livro_fls}}</w:t>
      </w:r>
      <w:r>
        <w:rPr>
          <w:rFonts w:ascii="Times New Roman" w:hAnsi="Times New Roman"/>
          <w:b w:val="0"/>
        </w:rPr>
        <w:t xml:space="preserve">, do </w:t>
      </w:r>
      <w:r>
        <w:rPr>
          <w:rFonts w:ascii="Times New Roman" w:hAnsi="Times New Roman"/>
          <w:b w:val="0"/>
          <w:color w:val="1F4E9A"/>
        </w:rPr>
        <w:t>{{emp_cartorio_ri}}</w:t>
      </w:r>
      <w:r>
        <w:rPr>
          <w:rFonts w:ascii="Times New Roman" w:hAnsi="Times New Roman"/>
          <w:b w:val="0"/>
        </w:rPr>
        <w:t xml:space="preserve">, cadastrado no INCRA sob o n.º </w:t>
      </w:r>
      <w:r>
        <w:rPr>
          <w:rFonts w:ascii="Times New Roman" w:hAnsi="Times New Roman"/>
          <w:b w:val="0"/>
          <w:color w:val="1F4E9A"/>
        </w:rPr>
        <w:t>{{emp_ccir}}</w:t>
      </w:r>
      <w:r>
        <w:rPr>
          <w:rFonts w:ascii="Times New Roman" w:hAnsi="Times New Roman"/>
          <w:b w:val="0"/>
        </w:rPr>
        <w:t xml:space="preserve"> e na Receita Federal sob o CIB </w:t>
      </w:r>
      <w:r>
        <w:rPr>
          <w:rFonts w:ascii="Times New Roman" w:hAnsi="Times New Roman"/>
          <w:b w:val="0"/>
          <w:color w:val="1F4E9A"/>
        </w:rPr>
        <w:t>{{emp_cib}}</w:t>
      </w:r>
      <w:r>
        <w:rPr>
          <w:rFonts w:ascii="Times New Roman" w:hAnsi="Times New Roman"/>
          <w:b w:val="0"/>
        </w:rPr>
        <w:t>;</w:t>
      </w:r>
    </w:p>
    <w:p>
      <w:pPr>
        <w:ind w:left="454"/>
        <w:jc w:val="both"/>
      </w:pPr>
      <w:r>
        <w:rPr>
          <w:rFonts w:ascii="Times New Roman" w:hAnsi="Times New Roman"/>
          <w:b w:val="0"/>
        </w:rPr>
        <w:t xml:space="preserve">(b) que a titularidade da VENDEDORA (ou da TITULAR ANUENTE) decorre de </w:t>
      </w:r>
      <w:r>
        <w:rPr>
          <w:rFonts w:ascii="Times New Roman" w:hAnsi="Times New Roman"/>
          <w:b/>
          <w:color w:val="1F4E9A"/>
        </w:rPr>
        <w:t>{{emp_titulo_aquisitivo}}</w:t>
      </w:r>
      <w:r>
        <w:rPr>
          <w:rFonts w:ascii="Times New Roman" w:hAnsi="Times New Roman"/>
          <w:b w:val="0"/>
        </w:rPr>
        <w:t xml:space="preserve">, e que a individualização registral da área se dá por </w:t>
      </w:r>
      <w:r>
        <w:rPr>
          <w:rFonts w:ascii="Times New Roman" w:hAnsi="Times New Roman"/>
          <w:b/>
          <w:color w:val="1F4E9A"/>
        </w:rPr>
        <w:t>{{emp_inventario_situacao}}</w:t>
      </w:r>
      <w:r>
        <w:rPr>
          <w:rFonts w:ascii="Times New Roman" w:hAnsi="Times New Roman"/>
          <w:b w:val="0"/>
        </w:rPr>
        <w:t>;</w:t>
      </w:r>
    </w:p>
    <w:p>
      <w:pPr>
        <w:ind w:left="454"/>
        <w:jc w:val="both"/>
      </w:pPr>
      <w:r>
        <w:rPr>
          <w:rFonts w:ascii="Times New Roman" w:hAnsi="Times New Roman"/>
          <w:b w:val="0"/>
        </w:rPr>
        <w:t xml:space="preserve">(c) que o parcelamento foi licenciado pela </w:t>
      </w:r>
      <w:r>
        <w:rPr>
          <w:rFonts w:ascii="Times New Roman" w:hAnsi="Times New Roman"/>
          <w:b/>
          <w:color w:val="1F4E9A"/>
        </w:rPr>
        <w:t>{{emp_licenca_ambiental}}</w:t>
      </w:r>
      <w:r>
        <w:rPr>
          <w:rFonts w:ascii="Times New Roman" w:hAnsi="Times New Roman"/>
          <w:b w:val="0"/>
        </w:rPr>
        <w:t xml:space="preserve"> (</w:t>
      </w:r>
      <w:r>
        <w:rPr>
          <w:rFonts w:ascii="Times New Roman" w:hAnsi="Times New Roman"/>
          <w:b w:val="0"/>
          <w:color w:val="1F4E9A"/>
        </w:rPr>
        <w:t>{{emp_licenca_orgao}}</w:t>
      </w:r>
      <w:r>
        <w:rPr>
          <w:rFonts w:ascii="Times New Roman" w:hAnsi="Times New Roman"/>
          <w:b w:val="0"/>
        </w:rPr>
        <w:t xml:space="preserve">, Processo </w:t>
      </w:r>
      <w:r>
        <w:rPr>
          <w:rFonts w:ascii="Times New Roman" w:hAnsi="Times New Roman"/>
          <w:b w:val="0"/>
          <w:color w:val="1F4E9A"/>
        </w:rPr>
        <w:t>{{emp_licenca_processo}}</w:t>
      </w:r>
      <w:r>
        <w:rPr>
          <w:rFonts w:ascii="Times New Roman" w:hAnsi="Times New Roman"/>
          <w:b w:val="0"/>
        </w:rPr>
        <w:t xml:space="preserve">) e aprovado nos termos da </w:t>
      </w:r>
      <w:r>
        <w:rPr>
          <w:rFonts w:ascii="Times New Roman" w:hAnsi="Times New Roman"/>
          <w:b/>
        </w:rPr>
        <w:t xml:space="preserve">Lei Municipal n.º </w:t>
      </w:r>
      <w:r>
        <w:rPr>
          <w:rFonts w:ascii="Times New Roman" w:hAnsi="Times New Roman"/>
          <w:b/>
          <w:color w:val="1F4E9A"/>
        </w:rPr>
        <w:t>{{emp_lei_municipal}}</w:t>
      </w:r>
      <w:r>
        <w:rPr>
          <w:rFonts w:ascii="Times New Roman" w:hAnsi="Times New Roman"/>
          <w:b w:val="0"/>
        </w:rPr>
        <w:t xml:space="preserve"> (chacreamentos urbanos — lotes urbanos com características rurais), com aprovação </w:t>
      </w:r>
      <w:r>
        <w:rPr>
          <w:rFonts w:ascii="Times New Roman" w:hAnsi="Times New Roman"/>
          <w:b/>
          <w:color w:val="1F4E9A"/>
        </w:rPr>
        <w:t>{{emp_aprovacao_numero}}</w:t>
      </w:r>
      <w:r>
        <w:rPr>
          <w:rFonts w:ascii="Times New Roman" w:hAnsi="Times New Roman"/>
          <w:b w:val="0"/>
        </w:rPr>
        <w:t xml:space="preserve"> e registro </w:t>
      </w:r>
      <w:r>
        <w:rPr>
          <w:rFonts w:ascii="Times New Roman" w:hAnsi="Times New Roman"/>
          <w:b/>
          <w:color w:val="1F4E9A"/>
        </w:rPr>
        <w:t>{{emp_registro_parcelamento}}</w:t>
      </w:r>
      <w:r>
        <w:rPr>
          <w:rFonts w:ascii="Times New Roman" w:hAnsi="Times New Roman"/>
          <w:b w:val="0"/>
        </w:rPr>
        <w:t xml:space="preserve">, sob o regime de </w:t>
      </w:r>
      <w:r>
        <w:rPr>
          <w:rFonts w:ascii="Times New Roman" w:hAnsi="Times New Roman"/>
          <w:b/>
          <w:color w:val="1F4E9A"/>
        </w:rPr>
        <w:t>{{emp_regime_juridico}}</w:t>
      </w:r>
      <w:r>
        <w:rPr>
          <w:rFonts w:ascii="Times New Roman" w:hAnsi="Times New Roman"/>
          <w:b w:val="0"/>
        </w:rPr>
        <w:t>;</w:t>
      </w:r>
    </w:p>
    <w:p>
      <w:pPr>
        <w:ind w:left="454"/>
        <w:jc w:val="both"/>
      </w:pPr>
      <w:r>
        <w:rPr>
          <w:rFonts w:ascii="Times New Roman" w:hAnsi="Times New Roman"/>
          <w:b w:val="0"/>
        </w:rPr>
        <w:t xml:space="preserve">(c.1) que a denominação comercial </w:t>
      </w:r>
      <w:r>
        <w:rPr>
          <w:rFonts w:ascii="Times New Roman" w:hAnsi="Times New Roman"/>
          <w:b/>
        </w:rPr>
        <w:t>"</w:t>
      </w:r>
      <w:r>
        <w:rPr>
          <w:rFonts w:ascii="Times New Roman" w:hAnsi="Times New Roman"/>
          <w:b/>
          <w:color w:val="1F4E9A"/>
        </w:rPr>
        <w:t>{{emp_nome}}</w:t>
      </w:r>
      <w:r>
        <w:rPr>
          <w:rFonts w:ascii="Times New Roman" w:hAnsi="Times New Roman"/>
          <w:b/>
        </w:rPr>
        <w:t>"</w:t>
      </w:r>
      <w:r>
        <w:rPr>
          <w:rFonts w:ascii="Times New Roman" w:hAnsi="Times New Roman"/>
          <w:b w:val="0"/>
        </w:rPr>
        <w:t xml:space="preserve"> é nome de fantasia: o regime jurídico do empreendimento é o indicado na alínea (c), com administração exercida pela associação de proprietários (Cláusula 14ª), o que o(a) COMPRADOR(A) declara ter compreendido (CDC, arts. 6º, III, e 31);</w:t>
      </w:r>
    </w:p>
    <w:p>
      <w:pPr>
        <w:ind w:left="454"/>
        <w:jc w:val="both"/>
      </w:pPr>
      <w:r>
        <w:rPr>
          <w:rFonts w:ascii="Times New Roman" w:hAnsi="Times New Roman"/>
          <w:b w:val="0"/>
        </w:rPr>
        <w:t>(d) que, aprovado o projeto, o imóvel passou a ser considerado urbano para todos os fins (CTN, art. 32, § 2º), com o cancelamento dos cadastros rurais no INCRA e na Receita Federal na forma da lei municipal;</w:t>
      </w:r>
    </w:p>
    <w:p>
      <w:pPr>
        <w:jc w:val="both"/>
      </w:pPr>
      <w:r>
        <w:rPr>
          <w:rFonts w:ascii="Times New Roman" w:hAnsi="Times New Roman"/>
          <w:b w:val="0"/>
        </w:rPr>
        <w:t>as partes têm entre si, justo e contratado, o presente compromisso, que se rege pela Lei n.º 6.766/1979 (com as alterações das Leis n.º 9.785/1999, 13.465/2017 e 13.786/2018), pelos arts. 1.417 e 1.418 do Código Civil, pelo Código de Defesa do Consumidor (Lei n.º 8.078/1990), pela legislação municipal referida e pelas cláusulas seguintes.</w:t>
      </w:r>
    </w:p>
    <w:p>
      <w:pPr>
        <w:keepNext/>
        <w:spacing w:before="180"/>
        <w:pBdr>
          <w:bottom w:val="single" w:sz="6" w:space="1" w:color="C9A84C"/>
        </w:pBdr>
      </w:pPr>
      <w:r>
        <w:rPr>
          <w:rFonts w:ascii="Times New Roman" w:hAnsi="Times New Roman"/>
          <w:b/>
          <w:color w:val="0C3320"/>
          <w:sz w:val="22"/>
        </w:rPr>
        <w:t>CLÁUSULA 1ª — DO OBJETO</w:t>
      </w:r>
    </w:p>
    <w:p>
      <w:pPr>
        <w:jc w:val="both"/>
      </w:pPr>
      <w:r>
        <w:rPr>
          <w:rFonts w:ascii="Times New Roman" w:hAnsi="Times New Roman"/>
          <w:b w:val="0"/>
        </w:rPr>
        <w:t xml:space="preserve">1.1. A VENDEDORA promete vender ao(à) COMPRADOR(A), e este(a) promete comprar, livre e desembaraçada de ônus reais, dívidas e gravames, ressalvados os expressamente declarados no item 17 do Quadro-Resumo, a </w:t>
      </w:r>
      <w:r>
        <w:rPr>
          <w:rFonts w:ascii="Times New Roman" w:hAnsi="Times New Roman"/>
          <w:b/>
        </w:rPr>
        <w:t xml:space="preserve">Chácara </w:t>
      </w:r>
      <w:r>
        <w:rPr>
          <w:rFonts w:ascii="Times New Roman" w:hAnsi="Times New Roman"/>
          <w:b/>
          <w:color w:val="1F4E9A"/>
        </w:rPr>
        <w:t>{{lote_codigo}}</w:t>
      </w:r>
      <w:r>
        <w:rPr>
          <w:rFonts w:ascii="Times New Roman" w:hAnsi="Times New Roman"/>
          <w:b w:val="0"/>
        </w:rPr>
        <w:t xml:space="preserve"> do </w:t>
      </w:r>
      <w:r>
        <w:rPr>
          <w:rFonts w:ascii="Times New Roman" w:hAnsi="Times New Roman"/>
          <w:b w:val="0"/>
          <w:color w:val="1F4E9A"/>
        </w:rPr>
        <w:t>{{emp_nome}}</w:t>
      </w:r>
      <w:r>
        <w:rPr>
          <w:rFonts w:ascii="Times New Roman" w:hAnsi="Times New Roman"/>
          <w:b w:val="0"/>
        </w:rPr>
        <w:t xml:space="preserve">, assim descrita: </w:t>
      </w:r>
      <w:r>
        <w:rPr>
          <w:rFonts w:ascii="Times New Roman" w:hAnsi="Times New Roman"/>
          <w:b/>
          <w:color w:val="1F4E9A"/>
        </w:rPr>
        <w:t>{{lote_descricao}}</w:t>
      </w:r>
      <w:r>
        <w:rPr>
          <w:rFonts w:ascii="Times New Roman" w:hAnsi="Times New Roman"/>
          <w:b w:val="0"/>
        </w:rPr>
        <w:t>.</w:t>
      </w:r>
    </w:p>
    <w:p>
      <w:pPr>
        <w:jc w:val="both"/>
      </w:pPr>
      <w:r>
        <w:rPr>
          <w:rFonts w:ascii="Times New Roman" w:hAnsi="Times New Roman"/>
          <w:b w:val="0"/>
        </w:rPr>
        <w:t xml:space="preserve">1.2. O memorial descritivo georreferenciado (SIRGAS 2000), a planta individual e o quadro de vértices da unidade, elaborados pela Romatec Consultoria Total sob a responsabilidade técnica de José Romário Pinto Bezerra (TRT n.º </w:t>
      </w:r>
      <w:r>
        <w:rPr>
          <w:rFonts w:ascii="Times New Roman" w:hAnsi="Times New Roman"/>
          <w:b w:val="0"/>
          <w:color w:val="1F4E9A"/>
        </w:rPr>
        <w:t>{{emp_trt_rt}}</w:t>
      </w:r>
      <w:r>
        <w:rPr>
          <w:rFonts w:ascii="Times New Roman" w:hAnsi="Times New Roman"/>
          <w:b w:val="0"/>
        </w:rPr>
        <w:t xml:space="preserve">), constituem o </w:t>
      </w:r>
      <w:r>
        <w:rPr>
          <w:rFonts w:ascii="Times New Roman" w:hAnsi="Times New Roman"/>
          <w:b/>
        </w:rPr>
        <w:t>Anexo I</w:t>
      </w:r>
      <w:r>
        <w:rPr>
          <w:rFonts w:ascii="Times New Roman" w:hAnsi="Times New Roman"/>
          <w:b w:val="0"/>
        </w:rPr>
        <w:t>, rubricado pelas partes.</w:t>
      </w:r>
    </w:p>
    <w:p>
      <w:pPr>
        <w:jc w:val="both"/>
      </w:pPr>
      <w:r>
        <w:rPr>
          <w:rFonts w:ascii="Times New Roman" w:hAnsi="Times New Roman"/>
          <w:b w:val="0"/>
        </w:rPr>
        <w:t xml:space="preserve">1.3. A unidade é vendida </w:t>
      </w:r>
      <w:r>
        <w:rPr>
          <w:rFonts w:ascii="Times New Roman" w:hAnsi="Times New Roman"/>
          <w:b/>
        </w:rPr>
        <w:t>por área certa (ad mensuram)</w:t>
      </w:r>
      <w:r>
        <w:rPr>
          <w:rFonts w:ascii="Times New Roman" w:hAnsi="Times New Roman"/>
          <w:b w:val="0"/>
        </w:rPr>
        <w:t>. Diferença de até 1/20 (um vigésimo) da área declarada é tolerada como meramente enunciativa e não gera complemento, abatimento ou resolução (Código Civil, art. 500, § 1º). Acima desse limite, aplica-se o art. 500, caput, do Código Civil, apurada a diferença por levantamento de profissional habilitado.</w:t>
      </w:r>
    </w:p>
    <w:p>
      <w:pPr>
        <w:keepNext/>
        <w:spacing w:before="180"/>
        <w:pBdr>
          <w:bottom w:val="single" w:sz="6" w:space="1" w:color="C9A84C"/>
        </w:pBdr>
      </w:pPr>
      <w:r>
        <w:rPr>
          <w:rFonts w:ascii="Times New Roman" w:hAnsi="Times New Roman"/>
          <w:b/>
          <w:color w:val="0C3320"/>
          <w:sz w:val="22"/>
        </w:rPr>
        <w:t>CLÁUSULA 2ª — DO EMPREENDIMENTO, DO REGISTRO E DA REGULARIDADE</w:t>
      </w:r>
    </w:p>
    <w:p>
      <w:pPr>
        <w:jc w:val="both"/>
      </w:pPr>
      <w:r>
        <w:rPr>
          <w:rFonts w:ascii="Times New Roman" w:hAnsi="Times New Roman"/>
          <w:b w:val="0"/>
        </w:rPr>
        <w:t xml:space="preserve">2.1. O </w:t>
      </w:r>
      <w:r>
        <w:rPr>
          <w:rFonts w:ascii="Times New Roman" w:hAnsi="Times New Roman"/>
          <w:b w:val="0"/>
          <w:color w:val="1F4E9A"/>
        </w:rPr>
        <w:t>{{emp_nome}}</w:t>
      </w:r>
      <w:r>
        <w:rPr>
          <w:rFonts w:ascii="Times New Roman" w:hAnsi="Times New Roman"/>
          <w:b w:val="0"/>
        </w:rPr>
        <w:t xml:space="preserve"> é composto por </w:t>
      </w:r>
      <w:r>
        <w:rPr>
          <w:rFonts w:ascii="Times New Roman" w:hAnsi="Times New Roman"/>
          <w:b w:val="0"/>
          <w:color w:val="1F4E9A"/>
        </w:rPr>
        <w:t>{{emp_qtd_lotes}}</w:t>
      </w:r>
      <w:r>
        <w:rPr>
          <w:rFonts w:ascii="Times New Roman" w:hAnsi="Times New Roman"/>
          <w:b w:val="0"/>
        </w:rPr>
        <w:t xml:space="preserve"> lotes nas Quadras A, B, C e D, dos quais </w:t>
      </w:r>
      <w:r>
        <w:rPr>
          <w:rFonts w:ascii="Times New Roman" w:hAnsi="Times New Roman"/>
          <w:b w:val="0"/>
          <w:color w:val="1F4E9A"/>
        </w:rPr>
        <w:t>{{emp_qtd_comercializaveis}}</w:t>
      </w:r>
      <w:r>
        <w:rPr>
          <w:rFonts w:ascii="Times New Roman" w:hAnsi="Times New Roman"/>
          <w:b w:val="0"/>
        </w:rPr>
        <w:t xml:space="preserve"> são chácaras comercializáveis; os lotes A03 (área técnica de abastecimento de água) e B14 (administração e apoio) não são comercializados. Integram o projeto o sistema viário, o portal com guarita, a Quadra E (uso comum/institucional), a Quadra F (área de vivência, com a Área de Preservação Permanente do córrego) e as áreas públicas doadas ao Município, conforme o quadro de áreas do projeto aprovado.</w:t>
      </w:r>
    </w:p>
    <w:p>
      <w:pPr>
        <w:jc w:val="both"/>
      </w:pPr>
      <w:r>
        <w:rPr>
          <w:rFonts w:ascii="Times New Roman" w:hAnsi="Times New Roman"/>
          <w:b w:val="0"/>
        </w:rPr>
        <w:t xml:space="preserve">2.2. A VENDEDORA declara, sob as penas da lei, que o parcelamento está </w:t>
      </w:r>
      <w:r>
        <w:rPr>
          <w:rFonts w:ascii="Times New Roman" w:hAnsi="Times New Roman"/>
          <w:b/>
        </w:rPr>
        <w:t>aprovado pelo Município e registrado no Registro de Imóveis</w:t>
      </w:r>
      <w:r>
        <w:rPr>
          <w:rFonts w:ascii="Times New Roman" w:hAnsi="Times New Roman"/>
          <w:b w:val="0"/>
        </w:rPr>
        <w:t xml:space="preserve"> nos termos dos itens 5 e 6 do Quadro-Resumo, condição indispensável à celebração deste compromisso (Lei n.º 6.766/1979, arts. 18 e 37), e que mantém à disposição do(a) COMPRADOR(A) a certidão do registro, o projeto aprovado, o cronograma de obras e o instrumento de garantia de sua execução (art. 18, V).</w:t>
      </w:r>
    </w:p>
    <w:p>
      <w:pPr>
        <w:jc w:val="both"/>
      </w:pPr>
      <w:r>
        <w:rPr>
          <w:rFonts w:ascii="Times New Roman" w:hAnsi="Times New Roman"/>
          <w:b w:val="0"/>
        </w:rPr>
        <w:t xml:space="preserve">2.3. </w:t>
      </w:r>
      <w:r>
        <w:rPr>
          <w:rFonts w:ascii="Times New Roman" w:hAnsi="Times New Roman"/>
          <w:b/>
        </w:rPr>
        <w:t>A unidade é indivisível.</w:t>
      </w:r>
      <w:r>
        <w:rPr>
          <w:rFonts w:ascii="Times New Roman" w:hAnsi="Times New Roman"/>
          <w:b w:val="0"/>
        </w:rPr>
        <w:t xml:space="preserve"> É vedado o desmembramento, desdobro ou qualquer subdivisão que resulte em lote com área inferior a </w:t>
      </w:r>
      <w:r>
        <w:rPr>
          <w:rFonts w:ascii="Times New Roman" w:hAnsi="Times New Roman"/>
          <w:b w:val="0"/>
          <w:color w:val="1F4E9A"/>
        </w:rPr>
        <w:t>{{emp_fracao_minima_m2}}</w:t>
      </w:r>
      <w:r>
        <w:rPr>
          <w:rFonts w:ascii="Times New Roman" w:hAnsi="Times New Roman"/>
          <w:b w:val="0"/>
        </w:rPr>
        <w:t xml:space="preserve"> m² (Lei Municipal n.º </w:t>
      </w:r>
      <w:r>
        <w:rPr>
          <w:rFonts w:ascii="Times New Roman" w:hAnsi="Times New Roman"/>
          <w:b w:val="0"/>
          <w:color w:val="1F4E9A"/>
        </w:rPr>
        <w:t>{{emp_lei_municipal}}</w:t>
      </w:r>
      <w:r>
        <w:rPr>
          <w:rFonts w:ascii="Times New Roman" w:hAnsi="Times New Roman"/>
          <w:b w:val="0"/>
        </w:rPr>
        <w:t>). Qualquer ato em contrário é nulo de pleno direito e não será registrado.</w:t>
      </w:r>
    </w:p>
    <w:p>
      <w:pPr>
        <w:jc w:val="both"/>
      </w:pPr>
      <w:r>
        <w:rPr>
          <w:rFonts w:ascii="Times New Roman" w:hAnsi="Times New Roman"/>
          <w:b w:val="0"/>
        </w:rPr>
        <w:t xml:space="preserve">2.4. O(A) COMPRADOR(A) declara ter recebido e conhecer o projeto urbanístico aprovado, o Mapa de Vendas (Anexo V), a Licença Ambiental e suas condicionantes (Anexo VI), o Estatuto da associação/instrumento de regência (Anexo III), as Diretrizes de Uso (Anexo IV) e a Tabela Tarifária de Água (Anexo VIII).</w:t>
      </w:r>
    </w:p>
    <w:p>
      <w:pPr>
        <w:jc w:val="both"/>
      </w:pPr>
      <w:r>
        <w:rPr>
          <w:rFonts w:ascii="Times New Roman" w:hAnsi="Times New Roman"/>
          <w:b w:val="0"/>
        </w:rPr>
        <w:t xml:space="preserve">2.5. </w:t>
      </w:r>
      <w:r>
        <w:rPr>
          <w:rFonts w:ascii="Times New Roman" w:hAnsi="Times New Roman"/>
          <w:b/>
        </w:rPr>
        <w:t xml:space="preserve">Espaço de recreação de uso exclusivo.</w:t>
      </w:r>
      <w:r>
        <w:rPr>
          <w:rFonts w:ascii="Times New Roman" w:hAnsi="Times New Roman"/>
          <w:b w:val="0"/>
        </w:rPr>
        <w:t xml:space="preserve"> A área de vivência (Quadra F) é área privada do empreendimento, não integrante das áreas públicas doadas ao Município, e constitui reserva de preservação do condomínio (Cláusula 15.3). Nela, fora da faixa de Área de Preservação Permanente do córrego e somente em área já aberta, sem supressão de vegetação nativa, será destinado a cada chácara um espaço de uso exclusivo de </w:t>
      </w:r>
      <w:r>
        <w:rPr>
          <w:rFonts w:ascii="Times New Roman" w:hAnsi="Times New Roman"/>
          <w:b w:val="0"/>
          <w:color w:val="1F4E9A"/>
        </w:rPr>
        <w:t xml:space="preserve">{{emp_area_recreacao_m2}}</w:t>
      </w:r>
      <w:r>
        <w:rPr>
          <w:rFonts w:ascii="Times New Roman" w:hAnsi="Times New Roman"/>
          <w:b w:val="0"/>
        </w:rPr>
        <w:t xml:space="preserve"> m², identificado e numerado em planta própria entregue com o Mapa de Vendas (Anexo V), vinculado à unidade e transmitido com ela. O condomínio disponibilizará em cada espaço uma tenda e uma churrasqueira. Outras benfeitorias limitam-se a estruturas leves e removíveis — cabana ou quiosque de madeira, sem fundação de alvenaria —, correrão por conta exclusiva do(a) COMPRADOR(A), dependerão de aprovação prévia da administração e observarão o padrão das Diretrizes de Uso (Anexo IV); banheiro, somente com sistema de esgotamento sanitário na forma da Cláusula 6.4 e a no mínimo 15,00 m do córrego. São vedadas edificações permanentes (casa, chalé ou similar), a supressão de vegetação e qualquer intervenção na Área de Preservação Permanente. As benfeitorias não geram direito de propriedade sobre a área nem de indenização; a área continua sendo de uso comum, com destinação exclusiva à unidade.</w:t>
      </w:r>
    </w:p>
    <w:p>
      <w:pPr>
        <w:jc w:val="both"/>
      </w:pPr>
      <w:r>
        <w:rPr>
          <w:rFonts w:ascii="Times New Roman" w:hAnsi="Times New Roman"/>
          <w:b w:val="0"/>
        </w:rPr>
        <w:t xml:space="preserve">2.6. </w:t>
      </w:r>
      <w:r>
        <w:rPr>
          <w:rFonts w:ascii="Times New Roman" w:hAnsi="Times New Roman"/>
          <w:b/>
        </w:rPr>
        <w:t xml:space="preserve">Venda na planta.</w:t>
      </w:r>
      <w:r>
        <w:rPr>
          <w:rFonts w:ascii="Times New Roman" w:hAnsi="Times New Roman"/>
          <w:b w:val="0"/>
        </w:rPr>
        <w:t xml:space="preserve"> O(A) COMPRADOR(A) declara ciência de que a unidade é adquirida na planta, com a infraestrutura em execução (Cláusula 11ª) e com aprovações complementares ainda em curso junto aos órgãos e concessionárias competentes. À medida que cada uma for obtida, a VENDEDORA emitirá termo aditivo a este contrato, que dele passará a fazer parte integrante, independentemente de nova manifestação de vontade, salvo se alterar preço, prazo, área ou obrigação do(a) COMPRADOR(A), hipótese em que dependerá da assinatura das partes. Serão objeto de aditivo, entre outros: (a) a aprovação do projeto de energia elétrica pela Equatorial Maranhão, com cópia do projeto aprovado e de todos os ofícios, pareceres e termos emitidos pela concessionária, e, depois, o termo de incorporação/energização da rede; (b) a abertura das matrículas individuais das chácaras no Registro de Imóveis, com a indicação do número da matrícula da unidade, que substituirá a referência à matrícula-mãe em todos os efeitos deste contrato; (c) a outorga de uso da água, a Licença de Operação e demais licenças ambientais, o termo de vistoria municipal das obras (Cláusula 11.5) e qualquer outra aprovação que modifique ou complemente as informações do Quadro-Resumo e dos Anexos.</w:t>
      </w:r>
    </w:p>
    <w:p>
      <w:pPr>
        <w:jc w:val="both"/>
      </w:pPr>
      <w:r>
        <w:rPr>
          <w:rFonts w:ascii="Times New Roman" w:hAnsi="Times New Roman"/>
          <w:b w:val="0"/>
        </w:rPr>
        <w:t xml:space="preserve">2.6.1. Os aditivos serão enviados ao(à) COMPRADOR(A) pelos contatos do Quadro-Resumo, com assinatura eletrônica quando exigida, e ficarão disponíveis no sistema, com os documentos que os originaram.</w:t>
      </w:r>
    </w:p>
    <w:p>
      <w:pPr>
        <w:keepNext/>
        <w:spacing w:before="180"/>
        <w:pBdr>
          <w:bottom w:val="single" w:sz="6" w:space="1" w:color="C9A84C"/>
        </w:pBdr>
      </w:pPr>
      <w:r>
        <w:rPr>
          <w:rFonts w:ascii="Times New Roman" w:hAnsi="Times New Roman"/>
          <w:b/>
          <w:color w:val="0C3320"/>
          <w:sz w:val="22"/>
        </w:rPr>
        <w:t>CLÁUSULA 3ª — DO PREÇO E DA FORMA DE PAGAMENTO</w:t>
      </w:r>
    </w:p>
    <w:p>
      <w:pPr>
        <w:jc w:val="both"/>
      </w:pPr>
      <w:r>
        <w:rPr>
          <w:rFonts w:ascii="Times New Roman" w:hAnsi="Times New Roman"/>
          <w:b w:val="0"/>
        </w:rPr>
        <w:t xml:space="preserve">3.1. O preço e a forma de pagamento são os dos itens 8 a 12 do Quadro-Resumo, conforme o plano escolhido pelo(a) COMPRADOR(A) no simulador oficial do empreendimento, cuja tabela de pagamento integra o contrato como </w:t>
      </w:r>
      <w:r>
        <w:rPr>
          <w:rFonts w:ascii="Times New Roman" w:hAnsi="Times New Roman"/>
          <w:b/>
        </w:rPr>
        <w:t>Anexo II</w:t>
      </w:r>
      <w:r>
        <w:rPr>
          <w:rFonts w:ascii="Times New Roman" w:hAnsi="Times New Roman"/>
          <w:b w:val="0"/>
        </w:rPr>
        <w:t>.</w:t>
      </w:r>
    </w:p>
    <w:p>
      <w:pPr>
        <w:spacing w:after="0"/>
      </w:pPr>
      <w:r>
        <w:rPr>
          <w:color w:val="990099"/>
          <w:sz w:val="16"/>
        </w:rPr>
        <w:t>{{#pagamento_avista}}</w:t>
      </w:r>
    </w:p>
    <w:p>
      <w:pPr>
        <w:jc w:val="both"/>
      </w:pPr>
      <w:r>
        <w:rPr>
          <w:rFonts w:ascii="Times New Roman" w:hAnsi="Times New Roman"/>
          <w:b w:val="0"/>
        </w:rPr>
        <w:t xml:space="preserve">3.2. </w:t>
      </w:r>
      <w:r>
        <w:rPr>
          <w:rFonts w:ascii="Times New Roman" w:hAnsi="Times New Roman"/>
          <w:b/>
        </w:rPr>
        <w:t>Pagamento integral à vista.</w:t>
      </w:r>
      <w:r>
        <w:rPr>
          <w:rFonts w:ascii="Times New Roman" w:hAnsi="Times New Roman"/>
          <w:b w:val="0"/>
        </w:rPr>
        <w:t xml:space="preserve"> O preço à vista de R$ </w:t>
      </w:r>
      <w:r>
        <w:rPr>
          <w:rFonts w:ascii="Times New Roman" w:hAnsi="Times New Roman"/>
          <w:b w:val="0"/>
          <w:color w:val="1F4E9A"/>
        </w:rPr>
        <w:t>{{plano_preco_avista}}</w:t>
      </w:r>
      <w:r>
        <w:rPr>
          <w:rFonts w:ascii="Times New Roman" w:hAnsi="Times New Roman"/>
          <w:b w:val="0"/>
        </w:rPr>
        <w:t xml:space="preserve"> será pago em </w:t>
      </w:r>
      <w:r>
        <w:rPr>
          <w:rFonts w:ascii="Times New Roman" w:hAnsi="Times New Roman"/>
          <w:b w:val="0"/>
          <w:color w:val="1F4E9A"/>
        </w:rPr>
        <w:t>{{plano_avista_forma}}</w:t>
      </w:r>
      <w:r>
        <w:rPr>
          <w:rFonts w:ascii="Times New Roman" w:hAnsi="Times New Roman"/>
          <w:b w:val="0"/>
        </w:rPr>
        <w:t>, outorgando a VENDEDORA, após a compensação, plena quitação do preço.</w:t>
      </w:r>
    </w:p>
    <w:p>
      <w:pPr>
        <w:spacing w:after="0"/>
      </w:pPr>
      <w:r>
        <w:rPr>
          <w:color w:val="990099"/>
          <w:sz w:val="16"/>
        </w:rPr>
        <w:t>{{/pagamento_avista}}</w:t>
      </w:r>
    </w:p>
    <w:p>
      <w:pPr>
        <w:spacing w:after="0"/>
      </w:pPr>
      <w:r>
        <w:rPr>
          <w:color w:val="990099"/>
          <w:sz w:val="16"/>
        </w:rPr>
        <w:t>{{#pagamento_financiado}}</w:t>
      </w:r>
    </w:p>
    <w:p>
      <w:pPr>
        <w:jc w:val="both"/>
      </w:pPr>
      <w:r>
        <w:rPr>
          <w:rFonts w:ascii="Times New Roman" w:hAnsi="Times New Roman"/>
          <w:b w:val="0"/>
        </w:rPr>
        <w:t xml:space="preserve">3.2. Entrada. A entrada de R$ {{plano_entrada_valor}}, equivalente a {{plano_entrada_percentual}} do preço de tabela, é a da condição de lançamento {{plano_condicao_titulo}}, constitui sinal e princípio de pagamento, com natureza de arras confirmatórias (Código Civil, arts. 417 a 419), e não confere direito de arrependimento. É paga {{plano_entrada_forma}}. A diferença entre essa entrada e a de 30% (trinta por cento) da condição padrão integra o saldo do item 10 do Quadro-Resumo, financiado no prazo ali indicado.</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b/>
          <w:color w:val="1F4E9A"/>
        </w:rPr>
        <w:t/>
      </w:r>
      <w:r>
        <w:rPr>
          <w:rFonts w:ascii="Times New Roman" w:hAnsi="Times New Roman"/>
          <w:b w:val="0"/>
        </w:rPr>
        <w:t/>
      </w:r>
    </w:p>
    <w:p>
      <w:pPr>
        <w:jc w:val="both"/>
      </w:pPr>
      <w:r>
        <w:rPr>
          <w:rFonts w:ascii="Times New Roman" w:hAnsi="Times New Roman"/>
          <w:b w:val="0"/>
        </w:rPr>
        <w:t xml:space="preserve">3.3. Saldo. O saldo é pago em parcelas mensais, fixas e consecutivas, calculadas pelo Sistema de Amortização Francês (Tabela Price), com juros remuneratórios prefixados à taxa efetiva de {{plano_taxa_aa}} ao ano, aplicada mensalmente pela taxa equivalente de {{plano_taxa_am}} ao mês. As partes declaram que a taxa anual efetiva contratada é a efetivamente praticada, não havendo capitalização em periodicidade inferior à anual que eleve o custo acima de {{plano_taxa_aa}} ao ano, em observância ao art. 591 do Código Civil e ao Decreto n.º 22.626/1933. O primeiro vencimento do saldo ocorre no mês seguinte ao do pagamento da entrada.</w:t>
      </w:r>
      <w:r>
        <w:rPr>
          <w:rFonts w:ascii="Times New Roman" w:hAnsi="Times New Roman"/>
          <w:b/>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p>
    <w:p>
      <w:pPr>
        <w:jc w:val="both"/>
      </w:pPr>
      <w:r>
        <w:rPr>
          <w:rFonts w:ascii="Times New Roman" w:hAnsi="Times New Roman"/>
          <w:b w:val="0"/>
        </w:rPr>
        <w:t xml:space="preserve">3.4. </w:t>
      </w:r>
      <w:r>
        <w:rPr>
          <w:rFonts w:ascii="Times New Roman" w:hAnsi="Times New Roman"/>
          <w:b/>
        </w:rPr>
        <w:t>Parcelas fixas.</w:t>
      </w:r>
      <w:r>
        <w:rPr>
          <w:rFonts w:ascii="Times New Roman" w:hAnsi="Times New Roman"/>
          <w:b w:val="0"/>
        </w:rPr>
        <w:t xml:space="preserve"> Enquanto adimplidas nos vencimentos, as parcelas do saldo </w:t>
      </w:r>
      <w:r>
        <w:rPr>
          <w:rFonts w:ascii="Times New Roman" w:hAnsi="Times New Roman"/>
          <w:b/>
        </w:rPr>
        <w:t>não sofrem correção monetária</w:t>
      </w:r>
      <w:r>
        <w:rPr>
          <w:rFonts w:ascii="Times New Roman" w:hAnsi="Times New Roman"/>
          <w:b w:val="0"/>
        </w:rPr>
        <w:t>. A correção pelo IPCA/IBGE incide somente sobre valores pagos com atraso (Cláusula 7ª) e sobre restituições (Cláusulas 8ª e 9ª).</w:t>
      </w:r>
    </w:p>
    <w:p>
      <w:pPr>
        <w:spacing w:after="0"/>
      </w:pPr>
      <w:r>
        <w:rPr>
          <w:color w:val="990099"/>
          <w:sz w:val="16"/>
        </w:rPr>
        <w:t>{{/pagamento_financiado}}</w:t>
      </w:r>
    </w:p>
    <w:p>
      <w:pPr>
        <w:jc w:val="both"/>
      </w:pPr>
      <w:r>
        <w:rPr>
          <w:rFonts w:ascii="Times New Roman" w:hAnsi="Times New Roman"/>
          <w:b w:val="0"/>
        </w:rPr>
        <w:t>3.5. A tabela do Anexo II discrimina, para cada parcela, o vencimento, o valor, a parcela de juros, a amortização e o saldo devedor, atendendo ao art. 52 do CDC. Em caso de divergência entre o Anexo II e o Quadro-Resumo, prevalece o cálculo pela fórmula da Tabela Price à taxa contratada, conferível por qualquer das partes.</w:t>
      </w:r>
    </w:p>
    <w:p>
      <w:pPr>
        <w:keepNext/>
        <w:spacing w:before="180"/>
        <w:pBdr>
          <w:bottom w:val="single" w:sz="6" w:space="1" w:color="C9A84C"/>
        </w:pBdr>
      </w:pPr>
      <w:r>
        <w:rPr>
          <w:rFonts w:ascii="Times New Roman" w:hAnsi="Times New Roman"/>
          <w:b/>
          <w:color w:val="0C3320"/>
          <w:sz w:val="22"/>
        </w:rPr>
        <w:t>CLÁUSULA 4ª — DOS MEIOS DE PAGAMENTO</w:t>
      </w:r>
    </w:p>
    <w:p>
      <w:pPr>
        <w:jc w:val="both"/>
      </w:pPr>
      <w:r>
        <w:rPr>
          <w:rFonts w:ascii="Times New Roman" w:hAnsi="Times New Roman"/>
          <w:b w:val="0"/>
        </w:rPr>
        <w:t xml:space="preserve">4.1. Os pagamentos são feitos exclusivamente por boleto bancário ou PIX emitidos por {{pag_recebedor_nome}} ({{pag_recebedor_doc}}), gestora de vendas e administradora dos recebíveis do empreendimento, que os recebe por conta e ordem da VENDEDORA na plataforma de pagamentos {{emp_plataforma_pagamento}}, reunidos em carnê entregue ao(à) COMPRADOR(A) em meio físico ou digital (e-mail e WhatsApp informados no preâmbulo). O carnê pode ser emitido em lotes anuais de 12 (doze) parcelas, sem custo para o(a) COMPRADOR(A).</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p>
    <w:p>
      <w:pPr>
        <w:jc w:val="both"/>
      </w:pPr>
      <w:r>
        <w:rPr>
          <w:rFonts w:ascii="Times New Roman" w:hAnsi="Times New Roman"/>
          <w:b w:val="0"/>
        </w:rPr>
        <w:t xml:space="preserve">4.2. É vedado o pagamento em espécie ou em conta de corretores ou de quaisquer terceiros que não a recebedora indicada no item 4.1. Pagamento feito de forma diversa não libera o(a) COMPRADOR(A), salvo se o valor for comprovadamente creditado na conta da recebedora indicada no item 4.1.</w:t>
      </w:r>
      <w:r>
        <w:rPr>
          <w:rFonts w:ascii="Times New Roman" w:hAnsi="Times New Roman"/>
          <w:b/>
        </w:rPr>
        <w:t/>
      </w:r>
      <w:r>
        <w:rPr>
          <w:rFonts w:ascii="Times New Roman" w:hAnsi="Times New Roman"/>
          <w:b w:val="0"/>
        </w:rPr>
        <w:t/>
      </w:r>
    </w:p>
    <w:p>
      <w:pPr>
        <w:jc w:val="both"/>
      </w:pPr>
      <w:r>
        <w:rPr>
          <w:rFonts w:ascii="Times New Roman" w:hAnsi="Times New Roman"/>
          <w:b w:val="0"/>
        </w:rPr>
        <w:t>4.3. O não recebimento do boleto não exime o(a) COMPRADOR(A) do pagamento no vencimento: a segunda via fica disponível no link do carnê digital e pode ser solicitada à administração, sem custo.</w:t>
      </w:r>
    </w:p>
    <w:p>
      <w:pPr>
        <w:jc w:val="both"/>
      </w:pPr>
      <w:r>
        <w:rPr>
          <w:rFonts w:ascii="Times New Roman" w:hAnsi="Times New Roman"/>
          <w:b w:val="0"/>
        </w:rPr>
        <w:t xml:space="preserve">4.4. A compensação do pagamento confirmada pela plataforma vale como recibo, sem prejuízo do recibo emitido pela gestora em nome da VENDEDORA. A quitação de uma parcela não presume a das anteriores, ficando afastada a presunção do art. 322 do Código Civil.</w:t>
      </w:r>
    </w:p>
    <w:p>
      <w:pPr>
        <w:keepNext/>
        <w:spacing w:before="180"/>
        <w:pBdr>
          <w:bottom w:val="single" w:sz="6" w:space="1" w:color="C9A84C"/>
        </w:pBdr>
      </w:pPr>
      <w:r>
        <w:rPr>
          <w:rFonts w:ascii="Times New Roman" w:hAnsi="Times New Roman"/>
          <w:b/>
          <w:color w:val="0C3320"/>
          <w:sz w:val="22"/>
        </w:rPr>
        <w:t>CLÁUSULA 5ª — DA ANTECIPAÇÃO E DA AMORTIZAÇÃO EXTRAORDINÁRIA</w:t>
      </w:r>
    </w:p>
    <w:p>
      <w:pPr>
        <w:jc w:val="both"/>
      </w:pPr>
      <w:r>
        <w:rPr>
          <w:rFonts w:ascii="Times New Roman" w:hAnsi="Times New Roman"/>
          <w:b w:val="0"/>
        </w:rPr>
        <w:t xml:space="preserve">5.1. É assegurada ao(à) COMPRADOR(A) a liquidação antecipada do saldo, total ou parcial, com </w:t>
      </w:r>
      <w:r>
        <w:rPr>
          <w:rFonts w:ascii="Times New Roman" w:hAnsi="Times New Roman"/>
          <w:b/>
        </w:rPr>
        <w:t>redução proporcional dos juros</w:t>
      </w:r>
      <w:r>
        <w:rPr>
          <w:rFonts w:ascii="Times New Roman" w:hAnsi="Times New Roman"/>
          <w:b w:val="0"/>
        </w:rPr>
        <w:t xml:space="preserve"> (CDC, art. 52, § 2º). A antecipação é calculada pelo valor presente das parcelas antecipadas, descontado à taxa do contrato.</w:t>
      </w:r>
    </w:p>
    <w:p>
      <w:pPr>
        <w:jc w:val="both"/>
      </w:pPr>
      <w:r>
        <w:rPr>
          <w:rFonts w:ascii="Times New Roman" w:hAnsi="Times New Roman"/>
          <w:b w:val="0"/>
        </w:rPr>
        <w:t>5.2. Na amortização parcial, o(a) COMPRADOR(A) escolhe entre reduzir o prazo (antecipando as últimas parcelas) ou reduzir o valor das parcelas vincendas, emitindo-se novo Anexo II e novo carnê.</w:t>
      </w:r>
    </w:p>
    <w:p>
      <w:pPr>
        <w:keepNext/>
        <w:spacing w:before="180"/>
        <w:pBdr>
          <w:bottom w:val="single" w:sz="6" w:space="1" w:color="C9A84C"/>
        </w:pBdr>
      </w:pPr>
      <w:r>
        <w:rPr>
          <w:rFonts w:ascii="Times New Roman" w:hAnsi="Times New Roman"/>
          <w:b/>
          <w:color w:val="0C3320"/>
          <w:sz w:val="22"/>
        </w:rPr>
        <w:t>CLÁUSULA 6ª — DA POSSE E DAS CONSTRUÇÕES</w:t>
      </w:r>
    </w:p>
    <w:p>
      <w:pPr>
        <w:jc w:val="both"/>
      </w:pPr>
      <w:r>
        <w:rPr>
          <w:rFonts w:ascii="Times New Roman" w:hAnsi="Times New Roman"/>
          <w:b w:val="0"/>
        </w:rPr>
        <w:t xml:space="preserve">6.1. O(A) COMPRADOR(A) é imitido(a) na posse da unidade após a </w:t>
      </w:r>
      <w:r>
        <w:rPr>
          <w:rFonts w:ascii="Times New Roman" w:hAnsi="Times New Roman"/>
          <w:b/>
        </w:rPr>
        <w:t>quitação integral da entrada</w:t>
      </w:r>
      <w:r>
        <w:rPr>
          <w:rFonts w:ascii="Times New Roman" w:hAnsi="Times New Roman"/>
          <w:b w:val="0"/>
        </w:rPr>
        <w:t>, mediante Termo de Entrega com vistoria dos marcos. A partir daí responde pela guarda, conservação e limpeza da chácara, podendo visitá-la e mantê-la roçada.</w:t>
      </w:r>
    </w:p>
    <w:p>
      <w:pPr>
        <w:jc w:val="both"/>
      </w:pPr>
      <w:r>
        <w:rPr>
          <w:rFonts w:ascii="Times New Roman" w:hAnsi="Times New Roman"/>
          <w:b w:val="0"/>
        </w:rPr>
        <w:t xml:space="preserve">6.1.1. </w:t>
      </w:r>
      <w:r>
        <w:rPr>
          <w:rFonts w:ascii="Times New Roman" w:hAnsi="Times New Roman"/>
          <w:b/>
        </w:rPr>
        <w:t xml:space="preserve">Liberação de uso.</w:t>
      </w:r>
      <w:r>
        <w:rPr>
          <w:rFonts w:ascii="Times New Roman" w:hAnsi="Times New Roman"/>
          <w:b w:val="0"/>
        </w:rPr>
        <w:t xml:space="preserve"> A delimitação da chácara por cerca, muro ou qualquer outro fechamento, o início de qualquer edificação ou benfeitoria, a criação de animais e o plantio de culturas, para qualquer finalidade, só são permitidos após a quitação integral da entrada (sinal) e o pagamento da 3ª (terceira) parcela do saldo, comprovado pelo Termo de Liberação de Uso emitido pela administração depois da vistoria de medição do item 6.1.2. No pagamento integral à vista, a liberação ocorre com a compensação do preço, também precedida da vistoria de medição.</w:t>
      </w:r>
    </w:p>
    <w:p>
      <w:pPr>
        <w:jc w:val="both"/>
      </w:pPr>
      <w:r>
        <w:rPr>
          <w:rFonts w:ascii="Times New Roman" w:hAnsi="Times New Roman"/>
          <w:b w:val="0"/>
        </w:rPr>
        <w:t xml:space="preserve">6.1.2. </w:t>
      </w:r>
      <w:r>
        <w:rPr>
          <w:rFonts w:ascii="Times New Roman" w:hAnsi="Times New Roman"/>
          <w:b/>
        </w:rPr>
        <w:t xml:space="preserve">Vistoria de medição e locação.</w:t>
      </w:r>
      <w:r>
        <w:rPr>
          <w:rFonts w:ascii="Times New Roman" w:hAnsi="Times New Roman"/>
          <w:b w:val="0"/>
        </w:rPr>
        <w:t xml:space="preserve"> Antes da emissão do Termo de Liberação de Uso, a administração realizará vistoria de medição e locação da chácara, conferindo os marcos, as divisas e o posicionamento correto da unidade, para que nenhuma cerca, construção ou benfeitoria avance sobre chácara vizinha, via ou área comum. A primeira medição é de responsabilidade do condomínio e não tem custo para o(a) COMPRADOR(A). Se for necessária nova medição — por marcos removidos, alterados ou não preservados, por pedido do(a) COMPRADOR(A) ou por divergência causada por ele(a) —, ela será executada pelo agrimensor credenciado pelo condomínio para esse serviço, e o valor da diligência, fixado pelo profissional e informado previamente, será pago pelo(a) COMPRADOR(A) diretamente ao agrimensor ou à administração.</w:t>
      </w:r>
    </w:p>
    <w:p>
      <w:pPr>
        <w:jc w:val="both"/>
      </w:pPr>
      <w:r>
        <w:rPr>
          <w:rFonts w:ascii="Times New Roman" w:hAnsi="Times New Roman"/>
          <w:b w:val="0"/>
        </w:rPr>
        <w:t xml:space="preserve">6.2. Além da liberação de uso do item 6.1.1, o início de qualquer construção depende, cumulativamente: (a) da imissão na posse; (b) do pagamento de, no mínimo, </w:t>
      </w:r>
      <w:r>
        <w:rPr>
          <w:rFonts w:ascii="Times New Roman" w:hAnsi="Times New Roman"/>
          <w:b w:val="0"/>
          <w:color w:val="1F4E9A"/>
        </w:rPr>
        <w:t xml:space="preserve">{{ctr_parcelas_minimas_obra}}</w:t>
      </w:r>
      <w:r>
        <w:rPr>
          <w:rFonts w:ascii="Times New Roman" w:hAnsi="Times New Roman"/>
          <w:b w:val="0"/>
        </w:rPr>
        <w:t xml:space="preserve"> parcelas do saldo; (c) da aprovação prévia do projeto pela administração do empreendimento; (d) do alvará municipal; e (e) da implantação prévia do sistema individual de esgotamento sanitário exigido na Cláusula 6.4, dentro dos limites da própria chácara e às expensas do(a) COMPRADOR(A), sem o qual nenhuma edificação poderá ser ocupada (Lei Municipal n.º </w:t>
      </w:r>
      <w:r>
        <w:rPr>
          <w:rFonts w:ascii="Times New Roman" w:hAnsi="Times New Roman"/>
          <w:b w:val="0"/>
          <w:color w:val="1F4E9A"/>
        </w:rPr>
        <w:t xml:space="preserve">{{emp_lei_municipal}}</w:t>
      </w:r>
      <w:r>
        <w:rPr>
          <w:rFonts w:ascii="Times New Roman" w:hAnsi="Times New Roman"/>
          <w:b w:val="0"/>
        </w:rPr>
        <w:t xml:space="preserve"> e legislação municipal de chacreamento urbano).</w:t>
      </w:r>
    </w:p>
    <w:p>
      <w:pPr>
        <w:jc w:val="both"/>
      </w:pPr>
      <w:r>
        <w:rPr>
          <w:rFonts w:ascii="Times New Roman" w:hAnsi="Times New Roman"/>
          <w:b w:val="0"/>
        </w:rPr>
        <w:t>6.2.1. O descumprimento dos itens 6.1.1 e 6.2 autoriza a administração a embargar a obra, a remover cercas ou animais às expensas do(a) COMPRADOR(A) e a aplicar as multas do Estatuto, sem prejuízo da resolução do contrato.</w:t>
      </w:r>
    </w:p>
    <w:p>
      <w:pPr>
        <w:jc w:val="both"/>
      </w:pPr>
      <w:r>
        <w:rPr>
          <w:rFonts w:ascii="Times New Roman" w:hAnsi="Times New Roman"/>
          <w:b w:val="0"/>
        </w:rPr>
        <w:t>6.3. As construções observam os recuos, a taxa de ocupação, a altura e o padrão de fechamento das Diretrizes de Uso (Anexo IV), bem como o Código de Obras municipal. É vedado avançar sobre passeios, vias, faixas de servidão e áreas comuns.</w:t>
      </w:r>
    </w:p>
    <w:p>
      <w:pPr>
        <w:jc w:val="both"/>
      </w:pPr>
      <w:r>
        <w:rPr>
          <w:rFonts w:ascii="Times New Roman" w:hAnsi="Times New Roman"/>
          <w:b w:val="0"/>
        </w:rPr>
        <w:t xml:space="preserve">6.4. </w:t>
      </w:r>
      <w:r>
        <w:rPr>
          <w:rFonts w:ascii="Times New Roman" w:hAnsi="Times New Roman"/>
          <w:b/>
        </w:rPr>
        <w:t xml:space="preserve">Do esgotamento sanitário.</w:t>
      </w:r>
      <w:r>
        <w:rPr>
          <w:rFonts w:ascii="Times New Roman" w:hAnsi="Times New Roman"/>
          <w:b w:val="0"/>
        </w:rPr>
        <w:t xml:space="preserve"> O empreendimento não possui rede coletora nem Estação de Tratamento de Esgoto (ETE) coletiva, dispensada pela legislação municipal de chacreamento urbano para lotes com área mínima de 2.000 m², e não há tarifa de esgoto. Todo esgoto sanitário gerado na unidade deverá ser tratado e disposto dentro do próprio lote, por sistema individual de esgotamento sanitário composto, obrigatoriamente, por: (a) fossa séptica (tanque séptico) dimensionada conforme a ABNT NBR 7229:1993, de acordo com o número de usuários e o uso da edificação; e (b) unidade de pós-tratamento e disposição final — sumidouro, ou filtro anaeróbio seguido de sumidouro ou de vala de infiltração —, conforme a ABNT NBR 13969:1997 e a capacidade de absorção do solo, comprovada por teste de percolação quando exigido.</w:t>
      </w:r>
    </w:p>
    <w:p>
      <w:pPr>
        <w:jc w:val="both"/>
      </w:pPr>
      <w:r>
        <w:rPr>
          <w:rFonts w:ascii="Times New Roman" w:hAnsi="Times New Roman"/>
          <w:b w:val="0"/>
        </w:rPr>
        <w:t xml:space="preserve">6.4.1. </w:t>
      </w:r>
      <w:r>
        <w:rPr>
          <w:rFonts w:ascii="Times New Roman" w:hAnsi="Times New Roman"/>
          <w:b/>
        </w:rPr>
        <w:t xml:space="preserve">Afastamentos mínimos.</w:t>
      </w:r>
      <w:r>
        <w:rPr>
          <w:rFonts w:ascii="Times New Roman" w:hAnsi="Times New Roman"/>
          <w:b w:val="0"/>
        </w:rPr>
        <w:t xml:space="preserve"> O sistema observará os afastamentos da legislação sanitária vigente e da ABNT NBR 7229, no mínimo: 1,50 m de construções, divisas da chácara e outro sumidouro; 3,00 m de árvores e de qualquer ponto da rede de água; 15,00 m de poços, nascentes e cursos d'água, inclusive o córrego e a sua Área de Preservação Permanente. O fundo do sumidouro e das valas de infiltração ficará, no mínimo, 1,50 m acima do nível máximo do lençol freático (ABNT NBR 13969).</w:t>
      </w:r>
    </w:p>
    <w:p>
      <w:pPr>
        <w:jc w:val="both"/>
      </w:pPr>
      <w:r>
        <w:rPr>
          <w:rFonts w:ascii="Times New Roman" w:hAnsi="Times New Roman"/>
          <w:b w:val="0"/>
        </w:rPr>
        <w:t xml:space="preserve">6.4.2. </w:t>
      </w:r>
      <w:r>
        <w:rPr>
          <w:rFonts w:ascii="Times New Roman" w:hAnsi="Times New Roman"/>
          <w:b/>
        </w:rPr>
        <w:t xml:space="preserve">Projeto-padrão.</w:t>
      </w:r>
      <w:r>
        <w:rPr>
          <w:rFonts w:ascii="Times New Roman" w:hAnsi="Times New Roman"/>
          <w:b w:val="0"/>
        </w:rPr>
        <w:t xml:space="preserve"> A VENDEDORA disponibilizará projeto-padrão do sistema individual, elaborado por profissional habilitado e submetido à anuência do SAAE, que poderá ser adotado pelo(a) COMPRADOR(A). Optando por projeto próprio, o(a) COMPRADOR(A) o apresentará com a respectiva ART/TRT do profissional responsável, para aprovação da administração antes do início da obra.</w:t>
      </w:r>
    </w:p>
    <w:p>
      <w:pPr>
        <w:jc w:val="both"/>
      </w:pPr>
      <w:r>
        <w:rPr>
          <w:rFonts w:ascii="Times New Roman" w:hAnsi="Times New Roman"/>
          <w:b w:val="0"/>
        </w:rPr>
        <w:t xml:space="preserve">6.4.3. </w:t>
      </w:r>
      <w:r>
        <w:rPr>
          <w:rFonts w:ascii="Times New Roman" w:hAnsi="Times New Roman"/>
          <w:b/>
        </w:rPr>
        <w:t xml:space="preserve">Vistoria e ocupação.</w:t>
      </w:r>
      <w:r>
        <w:rPr>
          <w:rFonts w:ascii="Times New Roman" w:hAnsi="Times New Roman"/>
          <w:b w:val="0"/>
        </w:rPr>
        <w:t xml:space="preserve"> A administração vistoriará o sistema antes do fechamento das tampas e do aterro, e a edificação somente poderá ser ocupada após a instalação e a comprovação do funcionamento adequado do sistema, sujeitando-se também à fiscalização do SAAE, órgão municipal competente.</w:t>
      </w:r>
    </w:p>
    <w:p>
      <w:pPr>
        <w:jc w:val="both"/>
      </w:pPr>
      <w:r>
        <w:rPr>
          <w:rFonts w:ascii="Times New Roman" w:hAnsi="Times New Roman"/>
          <w:b w:val="0"/>
        </w:rPr>
        <w:t xml:space="preserve">6.4.4. </w:t>
      </w:r>
      <w:r>
        <w:rPr>
          <w:rFonts w:ascii="Times New Roman" w:hAnsi="Times New Roman"/>
          <w:b/>
        </w:rPr>
        <w:t xml:space="preserve">Manutenção.</w:t>
      </w:r>
      <w:r>
        <w:rPr>
          <w:rFonts w:ascii="Times New Roman" w:hAnsi="Times New Roman"/>
          <w:b w:val="0"/>
        </w:rPr>
        <w:t xml:space="preserve"> A operação, a manutenção e a limpeza periódica (remoção do lodo da fossa por empresa licenciada, no intervalo previsto no projeto) são obrigação exclusiva do(a) COMPRADOR(A).</w:t>
      </w:r>
    </w:p>
    <w:p>
      <w:pPr>
        <w:jc w:val="both"/>
      </w:pPr>
      <w:r>
        <w:rPr>
          <w:rFonts w:ascii="Times New Roman" w:hAnsi="Times New Roman"/>
          <w:b w:val="0"/>
        </w:rPr>
        <w:t xml:space="preserve">6.4.5. </w:t>
      </w:r>
      <w:r>
        <w:rPr>
          <w:rFonts w:ascii="Times New Roman" w:hAnsi="Times New Roman"/>
          <w:b/>
        </w:rPr>
        <w:t xml:space="preserve">Vedações.</w:t>
      </w:r>
      <w:r>
        <w:rPr>
          <w:rFonts w:ascii="Times New Roman" w:hAnsi="Times New Roman"/>
          <w:b w:val="0"/>
        </w:rPr>
        <w:t xml:space="preserve"> É proibido lançar esgoto, águas servidas ou efluentes de qualquer natureza nas vias, sarjetas, rede de drenagem pluvial, áreas comuns, Área de Preservação Permanente ou no córrego, bem como ligar águas de chuva ao sistema de esgoto. A infração sujeita o(a) COMPRADOR(A) às multas do Estatuto, à obrigação de reparar o dano e às sanções administrativas e ambientais (Lei n.º 9.605/1998).</w:t>
      </w:r>
    </w:p>
    <w:p>
      <w:pPr>
        <w:keepNext/>
        <w:spacing w:before="180"/>
        <w:pBdr>
          <w:bottom w:val="single" w:sz="6" w:space="1" w:color="C9A84C"/>
        </w:pBdr>
      </w:pPr>
      <w:r>
        <w:rPr>
          <w:rFonts w:ascii="Times New Roman" w:hAnsi="Times New Roman"/>
          <w:b/>
          <w:color w:val="0C3320"/>
          <w:sz w:val="22"/>
        </w:rPr>
        <w:t>CLÁUSULA 7ª — DA MORA</w:t>
      </w:r>
    </w:p>
    <w:p>
      <w:pPr>
        <w:jc w:val="both"/>
      </w:pPr>
      <w:r>
        <w:rPr>
          <w:rFonts w:ascii="Times New Roman" w:hAnsi="Times New Roman"/>
          <w:b w:val="0"/>
        </w:rPr>
        <w:t xml:space="preserve">7.1. O atraso no pagamento de qualquer parcela sujeita o valor devido, desde o vencimento até o efetivo pagamento, a: (a) correção monetária pelo IPCA/IBGE; (b) </w:t>
      </w:r>
      <w:r>
        <w:rPr>
          <w:rFonts w:ascii="Times New Roman" w:hAnsi="Times New Roman"/>
          <w:b/>
        </w:rPr>
        <w:t>multa moratória de 2% (dois por cento)</w:t>
      </w:r>
      <w:r>
        <w:rPr>
          <w:rFonts w:ascii="Times New Roman" w:hAnsi="Times New Roman"/>
          <w:b w:val="0"/>
        </w:rPr>
        <w:t xml:space="preserve"> (CDC, art. 52, § 1º); e (c) </w:t>
      </w:r>
      <w:r>
        <w:rPr>
          <w:rFonts w:ascii="Times New Roman" w:hAnsi="Times New Roman"/>
          <w:b/>
        </w:rPr>
        <w:t>juros de mora de 1% (um por cento) ao mês, pro rata die</w:t>
      </w:r>
      <w:r>
        <w:rPr>
          <w:rFonts w:ascii="Times New Roman" w:hAnsi="Times New Roman"/>
          <w:b w:val="0"/>
        </w:rPr>
        <w:t xml:space="preserve"> (Código Civil, art. 406).</w:t>
      </w:r>
    </w:p>
    <w:p>
      <w:pPr>
        <w:jc w:val="both"/>
      </w:pPr>
      <w:r>
        <w:rPr>
          <w:rFonts w:ascii="Times New Roman" w:hAnsi="Times New Roman"/>
          <w:b w:val="0"/>
        </w:rPr>
        <w:t xml:space="preserve">7.2. </w:t>
      </w:r>
      <w:r>
        <w:rPr>
          <w:rFonts w:ascii="Times New Roman" w:hAnsi="Times New Roman"/>
          <w:b/>
        </w:rPr>
        <w:t>Vencida e não paga parcela por mais de 30 (trinta) dias, a VENDEDORA poderá, após comunicação prévia por escrito ao(à) COMPRADOR(A) com antecedência mínima de 10 (dez) dias (CDC, art. 43, § 2º), inscrever o débito em cadastros de proteção ao crédito e levá-lo a protesto (Lei n.º 9.492/1997).</w:t>
      </w:r>
    </w:p>
    <w:p>
      <w:pPr>
        <w:jc w:val="both"/>
      </w:pPr>
      <w:r>
        <w:rPr>
          <w:rFonts w:ascii="Times New Roman" w:hAnsi="Times New Roman"/>
          <w:b w:val="0"/>
        </w:rPr>
        <w:t>7.3. Na cobrança extrajudicial por profissional contratado, são devidos honorários de 10% (dez por cento) sobre o débito, assegurado igual direito ao(à) COMPRADOR(A) quando tiver de cobrar obrigação da VENDEDORA (CDC, art. 51, XII). Os honorários judiciais são os fixados pelo juízo.</w:t>
      </w:r>
    </w:p>
    <w:p>
      <w:pPr>
        <w:keepNext/>
        <w:spacing w:before="180"/>
        <w:pBdr>
          <w:bottom w:val="single" w:sz="6" w:space="1" w:color="C9A84C"/>
        </w:pBdr>
      </w:pPr>
      <w:r>
        <w:rPr>
          <w:rFonts w:ascii="Times New Roman" w:hAnsi="Times New Roman"/>
          <w:b/>
          <w:color w:val="0C3320"/>
          <w:sz w:val="22"/>
        </w:rPr>
        <w:t>CLÁUSULA 8ª — DA RESOLUÇÃO POR INADIMPLEMENTO DO(A) COMPRADOR(A)</w:t>
      </w:r>
    </w:p>
    <w:p>
      <w:pPr>
        <w:jc w:val="both"/>
      </w:pPr>
      <w:r>
        <w:rPr>
          <w:rFonts w:ascii="Times New Roman" w:hAnsi="Times New Roman"/>
          <w:b w:val="0"/>
        </w:rPr>
        <w:t xml:space="preserve">8.1. </w:t>
      </w:r>
      <w:r>
        <w:rPr>
          <w:rFonts w:ascii="Times New Roman" w:hAnsi="Times New Roman"/>
          <w:b/>
        </w:rPr>
        <w:t>Vencida e não paga a prestação, o contrato será considerado rescindido 30 (trinta) dias depois de constituído em mora o(a) COMPRADOR(A), mediante intimação feita pelo Oficial do Registro de Imóveis, a requerimento da VENDEDORA, para satisfazer as prestações vencidas e as que se vencerem até a data do pagamento, com os encargos da Cláusula 7ª e as custas de intimação (Lei n.º 6.766/1979, art. 32).</w:t>
      </w:r>
    </w:p>
    <w:p>
      <w:pPr>
        <w:jc w:val="both"/>
      </w:pPr>
      <w:r>
        <w:rPr>
          <w:rFonts w:ascii="Times New Roman" w:hAnsi="Times New Roman"/>
          <w:b w:val="0"/>
        </w:rPr>
        <w:t>8.2. Purgada a mora, convalesce o contrato. Não purgada, o Oficial averbará o cancelamento do registro do compromisso, e a VENDEDORA restituirá os valores pagos na forma da Cláusula 9ª.</w:t>
      </w:r>
    </w:p>
    <w:p>
      <w:pPr>
        <w:keepNext/>
        <w:spacing w:before="180"/>
        <w:pBdr>
          <w:bottom w:val="single" w:sz="6" w:space="1" w:color="C9A84C"/>
        </w:pBdr>
      </w:pPr>
      <w:r>
        <w:rPr>
          <w:rFonts w:ascii="Times New Roman" w:hAnsi="Times New Roman"/>
          <w:b/>
          <w:color w:val="0C3320"/>
          <w:sz w:val="22"/>
        </w:rPr>
        <w:t>CLÁUSULA 9ª — DO DESFAZIMENTO E DA RESTITUIÇÃO</w:t>
      </w:r>
    </w:p>
    <w:p>
      <w:pPr>
        <w:jc w:val="both"/>
      </w:pPr>
      <w:r>
        <w:rPr>
          <w:rFonts w:ascii="Times New Roman" w:hAnsi="Times New Roman"/>
          <w:b w:val="0"/>
        </w:rPr>
        <w:t xml:space="preserve">9.1. </w:t>
      </w:r>
      <w:r>
        <w:rPr>
          <w:rFonts w:ascii="Times New Roman" w:hAnsi="Times New Roman"/>
          <w:b/>
        </w:rPr>
        <w:t>Em caso de resolução por inadimplemento ou de distrato a pedido do(a) COMPRADOR(A), os valores pagos serão restituídos, corrigidos pelo IPCA/IBGE, deduzidos (Lei n.º 6.766/1979, art. 32-A): (a) os valores correspondentes à fruição do imóvel, até 0,75% (setenta e cinco centésimos por cento) ao mês sobre o valor atualizado do contrato, contados da imissão na posse; (b) a cláusula penal e as despesas administrativas, inclusive arras ou sinal, limitadas a 10% (dez por cento) do valor atualizado do contrato; (c) os encargos moratórios relativos às prestações pagas em atraso; (d) os débitos de tributos e de contribuições associativas ou condominiais incidentes sobre a unidade; e (e) a comissão de corretagem, por estar integrada ao preço e informada no item 14 do Quadro-Resumo.</w:t>
      </w:r>
    </w:p>
    <w:p>
      <w:pPr>
        <w:jc w:val="both"/>
      </w:pPr>
      <w:r>
        <w:rPr>
          <w:rFonts w:ascii="Times New Roman" w:hAnsi="Times New Roman"/>
          <w:b w:val="0"/>
        </w:rPr>
        <w:t>9.2. A restituição será paga em até 12 (doze) parcelas mensais, com início: (a) se as obras de infraestrutura estiverem em andamento, em até 180 (cento e oitenta) dias após o prazo previsto para sua conclusão; ou (b) se concluídas, em até 12 (doze) meses após a formalização do desfazimento (Lei n.º 6.766/1979, art. 32-A, § 1º).</w:t>
      </w:r>
    </w:p>
    <w:p>
      <w:pPr>
        <w:jc w:val="both"/>
      </w:pPr>
      <w:r>
        <w:rPr>
          <w:rFonts w:ascii="Times New Roman" w:hAnsi="Times New Roman"/>
          <w:b w:val="0"/>
        </w:rPr>
        <w:t>9.3. Havendo benfeitorias necessárias ou úteis regularmente aprovadas, serão indenizadas pelo valor apurado em avaliação técnica (ABNT NBR 14653), compensando-se com os débitos do(a) COMPRADOR(A). As voluptuárias podem ser retiradas sem dano ao imóvel; não retiradas em 30 dias, incorporam-se a ele sem indenização.</w:t>
      </w:r>
    </w:p>
    <w:p>
      <w:pPr>
        <w:jc w:val="both"/>
      </w:pPr>
      <w:r>
        <w:rPr>
          <w:rFonts w:ascii="Times New Roman" w:hAnsi="Times New Roman"/>
          <w:b w:val="0"/>
        </w:rPr>
        <w:t>9.4. O(A) COMPRADOR(A) restituirá a posse livre de pessoas e coisas em até 30 (trinta) dias da resolução, sob pena de pagar a fruição em dobro até a desocupação, sem prejuízo da reintegração de posse.</w:t>
      </w:r>
    </w:p>
    <w:p>
      <w:pPr>
        <w:keepNext/>
        <w:spacing w:before="180"/>
        <w:pBdr>
          <w:bottom w:val="single" w:sz="6" w:space="1" w:color="C9A84C"/>
        </w:pBdr>
      </w:pPr>
      <w:r>
        <w:rPr>
          <w:rFonts w:ascii="Times New Roman" w:hAnsi="Times New Roman"/>
          <w:b/>
          <w:color w:val="0C3320"/>
          <w:sz w:val="22"/>
        </w:rPr>
        <w:t>CLÁUSULA 10ª — DO DIREITO DE ARREPENDIMENTO</w:t>
      </w:r>
    </w:p>
    <w:p>
      <w:pPr>
        <w:jc w:val="both"/>
      </w:pPr>
      <w:r>
        <w:rPr>
          <w:rFonts w:ascii="Times New Roman" w:hAnsi="Times New Roman"/>
          <w:b w:val="0"/>
        </w:rPr>
        <w:t xml:space="preserve">10.1. Quando a contratação ocorrer fora do estabelecimento comercial da VENDEDORA — inclusive em stand de vendas, visita à chácara ou por meio eletrônico —, o(a) COMPRADOR(A) pode desistir em até </w:t>
      </w:r>
      <w:r>
        <w:rPr>
          <w:rFonts w:ascii="Times New Roman" w:hAnsi="Times New Roman"/>
          <w:b/>
        </w:rPr>
        <w:t>7 (sete) dias</w:t>
      </w:r>
      <w:r>
        <w:rPr>
          <w:rFonts w:ascii="Times New Roman" w:hAnsi="Times New Roman"/>
          <w:b w:val="0"/>
        </w:rPr>
        <w:t xml:space="preserve"> da assinatura, com devolução imediata e integral dos valores pagos, inclusive a corretagem, corrigidos (CDC, art. 49). O exercício se dá por mensagem escrita aos contatos do Quadro-Resumo.</w:t>
      </w:r>
    </w:p>
    <w:p>
      <w:pPr>
        <w:keepNext/>
        <w:spacing w:before="180"/>
        <w:pBdr>
          <w:bottom w:val="single" w:sz="6" w:space="1" w:color="C9A84C"/>
        </w:pBdr>
      </w:pPr>
      <w:r>
        <w:rPr>
          <w:rFonts w:ascii="Times New Roman" w:hAnsi="Times New Roman"/>
          <w:b/>
          <w:color w:val="0C3320"/>
          <w:sz w:val="22"/>
        </w:rPr>
        <w:t>CLÁUSULA 11ª — DAS OBRAS DE INFRAESTRUTURA</w:t>
      </w:r>
    </w:p>
    <w:p>
      <w:pPr>
        <w:jc w:val="both"/>
      </w:pPr>
      <w:r>
        <w:rPr>
          <w:rFonts w:ascii="Times New Roman" w:hAnsi="Times New Roman"/>
          <w:b w:val="0"/>
        </w:rPr>
        <w:t xml:space="preserve">11.1. A VENDEDORA executará, às suas expensas e conforme o projeto aprovado e o cronograma registrado, a infraestrutura exigida pela Lei Municipal n.º </w:t>
      </w:r>
      <w:r>
        <w:rPr>
          <w:rFonts w:ascii="Times New Roman" w:hAnsi="Times New Roman"/>
          <w:b w:val="0"/>
          <w:color w:val="1F4E9A"/>
        </w:rPr>
        <w:t xml:space="preserve">{{emp_lei_municipal}}</w:t>
      </w:r>
      <w:r>
        <w:rPr>
          <w:rFonts w:ascii="Times New Roman" w:hAnsi="Times New Roman"/>
          <w:b w:val="0"/>
        </w:rPr>
        <w:t xml:space="preserve">: (a) sistema viário com </w:t>
      </w:r>
      <w:r>
        <w:rPr>
          <w:rFonts w:ascii="Times New Roman" w:hAnsi="Times New Roman"/>
          <w:b w:val="0"/>
          <w:color w:val="1F4E9A"/>
        </w:rPr>
        <w:t xml:space="preserve">{{emp_vias_especificacao}}</w:t>
      </w:r>
      <w:r>
        <w:rPr>
          <w:rFonts w:ascii="Times New Roman" w:hAnsi="Times New Roman"/>
          <w:b w:val="0"/>
        </w:rPr>
        <w:t xml:space="preserve">, terraplenagem, revestimento primário (cascalhamento), sarjetas e meio-fios (ABNT); (b) drenagem de águas pluviais; (c) sinalização viária básica e placas de nomenclatura; (d) abastecimento de água por </w:t>
      </w:r>
      <w:r>
        <w:rPr>
          <w:rFonts w:ascii="Times New Roman" w:hAnsi="Times New Roman"/>
          <w:b w:val="0"/>
          <w:color w:val="1F4E9A"/>
        </w:rPr>
        <w:t xml:space="preserve">{{emp_agua_especificacao}}</w:t>
      </w:r>
      <w:r>
        <w:rPr>
          <w:rFonts w:ascii="Times New Roman" w:hAnsi="Times New Roman"/>
          <w:b w:val="0"/>
        </w:rPr>
        <w:t xml:space="preserve">, com outorga do órgão estadual, cloração e reservação mínima de 24 horas de consumo, com rede de distribuição em todas as vias e ponto de alimentação (ramal com registro) deixado na testada de cada chácara; (e) sistema de distribuição de energia elétrica — rede de média e baixa tensão, posteamento, estruturas, transformadores e iluminação das vias — executado conforme projeto aprovado pela concessionária EQUATORIAL MARANHÃO DISTRIBUIDORA DE ENERGIA S.A. (</w:t>
      </w:r>
      <w:r>
        <w:rPr>
          <w:rFonts w:ascii="Times New Roman" w:hAnsi="Times New Roman"/>
          <w:b w:val="0"/>
          <w:color w:val="1F4E9A"/>
        </w:rPr>
        <w:t xml:space="preserve">{{emp_energia_especificacao}}</w:t>
      </w:r>
      <w:r>
        <w:rPr>
          <w:rFonts w:ascii="Times New Roman" w:hAnsi="Times New Roman"/>
          <w:b w:val="0"/>
        </w:rPr>
        <w:t xml:space="preserve">), com previsão de atendimento em tensão monofásica e trifásica; (f) demarcação dos lotes por marcos; e (g) portal de acesso com guarita.</w:t>
      </w:r>
    </w:p>
    <w:p>
      <w:pPr>
        <w:jc w:val="both"/>
      </w:pPr>
      <w:r>
        <w:rPr>
          <w:rFonts w:ascii="Times New Roman" w:hAnsi="Times New Roman"/>
          <w:b w:val="0"/>
        </w:rPr>
        <w:t xml:space="preserve">11.2. </w:t>
      </w:r>
      <w:r>
        <w:rPr>
          <w:rFonts w:ascii="Times New Roman" w:hAnsi="Times New Roman"/>
          <w:b/>
        </w:rPr>
        <w:t xml:space="preserve">O prazo de execução é de </w:t>
      </w:r>
      <w:r>
        <w:rPr>
          <w:rFonts w:ascii="Times New Roman" w:hAnsi="Times New Roman"/>
          <w:b/>
          <w:color w:val="1F4E9A"/>
        </w:rPr>
        <w:t>{{emp_prazo_obras_meses}}</w:t>
      </w:r>
      <w:r>
        <w:rPr>
          <w:rFonts w:ascii="Times New Roman" w:hAnsi="Times New Roman"/>
          <w:b/>
        </w:rPr>
        <w:t xml:space="preserve"> (</w:t>
      </w:r>
      <w:r>
        <w:rPr>
          <w:rFonts w:ascii="Times New Roman" w:hAnsi="Times New Roman"/>
          <w:b/>
          <w:color w:val="1F4E9A"/>
        </w:rPr>
        <w:t>{{emp_prazo_obras_extenso}}</w:t>
      </w:r>
      <w:r>
        <w:rPr>
          <w:rFonts w:ascii="Times New Roman" w:hAnsi="Times New Roman"/>
          <w:b/>
        </w:rPr>
        <w:t xml:space="preserve">) meses, contados da data de expedição da Licença de Instalação (LI) n.º </w:t>
      </w:r>
      <w:r>
        <w:rPr>
          <w:rFonts w:ascii="Times New Roman" w:hAnsi="Times New Roman"/>
          <w:b/>
          <w:color w:val="1F4E9A"/>
        </w:rPr>
        <w:t>{{emp_li_numero}}</w:t>
      </w:r>
      <w:r>
        <w:rPr>
          <w:rFonts w:ascii="Times New Roman" w:hAnsi="Times New Roman"/>
          <w:b/>
        </w:rPr>
        <w:t xml:space="preserve">, de </w:t>
      </w:r>
      <w:r>
        <w:rPr>
          <w:rFonts w:ascii="Times New Roman" w:hAnsi="Times New Roman"/>
          <w:b/>
          <w:color w:val="1F4E9A"/>
        </w:rPr>
        <w:t>{{emp_li_data}}</w:t>
      </w:r>
      <w:r>
        <w:rPr>
          <w:rFonts w:ascii="Times New Roman" w:hAnsi="Times New Roman"/>
          <w:b/>
        </w:rPr>
        <w:t xml:space="preserve">, pelo(a) </w:t>
      </w:r>
      <w:r>
        <w:rPr>
          <w:rFonts w:ascii="Times New Roman" w:hAnsi="Times New Roman"/>
          <w:b/>
          <w:color w:val="1F4E9A"/>
        </w:rPr>
        <w:t>{{emp_licenca_orgao}}</w:t>
      </w:r>
      <w:r>
        <w:rPr>
          <w:rFonts w:ascii="Times New Roman" w:hAnsi="Times New Roman"/>
          <w:b/>
        </w:rPr>
        <w:t xml:space="preserve">, prorrogável uma única vez por até </w:t>
      </w:r>
      <w:r>
        <w:rPr>
          <w:rFonts w:ascii="Times New Roman" w:hAnsi="Times New Roman"/>
          <w:b/>
          <w:color w:val="1F4E9A"/>
        </w:rPr>
        <w:t>{{emp_prorrogacao_meses}}</w:t>
      </w:r>
      <w:r>
        <w:rPr>
          <w:rFonts w:ascii="Times New Roman" w:hAnsi="Times New Roman"/>
          <w:b/>
        </w:rPr>
        <w:t xml:space="preserve"> meses, mediante comunicação escrita e justificada ao(à) COMPRADOR(A) com antecedência mínima de 60 (sessenta) dias do termo final do prazo original, sem que o prazo total ultrapasse 48 (quarenta e oito) meses (Lei n.º 6.766/1979, art. 18, V; condicionante n.º 21 da licença ambiental, que limita a LI a 2 anos, aditivável por mais 2).</w:t>
      </w:r>
    </w:p>
    <w:p>
      <w:pPr>
        <w:jc w:val="both"/>
      </w:pPr>
      <w:r>
        <w:rPr>
          <w:rFonts w:ascii="Times New Roman" w:hAnsi="Times New Roman"/>
          <w:b w:val="0"/>
        </w:rPr>
        <w:t>11.3. Não correm contra a VENDEDORA os atrasos causados por caso fortuito ou força maior (Código Civil, art. 393), por exigência superveniente do Poder Público ou da concessionária não imputável a ela, devidamente comprovados e comunicados.</w:t>
      </w:r>
    </w:p>
    <w:p>
      <w:pPr>
        <w:jc w:val="both"/>
      </w:pPr>
      <w:r>
        <w:rPr>
          <w:rFonts w:ascii="Times New Roman" w:hAnsi="Times New Roman"/>
          <w:b w:val="0"/>
        </w:rPr>
        <w:t xml:space="preserve">11.4. Esgotado o prazo prorrogado sem a conclusão das obras, o(a) COMPRADOR(A) poderá, a seu critério: (a) resolver o contrato, com </w:t>
      </w:r>
      <w:r>
        <w:rPr>
          <w:rFonts w:ascii="Times New Roman" w:hAnsi="Times New Roman"/>
          <w:b/>
        </w:rPr>
        <w:t>restituição integral e imediata de todos os valores pagos, inclusive a corretagem, corrigidos pelo IPCA e acrescidos de juros de 1% ao mês</w:t>
      </w:r>
      <w:r>
        <w:rPr>
          <w:rFonts w:ascii="Times New Roman" w:hAnsi="Times New Roman"/>
          <w:b w:val="0"/>
        </w:rPr>
        <w:t xml:space="preserve">, sem qualquer dedução; ou (b) manter o contrato, fazendo jus a </w:t>
      </w:r>
      <w:r>
        <w:rPr>
          <w:rFonts w:ascii="Times New Roman" w:hAnsi="Times New Roman"/>
          <w:b/>
        </w:rPr>
        <w:t>multa de 0,5% (meio por cento) ao mês sobre os valores pagos</w:t>
      </w:r>
      <w:r>
        <w:rPr>
          <w:rFonts w:ascii="Times New Roman" w:hAnsi="Times New Roman"/>
          <w:b w:val="0"/>
        </w:rPr>
        <w:t>, até a conclusão, compensável com as parcelas vincendas.</w:t>
      </w:r>
    </w:p>
    <w:p>
      <w:pPr>
        <w:jc w:val="both"/>
      </w:pPr>
      <w:r>
        <w:rPr>
          <w:rFonts w:ascii="Times New Roman" w:hAnsi="Times New Roman"/>
          <w:b w:val="0"/>
        </w:rPr>
        <w:t>11.5. Concluídas as obras, a VENDEDORA requererá a vistoria municipal e informará ao(à) COMPRADOR(A) o número do protocolo e o termo de vistoria (Lei n.º 6.766/1979, art. 26-A, IX).</w:t>
      </w:r>
    </w:p>
    <w:p>
      <w:pPr>
        <w:jc w:val="both"/>
      </w:pPr>
      <w:r>
        <w:rPr>
          <w:rFonts w:ascii="Times New Roman" w:hAnsi="Times New Roman"/>
          <w:b w:val="0"/>
        </w:rPr>
        <w:t xml:space="preserve">11.6. </w:t>
      </w:r>
      <w:r>
        <w:rPr>
          <w:rFonts w:ascii="Times New Roman" w:hAnsi="Times New Roman"/>
          <w:b/>
        </w:rPr>
        <w:t xml:space="preserve">Energia elétrica.</w:t>
      </w:r>
      <w:r>
        <w:rPr>
          <w:rFonts w:ascii="Times New Roman" w:hAnsi="Times New Roman"/>
          <w:b w:val="0"/>
        </w:rPr>
        <w:t xml:space="preserve"> Concluída, vistoriada e energizada a rede, ela será incorporada à concessionária Equatorial Maranhão, nos termos da regulamentação da ANEEL (Resolução Normativa n.º 1.000/2021), passando a operação, a manutenção e o fornecimento de energia elétrica à sua responsabilidade exclusiva. Competem ao(à) COMPRADOR(A), diretamente perante a concessionária e conforme as normas técnicas desta: (a) o pedido de ligação da unidade; (b) a escolha do tipo de fornecimento — monofásico, bifásico ou trifásico — conforme a carga que pretende instalar; (c) o padrão de entrada e o ramal da unidade; e (d) o pagamento das faturas de consumo. A VENDEDORA não responde pela continuidade, pela qualidade nem pelas tarifas do fornecimento após a incorporação da rede.</w:t>
      </w:r>
    </w:p>
    <w:p>
      <w:pPr>
        <w:jc w:val="both"/>
      </w:pPr>
      <w:r>
        <w:rPr>
          <w:rFonts w:ascii="Times New Roman" w:hAnsi="Times New Roman"/>
          <w:b w:val="0"/>
        </w:rPr>
        <w:t xml:space="preserve">11.7. </w:t>
      </w:r>
      <w:r>
        <w:rPr>
          <w:rFonts w:ascii="Times New Roman" w:hAnsi="Times New Roman"/>
          <w:b/>
        </w:rPr>
        <w:t xml:space="preserve">Água: hidrômetro, medição e fatura.</w:t>
      </w:r>
      <w:r>
        <w:rPr>
          <w:rFonts w:ascii="Times New Roman" w:hAnsi="Times New Roman"/>
          <w:b w:val="0"/>
        </w:rPr>
        <w:t xml:space="preserve"> A aquisição e a instalação do hidrômetro e do cavalete da unidade são de responsabilidade e às expensas do(a) COMPRADOR(A), que solicitará a ligação à administração do sistema de água. O consumo será medido individualmente e cobrado mensalmente por fatura impressa entregue a cada condômino, com o valor do metro cúbico (m³) e do consumo mínimo correspondentes à média aritmética simples, faixa a faixa, das tarifas residenciais praticadas na região pela CAEMA e pelo SAAE de Açailândia, conforme o Anexo VIII — Tabela Tarifária de Água (origem das taxas), recalculada sempre que qualquer dessas tabelas for reajustada, mediante simples comunicação ao(à) COMPRADOR(A) com a nova tabela. A fatura não paga, após notificação com prazo mínimo de 30 (trinta) dias, autoriza a suspensão do fornecimento até a regularização.</w:t>
      </w:r>
    </w:p>
    <w:p>
      <w:pPr>
        <w:keepNext/>
        <w:spacing w:before="180"/>
        <w:pBdr>
          <w:bottom w:val="single" w:sz="6" w:space="1" w:color="C9A84C"/>
        </w:pBdr>
      </w:pPr>
      <w:r>
        <w:rPr>
          <w:rFonts w:ascii="Times New Roman" w:hAnsi="Times New Roman"/>
          <w:b/>
          <w:color w:val="0C3320"/>
          <w:sz w:val="22"/>
        </w:rPr>
        <w:t>CLÁUSULA 12ª — DAS OBRIGAÇÕES DA VENDEDORA</w:t>
      </w:r>
    </w:p>
    <w:p>
      <w:pPr>
        <w:jc w:val="both"/>
      </w:pPr>
      <w:r>
        <w:rPr>
          <w:rFonts w:ascii="Times New Roman" w:hAnsi="Times New Roman"/>
          <w:b w:val="0"/>
        </w:rPr>
        <w:t xml:space="preserve">12.1. Além das obrigações já previstas, a VENDEDORA obriga-se a: (a) responder pelos tributos e encargos da unidade até a imissão na posse; (b) cumprir as condicionantes da licença ambiental, inclusive os planos de supressão de vegetação, de resíduos da construção civil e de controle ambiental, e a compensação ambiental; (c) operar e manter o sistema de abastecimento de água (poço, reservatório e rede até o ponto de alimentação de cada chácara), diretamente ou por meio da associação, emitindo as faturas de consumo na forma da Cláusula 11.7, até sua eventual transferência ao SAAE ou a outra concessionária, na forma do instrumento previsto na lei municipal; (d) promover a doação ao Município das áreas públicas e a abertura de suas matrículas; (e) fornecer a matrícula individual da unidade e os documentos necessários ao registro deste compromisso e do título definitivo.</w:t>
      </w:r>
    </w:p>
    <w:p>
      <w:pPr>
        <w:keepNext/>
        <w:spacing w:before="180"/>
        <w:pBdr>
          <w:bottom w:val="single" w:sz="6" w:space="1" w:color="C9A84C"/>
        </w:pBdr>
      </w:pPr>
      <w:r>
        <w:rPr>
          <w:rFonts w:ascii="Times New Roman" w:hAnsi="Times New Roman"/>
          <w:b/>
          <w:color w:val="0C3320"/>
          <w:sz w:val="22"/>
        </w:rPr>
        <w:t>CLÁUSULA 13ª — DAS OBRIGAÇÕES DO(A) COMPRADOR(A)</w:t>
      </w:r>
    </w:p>
    <w:p>
      <w:pPr>
        <w:jc w:val="both"/>
      </w:pPr>
      <w:r>
        <w:rPr>
          <w:rFonts w:ascii="Times New Roman" w:hAnsi="Times New Roman"/>
          <w:b w:val="0"/>
        </w:rPr>
        <w:t xml:space="preserve">13.1. O(A) COMPRADOR(A) obriga-se a: (a) pagar pontualmente o preço e os encargos; (b) a partir da imissão na posse, arcar com o IPTU, as taxas, o consumo de água medido e faturado na forma da Cláusula 11.7, a energia elétrica perante a concessionária (Cláusula 11.6) e a contribuição associativa; (c) cumprir o Estatuto, o Regimento e as Diretrizes de Uso; (d) não alterar marcos, divisas, vias ou redes, nem suprimir vegetação sem autorização; (e) não usar fogo para limpeza, não lançar efluentes sem tratamento — que devem ser tratados no próprio lote, na forma da Cláusula 6.4 — e não descartar resíduos em vias, áreas comuns ou APP (condicionantes n.º 12, 15 e 17 da licença); (f) manter atualizados endereço, e-mail e telefone.</w:t>
      </w:r>
    </w:p>
    <w:p>
      <w:pPr>
        <w:jc w:val="both"/>
      </w:pPr>
      <w:r>
        <w:rPr>
          <w:rFonts w:ascii="Times New Roman" w:hAnsi="Times New Roman"/>
          <w:b w:val="0"/>
        </w:rPr>
        <w:t xml:space="preserve">13.2. </w:t>
      </w:r>
      <w:r>
        <w:rPr>
          <w:rFonts w:ascii="Times New Roman" w:hAnsi="Times New Roman"/>
          <w:b/>
        </w:rPr>
        <w:t>O(A) COMPRADOR(A) que, por si ou por terceiros sob sua responsabilidade, causar dano ambiental na unidade ou nas áreas comuns responde integralmente pela reparação e pelas sanções aplicadas, ficando a VENDEDORA autorizada a cobrar regressivamente qualquer valor que lhe venha a ser imputado (Lei n.º 9.605/1998; Lei n.º 6.938/1981, art. 14, § 1º).</w:t>
      </w:r>
    </w:p>
    <w:p>
      <w:pPr>
        <w:keepNext/>
        <w:spacing w:before="180"/>
        <w:pBdr>
          <w:bottom w:val="single" w:sz="6" w:space="1" w:color="C9A84C"/>
        </w:pBdr>
      </w:pPr>
      <w:r>
        <w:rPr>
          <w:rFonts w:ascii="Times New Roman" w:hAnsi="Times New Roman"/>
          <w:b/>
          <w:color w:val="0C3320"/>
          <w:sz w:val="22"/>
        </w:rPr>
        <w:t>CLÁUSULA 14ª — DO REGIME DE USO, DA ASSOCIAÇÃO E DAS CONTRIBUIÇÕES</w:t>
      </w:r>
    </w:p>
    <w:p>
      <w:pPr>
        <w:jc w:val="both"/>
      </w:pPr>
      <w:r>
        <w:rPr>
          <w:rFonts w:ascii="Times New Roman" w:hAnsi="Times New Roman"/>
          <w:b w:val="0"/>
        </w:rPr>
        <w:t xml:space="preserve">14.1. O empreendimento é implantado sob o regime de </w:t>
      </w:r>
      <w:r>
        <w:rPr>
          <w:rFonts w:ascii="Times New Roman" w:hAnsi="Times New Roman"/>
          <w:b/>
          <w:color w:val="1F4E9A"/>
        </w:rPr>
        <w:t>{{emp_regime_juridico}}</w:t>
      </w:r>
      <w:r>
        <w:rPr>
          <w:rFonts w:ascii="Times New Roman" w:hAnsi="Times New Roman"/>
          <w:b w:val="0"/>
        </w:rPr>
        <w:t xml:space="preserve">. As atividades de administração, conservação das áreas comuns, controle de acesso e prestação de serviços são exercidas pela </w:t>
      </w:r>
      <w:r>
        <w:rPr>
          <w:rFonts w:ascii="Times New Roman" w:hAnsi="Times New Roman"/>
          <w:b/>
          <w:color w:val="1F4E9A"/>
        </w:rPr>
        <w:t>{{emp_associacao_nome}}</w:t>
      </w:r>
      <w:r>
        <w:rPr>
          <w:rFonts w:ascii="Times New Roman" w:hAnsi="Times New Roman"/>
          <w:b w:val="0"/>
        </w:rPr>
        <w:t xml:space="preserve"> (CNPJ </w:t>
      </w:r>
      <w:r>
        <w:rPr>
          <w:rFonts w:ascii="Times New Roman" w:hAnsi="Times New Roman"/>
          <w:b w:val="0"/>
          <w:color w:val="1F4E9A"/>
        </w:rPr>
        <w:t>{{emp_associacao_cnpj}}</w:t>
      </w:r>
      <w:r>
        <w:rPr>
          <w:rFonts w:ascii="Times New Roman" w:hAnsi="Times New Roman"/>
          <w:b w:val="0"/>
        </w:rPr>
        <w:t xml:space="preserve">), cujo ato constitutivo está registrado/averbado na matrícula do empreendimento sob o n.º </w:t>
      </w:r>
      <w:r>
        <w:rPr>
          <w:rFonts w:ascii="Times New Roman" w:hAnsi="Times New Roman"/>
          <w:b w:val="0"/>
          <w:color w:val="1F4E9A"/>
        </w:rPr>
        <w:t>{{emp_associacao_registro}}</w:t>
      </w:r>
      <w:r>
        <w:rPr>
          <w:rFonts w:ascii="Times New Roman" w:hAnsi="Times New Roman"/>
          <w:b w:val="0"/>
        </w:rPr>
        <w:t xml:space="preserve"> (Lei n.º 6.766/1979, arts. 2º, § 8º, e 36-A).</w:t>
      </w:r>
    </w:p>
    <w:p>
      <w:pPr>
        <w:jc w:val="both"/>
      </w:pPr>
      <w:r>
        <w:rPr>
          <w:rFonts w:ascii="Times New Roman" w:hAnsi="Times New Roman"/>
          <w:b w:val="0"/>
        </w:rPr>
        <w:t xml:space="preserve">14.2. </w:t>
      </w:r>
      <w:r>
        <w:rPr>
          <w:rFonts w:ascii="Times New Roman" w:hAnsi="Times New Roman"/>
          <w:b/>
        </w:rPr>
        <w:t>O(A) COMPRADOR(A) declara aderir, de forma livre e informada, ao Estatuto da associação (Anexo III), obrigando-se ao pagamento das contribuições aprovadas em assembleia a partir da imissão na posse</w:t>
      </w:r>
      <w:r>
        <w:rPr>
          <w:rFonts w:ascii="Times New Roman" w:hAnsi="Times New Roman"/>
          <w:b w:val="0"/>
        </w:rPr>
        <w:t>, nos termos do art. 36-A, parágrafo único, da Lei n.º 6.766/1979 e da tese fixada pelo Supremo Tribunal Federal no Tema 492 da repercussão geral. Essa obrigação acompanha a unidade e transmite-se aos sucessores e cessionários.</w:t>
      </w:r>
    </w:p>
    <w:p>
      <w:pPr>
        <w:jc w:val="both"/>
      </w:pPr>
      <w:r>
        <w:rPr>
          <w:rFonts w:ascii="Times New Roman" w:hAnsi="Times New Roman"/>
          <w:b w:val="0"/>
        </w:rPr>
        <w:t>14.3. O controle de acesso observará o ato do Poder Executivo Municipal que o autorizar, sendo vedado o impedimento de acesso a pedestres e condutores não residentes devidamente identificados ou cadastrados (Lei n.º 6.766/1979, art. 2º, § 8º).</w:t>
      </w:r>
    </w:p>
    <w:p>
      <w:pPr>
        <w:jc w:val="both"/>
      </w:pPr>
      <w:r>
        <w:rPr>
          <w:rFonts w:ascii="Times New Roman" w:hAnsi="Times New Roman"/>
          <w:b w:val="0"/>
        </w:rPr>
        <w:t xml:space="preserve">14.4. A contribuição associativa inicial é de R$ </w:t>
      </w:r>
      <w:r>
        <w:rPr>
          <w:rFonts w:ascii="Times New Roman" w:hAnsi="Times New Roman"/>
          <w:b w:val="0"/>
          <w:color w:val="1F4E9A"/>
        </w:rPr>
        <w:t xml:space="preserve">{{emp_contribuicao_mensal}}</w:t>
      </w:r>
      <w:r>
        <w:rPr>
          <w:rFonts w:ascii="Times New Roman" w:hAnsi="Times New Roman"/>
          <w:b w:val="0"/>
        </w:rPr>
        <w:t xml:space="preserve"> mensais por chácara, igual para todas as unidades, devida a partir da imissão na posse. Seu valor somente será alterado por deliberação da assembleia, na forma do Estatuto (Anexo III).</w:t>
      </w:r>
    </w:p>
    <w:p>
      <w:pPr>
        <w:jc w:val="both"/>
      </w:pPr>
      <w:r>
        <w:rPr>
          <w:rFonts w:ascii="Times New Roman" w:hAnsi="Times New Roman"/>
          <w:b w:val="0"/>
        </w:rPr>
        <w:t xml:space="preserve">14.5. Para o controle de acesso, a associação entregará, sem custo, a primeira via das carteirinhas de identificação do titular e dos dependentes cadastrados. A emissão de nova via, por perda, extravio, dano ou inclusão posterior de dependente, será feita mediante o pagamento da taxa de reimpressão de R$ </w:t>
      </w:r>
      <w:r>
        <w:rPr>
          <w:rFonts w:ascii="Times New Roman" w:hAnsi="Times New Roman"/>
          <w:b w:val="0"/>
          <w:color w:val="1F4E9A"/>
        </w:rPr>
        <w:t xml:space="preserve">{{emp_taxa_carteirinha}}</w:t>
      </w:r>
      <w:r>
        <w:rPr>
          <w:rFonts w:ascii="Times New Roman" w:hAnsi="Times New Roman"/>
          <w:b w:val="0"/>
        </w:rPr>
        <w:t xml:space="preserve"> por carteirinha, valor que poderá ser atualizado pela administração com aprovação da assembleia.</w:t>
      </w:r>
    </w:p>
    <w:p>
      <w:pPr>
        <w:keepNext/>
        <w:spacing w:before="180"/>
        <w:pBdr>
          <w:bottom w:val="single" w:sz="6" w:space="1" w:color="C9A84C"/>
        </w:pBdr>
      </w:pPr>
      <w:r>
        <w:rPr>
          <w:rFonts w:ascii="Times New Roman" w:hAnsi="Times New Roman"/>
          <w:b/>
          <w:color w:val="0C3320"/>
          <w:sz w:val="22"/>
        </w:rPr>
        <w:t>CLÁUSULA 15ª — DAS RESTRIÇÕES URBANÍSTICAS, AMBIENTAIS E CONVENCIONAIS</w:t>
      </w:r>
    </w:p>
    <w:p>
      <w:pPr>
        <w:jc w:val="both"/>
      </w:pPr>
      <w:r>
        <w:rPr>
          <w:rFonts w:ascii="Times New Roman" w:hAnsi="Times New Roman"/>
          <w:b w:val="0"/>
        </w:rPr>
        <w:t>15.1. Constituem restrições convencionais do loteamento, a serem averbadas nas matrículas e oponíveis a todos os sucessores: a indivisibilidade da Cláusula 2.3; a destinação residencial e de recreio, com as atividades rurais de pequeno porte autorizadas nas Diretrizes de Uso; os recuos, a taxa de ocupação e a altura máxima das edificações; o padrão de fechamento frontal; a proibição de queimadas; a proteção da APP e da Quadra F; e as regras de saneamento, de criação de animais e de convivência do Anexo IV (Lei n.º 6.766/1979, art. 26, VII, e art. 45).</w:t>
      </w:r>
    </w:p>
    <w:p>
      <w:pPr>
        <w:jc w:val="both"/>
      </w:pPr>
      <w:r>
        <w:rPr>
          <w:rFonts w:ascii="Times New Roman" w:hAnsi="Times New Roman"/>
          <w:b w:val="0"/>
        </w:rPr>
        <w:t xml:space="preserve">15.2. </w:t>
      </w:r>
      <w:r>
        <w:rPr>
          <w:rFonts w:ascii="Times New Roman" w:hAnsi="Times New Roman"/>
          <w:b/>
        </w:rPr>
        <w:t>A infração reiterada às restrições, após notificação com prazo para correção, sujeita o infrator às multas do Estatuto, sem prejuízo da demolição ou remoção do que for irregular e da responsabilidade civil, administrativa e penal.</w:t>
      </w:r>
    </w:p>
    <w:p>
      <w:pPr>
        <w:jc w:val="both"/>
      </w:pPr>
      <w:r>
        <w:rPr>
          <w:rFonts w:ascii="Times New Roman" w:hAnsi="Times New Roman"/>
          <w:b w:val="0"/>
        </w:rPr>
        <w:t xml:space="preserve">15.3. </w:t>
      </w:r>
      <w:r>
        <w:rPr>
          <w:rFonts w:ascii="Times New Roman" w:hAnsi="Times New Roman"/>
          <w:b/>
        </w:rPr>
        <w:t xml:space="preserve">Reserva de preservação da Quadra F.</w:t>
      </w:r>
      <w:r>
        <w:rPr>
          <w:rFonts w:ascii="Times New Roman" w:hAnsi="Times New Roman"/>
          <w:b w:val="0"/>
        </w:rPr>
        <w:t xml:space="preserve"> A área de vivência (Quadra F), incluída a Área de Preservação Permanente do córrego, é destinada à preservação da flora e da fauna nativas e ao lazer de baixo impacto, constituindo restrição convencional averbada nas matrículas e oponível a todos os sucessores. Nela são proibidos: (a) desmatar, cortar, podar de forma drástica ou danificar árvores e demais vegetação nativa, ou impedir sua regeneração; (b) caçar, capturar, perseguir ou molestar animais silvestres, soltar animais e retirar plantas, sementes ou minerais; (c) pescar de forma predatória ou com redes, explosivos ou substâncias tóxicas; (d) fazer fogo fora das churrasqueiras disponibilizadas pelo condomínio, que manterão aceiro ao redor; (e) usar sabão, xampu ou qualquer produto no córrego, lançar lixo, efluentes ou resíduos e alterar o leito ou as margens; (f) abrir novas trilhas, acessos ou clareiras sem autorização da administração e, quando exigido, do órgão ambiental; e (g) produzir som em volume que perturbe a fauna e os demais usuários, nos horários das Diretrizes de Uso. O uso do córrego limita-se ao banho e à recreação de baixo impacto, sem estruturas em suas margens além das autorizadas pelo órgão ambiental (Lei n.º 12.651/2012, arts. 3º, X, 8º e 9º). A infração sujeita o responsável às multas do Estatuto, à recomposição do dano às suas expensas e às sanções administrativas e penais (Lei n.º 9.605/1998).</w:t>
      </w:r>
    </w:p>
    <w:p>
      <w:pPr>
        <w:keepNext/>
        <w:spacing w:before="180"/>
        <w:pBdr>
          <w:bottom w:val="single" w:sz="6" w:space="1" w:color="C9A84C"/>
        </w:pBdr>
      </w:pPr>
      <w:r>
        <w:rPr>
          <w:rFonts w:ascii="Times New Roman" w:hAnsi="Times New Roman"/>
          <w:b/>
          <w:color w:val="0C3320"/>
          <w:sz w:val="22"/>
        </w:rPr>
        <w:t>CLÁUSULA 16ª — DA CESSÃO DE DIREITOS</w:t>
      </w:r>
    </w:p>
    <w:p>
      <w:pPr>
        <w:jc w:val="both"/>
      </w:pPr>
      <w:r>
        <w:rPr>
          <w:rFonts w:ascii="Times New Roman" w:hAnsi="Times New Roman"/>
          <w:b w:val="0"/>
        </w:rPr>
        <w:t xml:space="preserve">16.1. Os direitos deste contrato podem ser cedidos por simples trespasse ou instrumento próprio, </w:t>
      </w:r>
      <w:r>
        <w:rPr>
          <w:rFonts w:ascii="Times New Roman" w:hAnsi="Times New Roman"/>
          <w:b/>
        </w:rPr>
        <w:t>independentemente de anuência da VENDEDORA</w:t>
      </w:r>
      <w:r>
        <w:rPr>
          <w:rFonts w:ascii="Times New Roman" w:hAnsi="Times New Roman"/>
          <w:b w:val="0"/>
        </w:rPr>
        <w:t>; em relação a esta, porém, a cessão só produz efeitos depois de cientificada por escrito, com a entrega de cópia do instrumento, ou quando registrada (Lei n.º 6.766/1979, art. 31).</w:t>
      </w:r>
    </w:p>
    <w:p>
      <w:pPr>
        <w:jc w:val="both"/>
      </w:pPr>
      <w:r>
        <w:rPr>
          <w:rFonts w:ascii="Times New Roman" w:hAnsi="Times New Roman"/>
          <w:b w:val="0"/>
        </w:rPr>
        <w:t xml:space="preserve">16.2. Para a emissão do carnê em nome do(a) cessionário(a), devem ser apresentados: o instrumento de cessão com firma reconhecida ou assinatura eletrônica válida; os documentos pessoais do(a) cessionário(a) e de seu cônjuge; a comprovação de quitação das parcelas e contribuições vencidas até a data da cessão; e o pagamento da taxa administrativa de transferência, cadastro e reemissão de carnê equivalente a </w:t>
      </w:r>
      <w:r>
        <w:rPr>
          <w:rFonts w:ascii="Times New Roman" w:hAnsi="Times New Roman"/>
          <w:b/>
        </w:rPr>
        <w:t>1 (um) salário mínimo nacional vigente na data do pedido</w:t>
      </w:r>
      <w:r>
        <w:rPr>
          <w:rFonts w:ascii="Times New Roman" w:hAnsi="Times New Roman"/>
          <w:b w:val="0"/>
        </w:rPr>
        <w:t xml:space="preserve"> (hoje R$ </w:t>
      </w:r>
      <w:r>
        <w:rPr>
          <w:rFonts w:ascii="Times New Roman" w:hAnsi="Times New Roman"/>
          <w:b w:val="0"/>
          <w:color w:val="1F4E9A"/>
        </w:rPr>
        <w:t>{{ctr_taxa_cessao}}</w:t>
      </w:r>
      <w:r>
        <w:rPr>
          <w:rFonts w:ascii="Times New Roman" w:hAnsi="Times New Roman"/>
          <w:b w:val="0"/>
        </w:rPr>
        <w:t>). O(a) cedente responde solidariamente pelas parcelas vencidas até a data em que a VENDEDORA for cientificada.</w:t>
      </w:r>
    </w:p>
    <w:p>
      <w:pPr>
        <w:keepNext/>
        <w:spacing w:before="180"/>
        <w:pBdr>
          <w:bottom w:val="single" w:sz="6" w:space="1" w:color="C9A84C"/>
        </w:pBdr>
      </w:pPr>
      <w:r>
        <w:rPr>
          <w:rFonts w:ascii="Times New Roman" w:hAnsi="Times New Roman"/>
          <w:b/>
          <w:color w:val="0C3320"/>
          <w:sz w:val="22"/>
        </w:rPr>
        <w:t>CLÁUSULA 17ª — DO TÍTULO DEFINITIVO E DO REGISTRO</w:t>
      </w:r>
    </w:p>
    <w:p>
      <w:pPr>
        <w:jc w:val="both"/>
      </w:pPr>
      <w:r>
        <w:rPr>
          <w:rFonts w:ascii="Times New Roman" w:hAnsi="Times New Roman"/>
          <w:b w:val="0"/>
        </w:rPr>
        <w:t xml:space="preserve">17.1. Quitado o preço, a VENDEDORA fornecerá o termo de quitação em até 30 (trinta) dias. </w:t>
      </w:r>
      <w:r>
        <w:rPr>
          <w:rFonts w:ascii="Times New Roman" w:hAnsi="Times New Roman"/>
          <w:b/>
        </w:rPr>
        <w:t>O compromisso registrado, acompanhado da prova de quitação, vale como título para o registro da propriedade da unidade em nome do(a) COMPRADOR(A), dispensada a escritura pública</w:t>
      </w:r>
      <w:r>
        <w:rPr>
          <w:rFonts w:ascii="Times New Roman" w:hAnsi="Times New Roman"/>
          <w:b w:val="0"/>
        </w:rPr>
        <w:t xml:space="preserve"> (Lei n.º 6.766/1979, art. 26, § 6º). Caso as partes optem pela escritura pública, ela será outorgada em até 60 (sessenta) dias da solicitação.</w:t>
      </w:r>
    </w:p>
    <w:p>
      <w:pPr>
        <w:jc w:val="both"/>
      </w:pPr>
      <w:r>
        <w:rPr>
          <w:rFonts w:ascii="Times New Roman" w:hAnsi="Times New Roman"/>
          <w:b w:val="0"/>
        </w:rPr>
        <w:t xml:space="preserve">17.2. </w:t>
      </w:r>
      <w:r>
        <w:rPr>
          <w:rFonts w:ascii="Times New Roman" w:hAnsi="Times New Roman"/>
          <w:b/>
        </w:rPr>
        <w:t>Cabe ao(à) COMPRADOR(A), no prazo de 90 (noventa) dias da quitação, promover o registro da transmissão, arcando com ITBI, emolumentos e demais despesas.</w:t>
      </w:r>
      <w:r>
        <w:rPr>
          <w:rFonts w:ascii="Times New Roman" w:hAnsi="Times New Roman"/>
          <w:b w:val="0"/>
        </w:rPr>
        <w:t xml:space="preserve"> Descumprido o prazo, a VENDEDORA fica autorizada a comunicar a transmissão ao Município para fins de lançamento tributário, e o(a) COMPRADOR(A) responde pelos tributos lançados em nome da VENDEDORA.</w:t>
      </w:r>
    </w:p>
    <w:p>
      <w:pPr>
        <w:jc w:val="both"/>
      </w:pPr>
      <w:r>
        <w:rPr>
          <w:rFonts w:ascii="Times New Roman" w:hAnsi="Times New Roman"/>
          <w:b w:val="0"/>
        </w:rPr>
        <w:t>17.3. Havendo recusa injustificada na outorga do título, o(a) COMPRADOR(A) poderá requerer a adjudicação compulsória, judicial ou extrajudicialmente (Código Civil, art. 1.418; Lei n.º 6.015/1973, art. 216-B).</w:t>
      </w:r>
    </w:p>
    <w:p>
      <w:pPr>
        <w:jc w:val="both"/>
      </w:pPr>
      <w:r>
        <w:rPr>
          <w:rFonts w:ascii="Times New Roman" w:hAnsi="Times New Roman"/>
          <w:b w:val="0"/>
        </w:rPr>
        <w:t>17.4. Este compromisso será registrado na matrícula da unidade a requerimento de qualquer das partes, conferindo ao(à) COMPRADOR(A) direito real à aquisição (Código Civil, art. 1.417; Lei n.º 6.766/1979, art. 25). As despesas do registro do compromisso cabem ao(à) COMPRADOR(A).</w:t>
      </w:r>
    </w:p>
    <w:p>
      <w:pPr>
        <w:keepNext/>
        <w:spacing w:before="180"/>
        <w:pBdr>
          <w:bottom w:val="single" w:sz="6" w:space="1" w:color="C9A84C"/>
        </w:pBdr>
      </w:pPr>
      <w:r>
        <w:rPr>
          <w:rFonts w:ascii="Times New Roman" w:hAnsi="Times New Roman"/>
          <w:b/>
          <w:color w:val="0C3320"/>
          <w:sz w:val="22"/>
        </w:rPr>
        <w:t>CLÁUSULA 18ª — DAS DECLARAÇÕES DA VENDEDORA</w:t>
      </w:r>
    </w:p>
    <w:p>
      <w:pPr>
        <w:jc w:val="both"/>
      </w:pPr>
      <w:r>
        <w:rPr>
          <w:rFonts w:ascii="Times New Roman" w:hAnsi="Times New Roman"/>
          <w:b w:val="0"/>
        </w:rPr>
        <w:t>18.1. A VENDEDORA declara: (a) que a área do empreendimento está livre de ações reais ou pessoais reipersecutórias, salvo as declaradas no item 17 do Quadro-Resumo; (b) que não há indisponibilidade de bens em seu nome (CNIB); (c) que os ônus declarados serão cancelados às suas expensas antes da abertura da matrícula individual da unidade; e (d) que responde pela evicção (Código Civil, arts. 447 e seguintes).</w:t>
      </w:r>
    </w:p>
    <w:p>
      <w:pPr>
        <w:keepNext/>
        <w:spacing w:before="180"/>
        <w:pBdr>
          <w:bottom w:val="single" w:sz="6" w:space="1" w:color="C9A84C"/>
        </w:pBdr>
      </w:pPr>
      <w:r>
        <w:rPr>
          <w:rFonts w:ascii="Times New Roman" w:hAnsi="Times New Roman"/>
          <w:b/>
          <w:color w:val="0C3320"/>
          <w:sz w:val="22"/>
        </w:rPr>
        <w:t>CLÁUSULA 19ª — DA INTERMEDIAÇÃO E DO CREDENCIAMENTO DA ROMATEC</w:t>
      </w:r>
    </w:p>
    <w:p>
      <w:pPr>
        <w:jc w:val="both"/>
      </w:pPr>
      <w:r>
        <w:rPr>
          <w:rFonts w:ascii="Times New Roman" w:hAnsi="Times New Roman"/>
          <w:b w:val="0"/>
        </w:rPr>
        <w:t xml:space="preserve">19.1. A corretagem do item 14 do Quadro-Resumo é devida pela VENDEDORA à beneficiária ali indicada, pela intermediação útil, e foi informada previamente e em destaque ao(à) COMPRADOR(A), integrando o preço (Código Civil, arts. 722 a 725). Será retida, pela própria plataforma de pagamentos, em 50% (cinquenta por cento) no primeiro e 50% (cinquenta por cento) no segundo pagamento da entrada; na entrada à vista ou em parcela única das condições de lançamento, integralmente no ato.</w:t>
      </w:r>
    </w:p>
    <w:p>
      <w:pPr>
        <w:jc w:val="both"/>
      </w:pPr>
      <w:r>
        <w:rPr>
          <w:rFonts w:ascii="Times New Roman" w:hAnsi="Times New Roman"/>
          <w:b w:val="0"/>
        </w:rPr>
        <w:t>19.1.1. A corretagem é paga exclusivamente à ROMATEC CONSULTORIA TOTAL, inscrita no CRECI/MA como pessoa jurídica (Lei n.º 6.530/1978, art. 6º), que remunera os corretores participantes. Todos os corretores que atuaram na venda estão identificados no preâmbulo com CRECI ativo, validade da carteira e certidão de regularidade.</w:t>
      </w:r>
    </w:p>
    <w:p>
      <w:pPr>
        <w:jc w:val="both"/>
      </w:pPr>
      <w:r>
        <w:rPr>
          <w:rFonts w:ascii="Times New Roman" w:hAnsi="Times New Roman"/>
          <w:b/>
        </w:rPr>
        <w:t xml:space="preserve">19.1.2. DA PARTE DO CORRETOR INTERMEDIADOR E DA SUA RETENÇÃO. </w:t>
      </w:r>
      <w:r>
        <w:rPr>
          <w:rFonts w:ascii="Times New Roman" w:hAnsi="Times New Roman"/>
          <w:b/>
        </w:rPr>
        <w:t xml:space="preserve">Da corretagem do item 14 do Quadro-Resumo, o valor equivalente a </w:t>
      </w:r>
      <w:r>
        <w:rPr>
          <w:rFonts w:ascii="Times New Roman" w:hAnsi="Times New Roman"/>
          <w:b/>
          <w:color w:val="1F4E9A"/>
        </w:rPr>
        <w:t xml:space="preserve">{{intermed_comissao_pct}}</w:t>
      </w:r>
      <w:r>
        <w:rPr>
          <w:rFonts w:ascii="Times New Roman" w:hAnsi="Times New Roman"/>
          <w:b/>
        </w:rPr>
        <w:t xml:space="preserve"> do valor da venda, ou seja, </w:t>
      </w:r>
      <w:r>
        <w:rPr>
          <w:rFonts w:ascii="Times New Roman" w:hAnsi="Times New Roman"/>
          <w:b/>
          <w:color w:val="1F4E9A"/>
        </w:rPr>
        <w:t xml:space="preserve">R$ {{intermed_comissao_valor}} ({{intermed_comissao_extenso}})</w:t>
      </w:r>
      <w:r>
        <w:rPr>
          <w:rFonts w:ascii="Times New Roman" w:hAnsi="Times New Roman"/>
          <w:b/>
        </w:rPr>
        <w:t xml:space="preserve">, remunera o(a) corretor(a) intermediador(a) </w:t>
      </w:r>
      <w:r>
        <w:rPr>
          <w:rFonts w:ascii="Times New Roman" w:hAnsi="Times New Roman"/>
          <w:b/>
          <w:color w:val="1F4E9A"/>
        </w:rPr>
        <w:t xml:space="preserve">{{intermed_nome}}</w:t>
      </w:r>
      <w:r>
        <w:rPr>
          <w:rFonts w:ascii="Times New Roman" w:hAnsi="Times New Roman"/>
          <w:b/>
        </w:rPr>
        <w:t xml:space="preserve">, CRECI/</w:t>
      </w:r>
      <w:r>
        <w:rPr>
          <w:rFonts w:ascii="Times New Roman" w:hAnsi="Times New Roman"/>
          <w:b/>
          <w:color w:val="1F4E9A"/>
        </w:rPr>
        <w:t xml:space="preserve">{{intermed_creci}}</w:t>
      </w:r>
      <w:r>
        <w:rPr>
          <w:rFonts w:ascii="Times New Roman" w:hAnsi="Times New Roman"/>
          <w:b/>
        </w:rPr>
        <w:t xml:space="preserve">, e é pago e extraído NO ATO DO SINAL (primeiro pagamento da entrada ou pagamento à vista). O(A) COMPRADOR(A) declara que foi informado(a) previamente e em destaque de que esse valor remunera a intermediação já concluída com a celebração deste contrato e, por isso, </w:t>
      </w:r>
      <w:r>
        <w:rPr>
          <w:rFonts w:ascii="Times New Roman" w:hAnsi="Times New Roman"/>
          <w:b/>
        </w:rPr>
        <w:t xml:space="preserve">NÃO SERÁ RESTITUÍDO NEM ESTORNADO em caso de desistência, de distrato a seu pedido ou de resolução por seu inadimplemento, ficando RETIDO</w:t>
      </w:r>
      <w:r>
        <w:rPr>
          <w:rFonts w:ascii="Times New Roman" w:hAnsi="Times New Roman"/>
          <w:b w:val="0"/>
        </w:rPr>
        <w:t xml:space="preserve"> (Código Civil, art. 725; Lei n.º 6.766/1979, art. 32-A, V). Ficam ressalvadas apenas as hipóteses em que a lei assegura a devolução integral, inclusive da corretagem: o arrependimento no prazo legal (Cláusula 10ª; CDC, art. 49) e a resolução por culpa da VENDEDORA (Cláusula 11.4). A ciência deste item é reiterada no Contrato de Intermediação Imobiliária assinado pelo(a) COMPRADOR(A) junto com este instrumento.</w:t>
      </w:r>
    </w:p>
    <w:p>
      <w:pPr>
        <w:jc w:val="both"/>
      </w:pPr>
      <w:r>
        <w:rPr>
          <w:rFonts w:ascii="Times New Roman" w:hAnsi="Times New Roman"/>
          <w:b w:val="0"/>
        </w:rPr>
        <w:t xml:space="preserve">19.2. Fica a </w:t>
      </w:r>
      <w:r>
        <w:rPr>
          <w:rFonts w:ascii="Times New Roman" w:hAnsi="Times New Roman"/>
          <w:b/>
        </w:rPr>
        <w:t>ROMATEC CONSULTORIA TOTAL</w:t>
      </w:r>
      <w:r>
        <w:rPr>
          <w:rFonts w:ascii="Times New Roman" w:hAnsi="Times New Roman"/>
          <w:b w:val="0"/>
        </w:rPr>
        <w:t xml:space="preserve"> (CNPJ 17.261.987/0001-09, CRECI/MA </w:t>
      </w:r>
      <w:r>
        <w:rPr>
          <w:rFonts w:ascii="Times New Roman" w:hAnsi="Times New Roman"/>
          <w:b w:val="0"/>
          <w:color w:val="1F4E9A"/>
        </w:rPr>
        <w:t>{{rom_creci_pj}}</w:t>
      </w:r>
      <w:r>
        <w:rPr>
          <w:rFonts w:ascii="Times New Roman" w:hAnsi="Times New Roman"/>
          <w:b w:val="0"/>
        </w:rPr>
        <w:t>), por seu responsável técnico José Romário Pinto Bezerra (CFT/MA 01209185369, INCRA FQNS, CNAI 031161, CRECI/MA 4.705), credenciada pelas partes a protocolar requerimentos e a retirar guias, certidões e documentos perante a Prefeitura Municipal de Açailândia/MA, a Fazenda Estadual, o INCRA, os órgãos ambientais e os cartórios de notas e de registro, para os atos de regularização e registro previstos neste contrato.</w:t>
      </w:r>
    </w:p>
    <w:p>
      <w:pPr>
        <w:jc w:val="both"/>
      </w:pPr>
      <w:r>
        <w:rPr>
          <w:rFonts w:ascii="Times New Roman" w:hAnsi="Times New Roman"/>
          <w:b w:val="0"/>
        </w:rPr>
        <w:t xml:space="preserve">19.3. A ROMATEC CONSULTORIA TOTAL recebe as parcelas do preço exclusivamente na qualidade de gestora de cobrança e administradora dos recebíveis, por conta e ordem da VENDEDORA (Código Civil, arts. 653 e seguintes), e as repassa à VENDEDORA nos termos do contrato de gestão firmado entre elas. Os recibos das parcelas são emitidos pela gestora em nome da VENDEDORA; a quitação final do preço é dada pela VENDEDORA (Cláusula 17ª), e a gestora não transige em nome das partes. Fora a cobrança, sua atuação limita-se à intermediação, ao assessoramento técnico e à tramitação documental.</w:t>
      </w:r>
      <w:r>
        <w:rPr>
          <w:rFonts w:ascii="Times New Roman" w:hAnsi="Times New Roman"/>
          <w:b/>
        </w:rPr>
        <w:t/>
      </w:r>
      <w:r>
        <w:rPr>
          <w:rFonts w:ascii="Times New Roman" w:hAnsi="Times New Roman"/>
          <w:b w:val="0"/>
        </w:rPr>
        <w:t/>
      </w:r>
    </w:p>
    <w:p>
      <w:pPr>
        <w:jc w:val="both"/>
      </w:pPr>
      <w:r>
        <w:rPr>
          <w:rFonts w:ascii="Times New Roman" w:hAnsi="Times New Roman"/>
          <w:b w:val="0"/>
        </w:rPr>
        <w:t>19.4. As partes entregarão à INTERMEDIADORA, em até 10 (dez) dias da solicitação, os documentos pessoais e certidões necessários. Os atrasos atribuíveis à parte omissa não correm contra a outra.</w:t>
      </w:r>
    </w:p>
    <w:p>
      <w:pPr>
        <w:keepNext/>
        <w:spacing w:before="180"/>
        <w:pBdr>
          <w:bottom w:val="single" w:sz="6" w:space="1" w:color="C9A84C"/>
        </w:pBdr>
      </w:pPr>
      <w:r>
        <w:rPr>
          <w:rFonts w:ascii="Times New Roman" w:hAnsi="Times New Roman"/>
          <w:b/>
          <w:color w:val="0C3320"/>
          <w:sz w:val="22"/>
        </w:rPr>
        <w:t>CLÁUSULA 20ª — DA ASSINATURA ELETRÔNICA, DAS VIAS E DA FORÇA EXECUTIVA</w:t>
      </w:r>
    </w:p>
    <w:p>
      <w:pPr>
        <w:jc w:val="both"/>
      </w:pPr>
      <w:r>
        <w:rPr>
          <w:rFonts w:ascii="Times New Roman" w:hAnsi="Times New Roman"/>
          <w:b w:val="0"/>
        </w:rPr>
        <w:t xml:space="preserve">20.1. As partes admitem como válida e eficaz a assinatura deste instrumento e de seus anexos por: (a) </w:t>
      </w:r>
      <w:r>
        <w:rPr>
          <w:rFonts w:ascii="Times New Roman" w:hAnsi="Times New Roman"/>
          <w:b/>
        </w:rPr>
        <w:t>assinatura eletrônica qualificada</w:t>
      </w:r>
      <w:r>
        <w:rPr>
          <w:rFonts w:ascii="Times New Roman" w:hAnsi="Times New Roman"/>
          <w:b w:val="0"/>
        </w:rPr>
        <w:t xml:space="preserve"> com certificado ICP-Brasil (MP n.º 2.200-2/2001, art. 10, § 1º); (b) </w:t>
      </w:r>
      <w:r>
        <w:rPr>
          <w:rFonts w:ascii="Times New Roman" w:hAnsi="Times New Roman"/>
          <w:b/>
        </w:rPr>
        <w:t>assinatura eletrônica avançada</w:t>
      </w:r>
      <w:r>
        <w:rPr>
          <w:rFonts w:ascii="Times New Roman" w:hAnsi="Times New Roman"/>
          <w:b w:val="0"/>
        </w:rPr>
        <w:t xml:space="preserve">, inclusive a da plataforma gov.br (Lei n.º 14.063/2020, art. 4º, II); (c) assinatura eletrônica avançada pela plataforma do empreendimento, com autenticação por código enviado ao e-mail ou WhatsApp do signatário, registro de IP, data e hora, geolocalização e hash do documento, meio de comprovação de autoria e integridade aqui expressamente aceito (MP n.º 2.200-2/2001, art. 10, § 2º); ou (d) </w:t>
      </w:r>
      <w:r>
        <w:rPr>
          <w:rFonts w:ascii="Times New Roman" w:hAnsi="Times New Roman"/>
          <w:b/>
        </w:rPr>
        <w:t>assinatura manuscrita</w:t>
      </w:r>
      <w:r>
        <w:rPr>
          <w:rFonts w:ascii="Times New Roman" w:hAnsi="Times New Roman"/>
          <w:b w:val="0"/>
        </w:rPr>
        <w:t>. Cada signatário indica o meio no ato da assinatura.</w:t>
      </w:r>
    </w:p>
    <w:p>
      <w:pPr>
        <w:jc w:val="both"/>
      </w:pPr>
      <w:r>
        <w:rPr>
          <w:rFonts w:ascii="Times New Roman" w:hAnsi="Times New Roman"/>
          <w:b w:val="0"/>
        </w:rPr>
        <w:t xml:space="preserve">20.2. O documento assinado eletronicamente é original, dispensa impressão e é acompanhado do Manifesto de Assinaturas (Anexo VII), com o código de verificação </w:t>
      </w:r>
      <w:r>
        <w:rPr>
          <w:rFonts w:ascii="Times New Roman" w:hAnsi="Times New Roman"/>
          <w:b/>
          <w:color w:val="1F4E9A"/>
        </w:rPr>
        <w:t>{{ctr_codigo_verificacao}}</w:t>
      </w:r>
      <w:r>
        <w:rPr>
          <w:rFonts w:ascii="Times New Roman" w:hAnsi="Times New Roman"/>
          <w:b w:val="0"/>
        </w:rPr>
        <w:t xml:space="preserve"> e o hash SHA-256 do arquivo. Assinado eletronicamente, constitui título executivo extrajudicial independentemente da assinatura de testemunhas (CPC, art. 784, III e § 4º). Assinado a punho, será firmado por 2 (duas) testemunhas em 3 (três) vias de igual teor.</w:t>
      </w:r>
    </w:p>
    <w:p>
      <w:pPr>
        <w:keepNext/>
        <w:spacing w:before="180"/>
        <w:pBdr>
          <w:bottom w:val="single" w:sz="6" w:space="1" w:color="C9A84C"/>
        </w:pBdr>
      </w:pPr>
      <w:r>
        <w:rPr>
          <w:rFonts w:ascii="Times New Roman" w:hAnsi="Times New Roman"/>
          <w:b/>
          <w:color w:val="0C3320"/>
          <w:sz w:val="22"/>
        </w:rPr>
        <w:t>CLÁUSULA 21ª — DA PROTEÇÃO DE DADOS PESSOAIS</w:t>
      </w:r>
    </w:p>
    <w:p>
      <w:pPr>
        <w:jc w:val="both"/>
      </w:pPr>
      <w:r>
        <w:rPr>
          <w:rFonts w:ascii="Times New Roman" w:hAnsi="Times New Roman"/>
          <w:b w:val="0"/>
        </w:rPr>
        <w:t>21.1. Os dados pessoais das partes são tratados pela VENDEDORA, pela INTERMEDIADORA e pela plataforma de pagamentos exclusivamente para a execução deste contrato, a emissão de cobranças, a regularização e o registro do imóvel e o cumprimento de obrigações legais e regulatórias (Lei n.º 13.709/2018, art. 7º, II e V). O titular pode exercer os direitos do art. 18 da LGPD pelos contatos do Quadro-Resumo.</w:t>
      </w:r>
    </w:p>
    <w:p>
      <w:pPr>
        <w:keepNext/>
        <w:spacing w:before="180"/>
        <w:pBdr>
          <w:bottom w:val="single" w:sz="6" w:space="1" w:color="C9A84C"/>
        </w:pBdr>
      </w:pPr>
      <w:r>
        <w:rPr>
          <w:rFonts w:ascii="Times New Roman" w:hAnsi="Times New Roman"/>
          <w:b/>
          <w:color w:val="0C3320"/>
          <w:sz w:val="22"/>
        </w:rPr>
        <w:t>CLÁUSULA 22ª — DAS COMUNICAÇÕES</w:t>
      </w:r>
    </w:p>
    <w:p>
      <w:pPr>
        <w:jc w:val="both"/>
      </w:pPr>
      <w:r>
        <w:rPr>
          <w:rFonts w:ascii="Times New Roman" w:hAnsi="Times New Roman"/>
          <w:b w:val="0"/>
        </w:rPr>
        <w:t>22.1. São válidas as comunicações enviadas aos endereços físicos, e-mails e números de WhatsApp informados no preâmbulo, com comprovação de envio. A intimação para constituição em mora segue a forma da Cláusula 8.1.</w:t>
      </w:r>
    </w:p>
    <w:p>
      <w:pPr>
        <w:keepNext/>
        <w:spacing w:before="180"/>
        <w:pBdr>
          <w:bottom w:val="single" w:sz="6" w:space="1" w:color="C9A84C"/>
        </w:pBdr>
      </w:pPr>
      <w:r>
        <w:rPr>
          <w:rFonts w:ascii="Times New Roman" w:hAnsi="Times New Roman"/>
          <w:b/>
          <w:color w:val="0C3320"/>
          <w:sz w:val="22"/>
        </w:rPr>
        <w:t>CLÁUSULA 23ª — DAS DISPOSIÇÕES GERAIS</w:t>
      </w:r>
    </w:p>
    <w:p>
      <w:pPr>
        <w:jc w:val="both"/>
      </w:pPr>
      <w:r>
        <w:rPr>
          <w:rFonts w:ascii="Times New Roman" w:hAnsi="Times New Roman"/>
          <w:b w:val="0"/>
        </w:rPr>
        <w:t xml:space="preserve">23.1. Este compromisso é </w:t>
      </w:r>
      <w:r>
        <w:rPr>
          <w:rFonts w:ascii="Times New Roman" w:hAnsi="Times New Roman"/>
          <w:b/>
        </w:rPr>
        <w:t>irretratável e irrevogável</w:t>
      </w:r>
      <w:r>
        <w:rPr>
          <w:rFonts w:ascii="Times New Roman" w:hAnsi="Times New Roman"/>
          <w:b w:val="0"/>
        </w:rPr>
        <w:t>, ressalvados o direito de arrependimento da Cláusula 10ª e as hipóteses de desfazimento previstas, e obriga as partes, seus herdeiros e sucessores (Lei n.º 6.766/1979, art. 25).</w:t>
      </w:r>
    </w:p>
    <w:p>
      <w:pPr>
        <w:jc w:val="both"/>
      </w:pPr>
      <w:r>
        <w:rPr>
          <w:rFonts w:ascii="Times New Roman" w:hAnsi="Times New Roman"/>
          <w:b w:val="0"/>
        </w:rPr>
        <w:t>23.2. A tolerância de qualquer das partes quanto ao descumprimento da outra não importa novação, renúncia ou alteração do pactuado.</w:t>
      </w:r>
    </w:p>
    <w:p>
      <w:pPr>
        <w:jc w:val="both"/>
      </w:pPr>
      <w:r>
        <w:rPr>
          <w:rFonts w:ascii="Times New Roman" w:hAnsi="Times New Roman"/>
          <w:b w:val="0"/>
        </w:rPr>
        <w:t>23.3. A nulidade de uma cláusula não invalida as demais (Código Civil, art. 184).</w:t>
      </w:r>
    </w:p>
    <w:p>
      <w:pPr>
        <w:jc w:val="both"/>
      </w:pPr>
      <w:r>
        <w:rPr>
          <w:rFonts w:ascii="Times New Roman" w:hAnsi="Times New Roman"/>
          <w:b w:val="0"/>
        </w:rPr>
        <w:t xml:space="preserve">23.4. Integram este contrato: Anexo I — memorial descritivo, planta e quadro de vértices da unidade; Anexo II — tabela de pagamento do plano escolhido; Anexo III — Estatuto da associação e Regimento Interno; Anexo IV — Diretrizes de Uso; Anexo V — Mapa de Vendas; Anexo VI — licença ambiental com condicionantes e certidão do registro do parcelamento; Anexo VII — Manifesto de Assinaturas; Anexo VIII — Tabela Tarifária de Água (origem das taxas: média CAEMA × SAAE de Açailândia).</w:t>
      </w:r>
    </w:p>
    <w:p>
      <w:pPr>
        <w:keepNext/>
        <w:spacing w:before="180"/>
        <w:pBdr>
          <w:bottom w:val="single" w:sz="6" w:space="1" w:color="C9A84C"/>
        </w:pBdr>
      </w:pPr>
      <w:r>
        <w:rPr>
          <w:rFonts w:ascii="Times New Roman" w:hAnsi="Times New Roman"/>
          <w:b/>
          <w:color w:val="0C3320"/>
          <w:sz w:val="22"/>
        </w:rPr>
        <w:t>CLÁUSULA 24ª — DO FORO</w:t>
      </w:r>
    </w:p>
    <w:p>
      <w:pPr>
        <w:jc w:val="both"/>
      </w:pPr>
      <w:r>
        <w:rPr>
          <w:rFonts w:ascii="Times New Roman" w:hAnsi="Times New Roman"/>
          <w:b w:val="0"/>
        </w:rPr>
        <w:t>24.1. Fica eleito o foro da Comarca de Açailândia/MA para dirimir as questões oriundas deste contrato, com renúncia a qualquer outro, por mais privilegiado que seja, ressalvado ao(à) COMPRADOR(A) o foro de seu domicílio (CDC, art. 101, I).</w:t>
      </w:r>
    </w:p>
    <w:p>
      <w:pPr>
        <w:jc w:val="both"/>
      </w:pPr>
      <w:r>
        <w:rPr>
          <w:rFonts w:ascii="Times New Roman" w:hAnsi="Times New Roman"/>
          <w:b w:val="0"/>
        </w:rPr>
        <w:t>E, por estarem assim justas e contratadas, as partes assinam este instrumento na forma da Cláusula 20ª.</w:t>
      </w:r>
    </w:p>
    <w:p>
      <w:pPr>
        <w:jc w:val="center"/>
      </w:pPr>
      <w:r>
        <w:rPr>
          <w:rFonts w:ascii="Times New Roman" w:hAnsi="Times New Roman"/>
          <w:b w:val="0"/>
        </w:rPr>
        <w:t xml:space="preserve">Açailândia/MA, </w:t>
      </w:r>
      <w:r>
        <w:rPr>
          <w:rFonts w:ascii="Times New Roman" w:hAnsi="Times New Roman"/>
          <w:b w:val="0"/>
          <w:color w:val="1F4E9A"/>
        </w:rPr>
        <w:t>{{ctr_data_extenso}}</w:t>
      </w:r>
      <w:r>
        <w:rPr>
          <w:rFonts w:ascii="Times New Roman" w:hAnsi="Times New Roman"/>
          <w:b w:val="0"/>
        </w:rPr>
        <w:t>.</w:t>
      </w:r>
    </w:p>
    <w:p>
      <w:pPr>
        <w:spacing w:after="0"/>
      </w:pPr>
      <w:r>
        <w:rPr>
          <w:color w:val="990099"/>
          <w:sz w:val="16"/>
        </w:rPr>
        <w:t>{{#vend_pf}}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{{vend_nome}}</w:t>
      </w:r>
    </w:p>
    <w:p>
      <w:pPr>
        <w:keepNext/>
        <w:spacing w:after="0"/>
        <w:jc w:val="center"/>
      </w:pPr>
      <w:r>
        <w:rPr>
          <w:rFonts w:ascii="Times New Roman" w:hAnsi="Times New Roman"/>
          <w:b w:val="0"/>
          <w:sz w:val="18"/>
        </w:rPr>
        <w:t xml:space="preserve">PROMITENTE VENDEDORA — CPF </w:t>
      </w:r>
      <w:r>
        <w:rPr>
          <w:rFonts w:ascii="Times New Roman" w:hAnsi="Times New Roman"/>
          <w:b w:val="0"/>
          <w:color w:val="1F4E9A"/>
          <w:sz w:val="18"/>
        </w:rPr>
        <w:t>{{vend_cpf}}</w:t>
      </w:r>
    </w:p>
    <w:p>
      <w:pPr>
        <w:spacing w:after="0"/>
        <w:jc w:val="center"/>
      </w:pPr>
      <w:r>
        <w:rPr>
          <w:rFonts w:ascii="Times New Roman" w:hAnsi="Times New Roman"/>
          <w:b w:val="0"/>
          <w:sz w:val="18"/>
        </w:rPr>
        <w:t>Assinatura digital (ICP-Brasil / gov.br) ou a punho</w:t>
      </w:r>
    </w:p>
    <w:p>
      <w:pPr>
        <w:spacing w:after="0"/>
      </w:pPr>
      <w:r>
        <w:rPr>
          <w:color w:val="990099"/>
          <w:sz w:val="16"/>
        </w:rPr>
        <w:t>{{/vend_pf}}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{{vend_razao_social}}</w:t>
      </w:r>
    </w:p>
    <w:p>
      <w:pPr>
        <w:keepNext/>
        <w:spacing w:after="0"/>
        <w:jc w:val="center"/>
      </w:pPr>
      <w:r>
        <w:rPr>
          <w:rFonts w:ascii="Times New Roman" w:hAnsi="Times New Roman"/>
          <w:b w:val="0"/>
          <w:sz w:val="18"/>
        </w:rPr>
        <w:t xml:space="preserve">PROMITENTE VENDEDORA — CNPJ </w:t>
      </w:r>
      <w:r>
        <w:rPr>
          <w:rFonts w:ascii="Times New Roman" w:hAnsi="Times New Roman"/>
          <w:b w:val="0"/>
          <w:color w:val="1F4E9A"/>
          <w:sz w:val="18"/>
        </w:rPr>
        <w:t>{{vend_cnpj}}</w:t>
      </w:r>
    </w:p>
    <w:p>
      <w:pPr>
        <w:spacing w:after="0"/>
        <w:jc w:val="center"/>
      </w:pPr>
      <w:r>
        <w:rPr>
          <w:rFonts w:ascii="Times New Roman" w:hAnsi="Times New Roman"/>
          <w:b w:val="0"/>
          <w:sz w:val="18"/>
        </w:rPr>
        <w:t xml:space="preserve">p. </w:t>
      </w:r>
      <w:r>
        <w:rPr>
          <w:rFonts w:ascii="Times New Roman" w:hAnsi="Times New Roman"/>
          <w:b w:val="0"/>
          <w:color w:val="1F4E9A"/>
          <w:sz w:val="18"/>
        </w:rPr>
        <w:t>{{vend_rep_nome}}</w:t>
      </w:r>
      <w:r>
        <w:rPr>
          <w:rFonts w:ascii="Times New Roman" w:hAnsi="Times New Roman"/>
          <w:b w:val="0"/>
          <w:sz w:val="18"/>
        </w:rPr>
        <w:t xml:space="preserve"> — CPF </w:t>
      </w:r>
      <w:r>
        <w:rPr>
          <w:rFonts w:ascii="Times New Roman" w:hAnsi="Times New Roman"/>
          <w:b w:val="0"/>
          <w:color w:val="1F4E9A"/>
          <w:sz w:val="18"/>
        </w:rPr>
        <w:t>{{vend_rep_cpf}}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{{tit_nome}}</w:t>
      </w:r>
    </w:p>
    <w:p>
      <w:pPr>
        <w:spacing w:after="0"/>
        <w:jc w:val="center"/>
      </w:pPr>
      <w:r>
        <w:rPr>
          <w:rFonts w:ascii="Times New Roman" w:hAnsi="Times New Roman"/>
          <w:b w:val="0"/>
          <w:sz w:val="18"/>
        </w:rPr>
        <w:t xml:space="preserve">TITULAR DOS DIREITOS / ANUENTE — CPF </w:t>
      </w:r>
      <w:r>
        <w:rPr>
          <w:rFonts w:ascii="Times New Roman" w:hAnsi="Times New Roman"/>
          <w:b w:val="0"/>
          <w:color w:val="1F4E9A"/>
          <w:sz w:val="18"/>
        </w:rPr>
        <w:t>{{tit_cpf}}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{{comp_nome}}</w:t>
      </w:r>
    </w:p>
    <w:p>
      <w:pPr>
        <w:spacing w:after="0"/>
        <w:jc w:val="center"/>
      </w:pPr>
      <w:r>
        <w:rPr>
          <w:rFonts w:ascii="Times New Roman" w:hAnsi="Times New Roman"/>
          <w:b w:val="0"/>
          <w:sz w:val="18"/>
        </w:rPr>
        <w:t xml:space="preserve">PROMISSÁRIO(A) COMPRADOR(A) — CPF </w:t>
      </w:r>
      <w:r>
        <w:rPr>
          <w:rFonts w:ascii="Times New Roman" w:hAnsi="Times New Roman"/>
          <w:b w:val="0"/>
          <w:color w:val="1F4E9A"/>
          <w:sz w:val="18"/>
        </w:rPr>
        <w:t>{{comp_cpf}}</w:t>
      </w:r>
    </w:p>
    <w:p>
      <w:pPr>
        <w:spacing w:after="0"/>
      </w:pPr>
      <w:r>
        <w:rPr>
          <w:color w:val="990099"/>
          <w:sz w:val="16"/>
        </w:rPr>
        <w:t>{{#comp_casado}}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{{conj_nome}}</w:t>
      </w:r>
    </w:p>
    <w:p>
      <w:pPr>
        <w:spacing w:after="0"/>
        <w:jc w:val="center"/>
      </w:pPr>
      <w:r>
        <w:rPr>
          <w:rFonts w:ascii="Times New Roman" w:hAnsi="Times New Roman"/>
          <w:b w:val="0"/>
          <w:sz w:val="18"/>
        </w:rPr>
        <w:t xml:space="preserve">CÔNJUGE/COMPANHEIRO(A) ANUENTE — CPF </w:t>
      </w:r>
      <w:r>
        <w:rPr>
          <w:rFonts w:ascii="Times New Roman" w:hAnsi="Times New Roman"/>
          <w:b w:val="0"/>
          <w:color w:val="1F4E9A"/>
          <w:sz w:val="18"/>
        </w:rPr>
        <w:t>{{conj_cpf}}</w:t>
      </w:r>
    </w:p>
    <w:p>
      <w:pPr>
        <w:spacing w:after="0"/>
      </w:pPr>
      <w:r>
        <w:rPr>
          <w:color w:val="990099"/>
          <w:sz w:val="16"/>
        </w:rPr>
        <w:t>{{/comp_casado}}</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{{comp2_nome}}</w:t>
      </w:r>
    </w:p>
    <w:p>
      <w:pPr>
        <w:spacing w:after="0"/>
        <w:jc w:val="center"/>
      </w:pPr>
      <w:r>
        <w:rPr>
          <w:rFonts w:ascii="Times New Roman" w:hAnsi="Times New Roman"/>
          <w:b w:val="0"/>
          <w:sz w:val="18"/>
        </w:rPr>
        <w:t xml:space="preserve">2º PROMISSÁRIO(A) COMPRADOR(A) — CPF </w:t>
      </w:r>
      <w:r>
        <w:rPr>
          <w:rFonts w:ascii="Times New Roman" w:hAnsi="Times New Roman"/>
          <w:b w:val="0"/>
          <w:color w:val="1F4E9A"/>
          <w:sz w:val="18"/>
        </w:rPr>
        <w:t>{{comp2_cpf}}</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0C3320"/>
          <w:sz w:val="22"/>
        </w:rPr>
        <w:t>ROMATEC CONSULTORIA TOTAL — GESTORA DE VENDAS E INTERMEDIADORA</w:t>
      </w:r>
    </w:p>
    <w:p>
      <w:pPr>
        <w:keepNext/>
        <w:spacing w:after="0"/>
        <w:jc w:val="center"/>
      </w:pPr>
      <w:r>
        <w:rPr>
          <w:rFonts w:ascii="Times New Roman" w:hAnsi="Times New Roman"/>
          <w:b w:val="0"/>
          <w:sz w:val="18"/>
        </w:rPr>
        <w:t xml:space="preserve">CNPJ 17.261.987/0001-09 · CRECI/MA </w:t>
      </w:r>
      <w:r>
        <w:rPr>
          <w:rFonts w:ascii="Times New Roman" w:hAnsi="Times New Roman"/>
          <w:b w:val="0"/>
          <w:color w:val="1F4E9A"/>
          <w:sz w:val="18"/>
        </w:rPr>
        <w:t>{{rom_creci_pj}}</w:t>
      </w:r>
      <w:r>
        <w:rPr>
          <w:rFonts w:ascii="Times New Roman" w:hAnsi="Times New Roman"/>
          <w:b w:val="0"/>
          <w:sz w:val="18"/>
        </w:rPr>
        <w:t xml:space="preserve"> (PJ)</w:t>
      </w:r>
    </w:p>
    <w:p>
      <w:pPr>
        <w:spacing w:after="0"/>
        <w:jc w:val="center"/>
      </w:pPr>
      <w:r>
        <w:rPr>
          <w:rFonts w:ascii="Times New Roman" w:hAnsi="Times New Roman"/>
          <w:b w:val="0"/>
          <w:sz w:val="18"/>
        </w:rPr>
        <w:t xml:space="preserve">p. José Romário Pinto Bezerra — CRECI/MA </w:t>
      </w:r>
      <w:r>
        <w:rPr>
          <w:rFonts w:ascii="Times New Roman" w:hAnsi="Times New Roman"/>
          <w:b w:val="0"/>
          <w:color w:val="1F4E9A"/>
          <w:sz w:val="18"/>
        </w:rPr>
        <w:t>{{corr_creci}}</w:t>
      </w:r>
      <w:r>
        <w:rPr>
          <w:rFonts w:ascii="Times New Roman" w:hAnsi="Times New Roman"/>
          <w:b w:val="0"/>
          <w:sz w:val="18"/>
        </w:rPr>
        <w:t xml:space="preserve"> · CFT/MA 01209185369 · INCRA FQNS · CNAI 031161</w:t>
      </w:r>
    </w:p>
    <w:p>
      <w:pPr>
        <w:spacing w:after="0"/>
      </w:pPr>
      <w:r>
        <w:rPr>
          <w:color w:val="990099"/>
          <w:sz w:val="16"/>
        </w:rPr>
        <w:t>{{#corr_parceiro}}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{{corr_parceiro_nome}}</w:t>
      </w:r>
    </w:p>
    <w:p>
      <w:pPr>
        <w:spacing w:after="0"/>
        <w:jc w:val="center"/>
      </w:pPr>
      <w:r>
        <w:rPr>
          <w:rFonts w:ascii="Times New Roman" w:hAnsi="Times New Roman"/>
          <w:b w:val="0"/>
          <w:sz w:val="18"/>
        </w:rPr>
        <w:t>CORRETOR(A) PARCEIRO(A) — CRECI/</w:t>
      </w:r>
      <w:r>
        <w:rPr>
          <w:rFonts w:ascii="Times New Roman" w:hAnsi="Times New Roman"/>
          <w:b w:val="0"/>
          <w:color w:val="1F4E9A"/>
          <w:sz w:val="18"/>
        </w:rPr>
        <w:t>{{corr_parceiro_creci}}</w:t>
      </w:r>
      <w:r>
        <w:rPr>
          <w:rFonts w:ascii="Times New Roman" w:hAnsi="Times New Roman"/>
          <w:b w:val="0"/>
          <w:sz w:val="18"/>
        </w:rPr>
        <w:t xml:space="preserve"> · certidão </w:t>
      </w:r>
      <w:r>
        <w:rPr>
          <w:rFonts w:ascii="Times New Roman" w:hAnsi="Times New Roman"/>
          <w:b w:val="0"/>
          <w:color w:val="1F4E9A"/>
          <w:sz w:val="18"/>
        </w:rPr>
        <w:t>{{corr_parceiro_certidao_codigo}}</w:t>
      </w:r>
    </w:p>
    <w:p>
      <w:pPr>
        <w:spacing w:after="0"/>
      </w:pPr>
      <w:r>
        <w:rPr>
          <w:color w:val="990099"/>
          <w:sz w:val="16"/>
        </w:rPr>
        <w:t>{{/corr_parceiro}}</w:t>
      </w:r>
    </w:p>
    <w:p>
      <w:pPr>
        <w:spacing w:after="0"/>
      </w:pPr>
      <w:r>
        <w:rPr>
          <w:color w:val="990099"/>
          <w:sz w:val="16"/>
        </w:rPr>
        <w:t>{{#assinatura_manuscrita}}</w:t>
      </w:r>
    </w:p>
    <w:p>
      <w:pPr>
        <w:jc w:val="left"/>
      </w:pPr>
      <w:r>
        <w:rPr>
          <w:rFonts w:ascii="Times New Roman" w:hAnsi="Times New Roman"/>
          <w:b/>
        </w:rPr>
        <w:t>Testemunhas:</w:t>
      </w:r>
    </w:p>
    <w:p>
      <w:pPr>
        <w:jc w:val="left"/>
      </w:pPr>
      <w:r>
        <w:rPr>
          <w:rFonts w:ascii="Times New Roman" w:hAnsi="Times New Roman"/>
          <w:b w:val="0"/>
        </w:rPr>
        <w:t xml:space="preserve">1. Nome: </w:t>
      </w:r>
      <w:r>
        <w:rPr>
          <w:rFonts w:ascii="Times New Roman" w:hAnsi="Times New Roman"/>
          <w:b w:val="0"/>
          <w:color w:val="1F4E9A"/>
        </w:rPr>
        <w:t>{{test1_nome}}</w:t>
      </w:r>
      <w:r>
        <w:rPr>
          <w:rFonts w:ascii="Times New Roman" w:hAnsi="Times New Roman"/>
          <w:b w:val="0"/>
        </w:rPr>
        <w:t xml:space="preserve"> — CPF: </w:t>
      </w:r>
      <w:r>
        <w:rPr>
          <w:rFonts w:ascii="Times New Roman" w:hAnsi="Times New Roman"/>
          <w:b w:val="0"/>
          <w:color w:val="1F4E9A"/>
        </w:rPr>
        <w:t>{{test1_cpf}}</w:t>
      </w:r>
      <w:r>
        <w:rPr>
          <w:rFonts w:ascii="Times New Roman" w:hAnsi="Times New Roman"/>
          <w:b w:val="0"/>
        </w:rPr>
        <w:t xml:space="preserve"> — Assinatura: ______________________________</w:t>
      </w:r>
    </w:p>
    <w:p>
      <w:pPr>
        <w:jc w:val="left"/>
      </w:pPr>
      <w:r>
        <w:rPr>
          <w:rFonts w:ascii="Times New Roman" w:hAnsi="Times New Roman"/>
          <w:b w:val="0"/>
        </w:rPr>
        <w:t xml:space="preserve">2. Nome: </w:t>
      </w:r>
      <w:r>
        <w:rPr>
          <w:rFonts w:ascii="Times New Roman" w:hAnsi="Times New Roman"/>
          <w:b w:val="0"/>
          <w:color w:val="1F4E9A"/>
        </w:rPr>
        <w:t>{{test2_nome}}</w:t>
      </w:r>
      <w:r>
        <w:rPr>
          <w:rFonts w:ascii="Times New Roman" w:hAnsi="Times New Roman"/>
          <w:b w:val="0"/>
        </w:rPr>
        <w:t xml:space="preserve"> — CPF: </w:t>
      </w:r>
      <w:r>
        <w:rPr>
          <w:rFonts w:ascii="Times New Roman" w:hAnsi="Times New Roman"/>
          <w:b w:val="0"/>
          <w:color w:val="1F4E9A"/>
        </w:rPr>
        <w:t>{{test2_cpf}}</w:t>
      </w:r>
      <w:r>
        <w:rPr>
          <w:rFonts w:ascii="Times New Roman" w:hAnsi="Times New Roman"/>
          <w:b w:val="0"/>
        </w:rPr>
        <w:t xml:space="preserve"> — Assinatura: ______________________________</w:t>
      </w:r>
    </w:p>
    <w:p>
      <w:pPr>
        <w:spacing w:after="0"/>
      </w:pPr>
      <w:r>
        <w:rPr>
          <w:color w:val="990099"/>
          <w:sz w:val="16"/>
        </w:rPr>
        <w:t>{{/assinatura_manuscrita}}</w:t>
      </w:r>
    </w:p>
    <w:sectPr w:rsidR="00FC693F" w:rsidRPr="0006063C" w:rsidSect="00034616">
      <w:headerReference w:type="default" r:id="rId9"/>
      <w:footerReference w:type="default" r:id="rId10"/>
      <w:pgSz w:w="11906" w:h="16838"/>
      <w:pgMar w:top="1928" w:right="1134" w:bottom="1361" w:left="141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drawing>
        <wp:inline xmlns:a="http://schemas.openxmlformats.org/drawingml/2006/main" xmlns:pic="http://schemas.openxmlformats.org/drawingml/2006/picture">
          <wp:extent cx="5940000" cy="273240"/>
          <wp:docPr id="1" name="Picture 1"/>
          <wp:cNvGraphicFramePr>
            <a:graphicFrameLocks noChangeAspect="1"/>
          </wp:cNvGraphicFramePr>
          <a:graphic>
            <a:graphicData uri="http://schemas.openxmlformats.org/drawingml/2006/picture">
              <pic:pic>
                <pic:nvPicPr>
                  <pic:cNvPr id="0" name="rodape_bom_jardims.png"/>
                  <pic:cNvPicPr/>
                </pic:nvPicPr>
                <pic:blipFill>
                  <a:blip r:embed="rId1"/>
                  <a:stretch>
                    <a:fillRect/>
                  </a:stretch>
                </pic:blipFill>
                <pic:spPr>
                  <a:xfrm>
                    <a:off x="0" y="0"/>
                    <a:ext cx="5940000" cy="273240"/>
                  </a:xfrm>
                  <a:prstGeom prst="rect"/>
                </pic:spPr>
              </pic:pic>
            </a:graphicData>
          </a:graphic>
        </wp:inline>
      </w:drawing>
    </w:r>
  </w:p>
  <w:p>
    <w:pPr>
      <w:jc w:val="center"/>
    </w:pPr>
    <w:r>
      <w:rPr>
        <w:rFonts w:ascii="Times New Roman" w:hAnsi="Times New Roman"/>
        <w:sz w:val="15"/>
      </w:rPr>
      <w:t xml:space="preserve">CPCV — Condomínio de Chácaras Bom Jardims · Página </w:t>
    </w:r>
    <w:fldSimple w:instr="PAGE">
      <w:r>
        <w:rPr>
          <w:sz w:val="15"/>
        </w:rPr>
        <w:t>1</w:t>
      </w:r>
    </w:fldSimple>
    <w:r>
      <w:rPr>
        <w:sz w:val="15"/>
      </w:rPr>
      <w:t xml:space="preserve"> de </w:t>
    </w:r>
    <w:fldSimple w:instr="NUMPAGES">
      <w:r>
        <w:rPr>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891000"/>
          <wp:docPr id="1" name="Picture 1"/>
          <wp:cNvGraphicFramePr>
            <a:graphicFrameLocks noChangeAspect="1"/>
          </wp:cNvGraphicFramePr>
          <a:graphic>
            <a:graphicData uri="http://schemas.openxmlformats.org/drawingml/2006/picture">
              <pic:pic>
                <pic:nvPicPr>
                  <pic:cNvPr id="0" name="cabecalho_bom_jardims.png"/>
                  <pic:cNvPicPr/>
                </pic:nvPicPr>
                <pic:blipFill>
                  <a:blip r:embed="rId1"/>
                  <a:stretch>
                    <a:fillRect/>
                  </a:stretch>
                </pic:blipFill>
                <pic:spPr>
                  <a:xfrm>
                    <a:off x="0" y="0"/>
                    <a:ext cx="5940000" cy="891000"/>
                  </a:xfrm>
                  <a:prstGeom prst="rect"/>
                </pic:spPr>
              </pic:pic>
            </a:graphicData>
          </a:graphic>
        </wp:inline>
      </w:drawing>
    </w:r>
  </w:p>
  <w:p>
    <w:r>
      <w:drawing>
        <wp:anchor distT="0" distB="0" distL="0" distR="0" simplePos="0" relativeHeight="0" behindDoc="1" locked="1" layoutInCell="1" allowOverlap="1">
          <wp:simplePos x="0" y="0"/>
          <wp:positionH relativeFrom="page">
            <wp:align>center</wp:align>
          </wp:positionH>
          <wp:positionV relativeFrom="page">
            <wp:align>center</wp:align>
          </wp:positionV>
          <wp:extent cx="5220000" cy="293625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arca_dagua_bom_jardims.png"/>
                  <pic:cNvPicPr/>
                </pic:nvPicPr>
                <pic:blipFill>
                  <a:blip r:embed="rId2"/>
                  <a:stretch>
                    <a:fillRect/>
                  </a:stretch>
                </pic:blipFill>
                <pic:spPr>
                  <a:xfrm>
                    <a:off x="0" y="0"/>
                    <a:ext cx="5220000" cy="2932691"/>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