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Times New Roman" w:hAnsi="Times New Roman"/>
          <w:b/>
          <w:color w:val="0C3320"/>
          <w:sz w:val="26"/>
        </w:rPr>
        <w:t>INSTRUMENTO PARTICULAR DE COMPROMISSO DE COMPRA E VENDA DE LOTE URBANO COM CARACTERÍSTICAS RURAIS (CHÁCARA) E OUTRAS AVENÇAS</w:t>
      </w:r>
    </w:p>
    <w:p>
      <w:pPr>
        <w:jc w:val="center"/>
      </w:pPr>
      <w:r>
        <w:rPr>
          <w:rFonts w:ascii="Times New Roman" w:hAnsi="Times New Roman"/>
          <w:b w:val="0"/>
          <w:color w:val="555555"/>
          <w:sz w:val="20"/>
        </w:rPr>
        <w:t xml:space="preserve">Contrato n.º </w:t>
      </w:r>
      <w:r>
        <w:rPr>
          <w:rFonts w:ascii="Times New Roman" w:hAnsi="Times New Roman"/>
          <w:b/>
          <w:color w:val="1F4E9A"/>
          <w:sz w:val="20"/>
        </w:rPr>
        <w:t>{{ctr_numero}}</w:t>
      </w:r>
      <w:r>
        <w:rPr>
          <w:rFonts w:ascii="Times New Roman" w:hAnsi="Times New Roman"/>
          <w:b w:val="0"/>
          <w:color w:val="555555"/>
          <w:sz w:val="20"/>
        </w:rPr>
        <w:t xml:space="preserve"> · </w:t>
      </w:r>
      <w:r>
        <w:rPr>
          <w:rFonts w:ascii="Times New Roman" w:hAnsi="Times New Roman"/>
          <w:b w:val="0"/>
          <w:color w:val="1F4E9A"/>
          <w:sz w:val="20"/>
        </w:rPr>
        <w:t>{{emp_nome}}</w:t>
      </w:r>
      <w:r>
        <w:rPr>
          <w:rFonts w:ascii="Times New Roman" w:hAnsi="Times New Roman"/>
          <w:b w:val="0"/>
          <w:color w:val="555555"/>
          <w:sz w:val="20"/>
        </w:rPr>
        <w:t xml:space="preserve"> · Versão do modelo </w:t>
      </w:r>
      <w:r>
        <w:rPr>
          <w:rFonts w:ascii="Times New Roman" w:hAnsi="Times New Roman"/>
          <w:b w:val="0"/>
          <w:color w:val="1F4E9A"/>
          <w:sz w:val="20"/>
        </w:rPr>
        <w:t>{{ctr_versao_modelo}}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QUADRO-RESUMO (Lei n.º 6.766/1979, art. 26-A; CDC, arts. 6º, III, 46, 52 e 54, §§ 3º e 4º)</w:t>
      </w:r>
    </w:p>
    <w:p>
      <w:pPr>
        <w:jc w:val="both"/>
      </w:pPr>
      <w:r>
        <w:rPr>
          <w:rFonts w:ascii="Times New Roman" w:hAnsi="Times New Roman"/>
          <w:b w:val="0"/>
          <w:sz w:val="19"/>
        </w:rPr>
        <w:t>Este Quadro-Resumo integra o contrato e prevalece, quanto aos dados nele preenchidos, sobre as cláusulas genéricas. As cláusulas que limitam direitos do(a) PROMISSÁRIO(A) COMPRADOR(A) estão redigidas em destaque (CDC, art. 54, § 4º).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1. Promitente vendedora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color w:val="1F4E9A"/>
                <w:sz w:val="18"/>
              </w:rPr>
              <w:t>{{vend_qualificacao_resumida}}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2. Promissário(a) comprador(a)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color w:val="1F4E9A"/>
                <w:sz w:val="18"/>
              </w:rPr>
              <w:t>{{comp_nome}}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— CPF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{{comp_cpf}}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{{comp2_resumo}}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3. Gestora de vendas e corretores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ROMATEC CONSULTORIA TOTAL — CNPJ 17.261.987/0001-09 — </w:t>
            </w:r>
            <w:r>
              <w:rPr>
                <w:rFonts w:ascii="Times New Roman" w:hAnsi="Times New Roman"/>
                <w:b/>
                <w:sz w:val="18"/>
              </w:rPr>
              <w:t xml:space="preserve">CRECI/MA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{{rom_creci_pj}}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(pessoa jurídica) · corretor responsável José Romário Pinto Bezerra, </w:t>
            </w:r>
            <w:r>
              <w:rPr>
                <w:rFonts w:ascii="Times New Roman" w:hAnsi="Times New Roman"/>
                <w:b/>
                <w:sz w:val="18"/>
              </w:rPr>
              <w:t xml:space="preserve">CRECI/MA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{{corr_creci}}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carteira válida até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{{corr_creci_validade}}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certidão de regularidade n.º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{{corr_certidao_codigo}}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{{corr_parceiro_resumo}}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4. Unidade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Chácara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{{lote_codigo}}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(Quadra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{{lote_quadra}}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Lote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{{lote_numero}}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), área de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{{lote_area_m2}}</w:t>
            </w:r>
            <w:r>
              <w:rPr>
                <w:rFonts w:ascii="Times New Roman" w:hAnsi="Times New Roman"/>
                <w:b/>
                <w:sz w:val="18"/>
              </w:rPr>
              <w:t xml:space="preserve"> m²</w:t>
            </w:r>
            <w:r>
              <w:rPr>
                <w:rFonts w:ascii="Times New Roman" w:hAnsi="Times New Roman"/>
                <w:b w:val="0"/>
                <w:sz w:val="18"/>
              </w:rPr>
              <w:t xml:space="preserve"> (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{{lote_area_extenso}}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), perímetro de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{{lote_perimetro_m}}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m, frente para a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{{lote_via_frente}}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5. Matrícula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Imóvel de origem: Matrícula n.º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{{emp_matricula_origem}}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{{emp_matricula_livro_fls}}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{{emp_cartorio_ri}}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Matrícula do empreendimento: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{{emp_matricula_empreendimento}}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Matrícula individual da unidade: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{{lote_matricula}}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6. Registro do parcelamento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Registro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{{emp_registro_parcelamento}}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em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{{emp_registro_data}}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Aprovação municipal: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{{emp_aprovacao_numero}}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de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{{emp_aprovacao_data}}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Lei Municipal n.º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{{emp_lei_municipal}}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7. Licenciamento ambiental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1F4E9A"/>
                <w:sz w:val="18"/>
              </w:rPr>
              <w:t>{{emp_licenca_ambiental}}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Processo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{{emp_licenca_processo}}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{{emp_licenca_orgao}}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validade até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{{emp_licenca_validade}}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8. Preço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Preço de tabela (pagamento parcelado): </w:t>
            </w:r>
            <w:r>
              <w:rPr>
                <w:rFonts w:ascii="Times New Roman" w:hAnsi="Times New Roman"/>
                <w:b/>
                <w:sz w:val="18"/>
              </w:rPr>
              <w:t xml:space="preserve">R$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{{plano_preco_tabela}}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(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{{plano_preco_tabela_extenso}}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) · Preço para pagamento integral à vista: R$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{{plano_preco_avista}}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9. Entrada (sinal e princípio de pagamento)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R$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{{plano_entrada_valor}}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(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{{plano_entrada_percentual}}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do preço) —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{{plano_entrada_forma}}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10. Saldo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R$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{{plano_saldo_valor}}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em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{{plano_saldo_qtd}}</w:t>
            </w:r>
            <w:r>
              <w:rPr>
                <w:rFonts w:ascii="Times New Roman" w:hAnsi="Times New Roman"/>
                <w:b/>
                <w:sz w:val="18"/>
              </w:rPr>
              <w:t xml:space="preserve"> parcelas mensais, fixas e consecutivas de R$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{{plano_saldo_parcela}}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vencendo a primeira em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{{plano_saldo_venc1}}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— Sistema de Amortização Francês (Tabela Price)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11. Juros e correção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Juros remuneratórios prefixados de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{{plano_taxa_aa}}</w:t>
            </w:r>
            <w:r>
              <w:rPr>
                <w:rFonts w:ascii="Times New Roman" w:hAnsi="Times New Roman"/>
                <w:b/>
                <w:sz w:val="18"/>
              </w:rPr>
              <w:t xml:space="preserve"> ao ano, efetivos</w:t>
            </w:r>
            <w:r>
              <w:rPr>
                <w:rFonts w:ascii="Times New Roman" w:hAnsi="Times New Roman"/>
                <w:b w:val="0"/>
                <w:sz w:val="18"/>
              </w:rPr>
              <w:t xml:space="preserve"> (taxa mensal equivalente de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{{plano_taxa_am}}</w:t>
            </w:r>
            <w:r>
              <w:rPr>
                <w:rFonts w:ascii="Times New Roman" w:hAnsi="Times New Roman"/>
                <w:b w:val="0"/>
                <w:sz w:val="18"/>
              </w:rPr>
              <w:t xml:space="preserve">), já embutidos nas parcelas. </w:t>
            </w:r>
            <w:r>
              <w:rPr>
                <w:rFonts w:ascii="Times New Roman" w:hAnsi="Times New Roman"/>
                <w:b/>
                <w:sz w:val="18"/>
              </w:rPr>
              <w:t>Parcelas fixas, sem correção monetária</w:t>
            </w:r>
            <w:r>
              <w:rPr>
                <w:rFonts w:ascii="Times New Roman" w:hAnsi="Times New Roman"/>
                <w:b w:val="0"/>
                <w:sz w:val="18"/>
              </w:rPr>
              <w:t xml:space="preserve"> enquanto adimplidas. Custo efetivo total: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{{plano_cet_aa}}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ao ano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12. Total a pagar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R$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{{plano_total_pagar}}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juros totais: R$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{{plano_total_juros}}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diferença em relação ao preço à vista: R$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{{plano_diferenca_avista}}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13. Mora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Multa de 2%, juros de mora de 1% ao mês pro rata die e correção pelo IPCA/IBGE sobre a parcela em atraso (Cláusula 7ª)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14. Corretagem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R$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{{com_valor}}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(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{{com_percentual}}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do preço de tabela), </w:t>
            </w:r>
            <w:r>
              <w:rPr>
                <w:rFonts w:ascii="Times New Roman" w:hAnsi="Times New Roman"/>
                <w:b/>
                <w:sz w:val="18"/>
              </w:rPr>
              <w:t>paga pela PROMITENTE VENDEDORA e já incluída no preço</w:t>
            </w:r>
            <w:r>
              <w:rPr>
                <w:rFonts w:ascii="Times New Roman" w:hAnsi="Times New Roman"/>
                <w:b w:val="0"/>
                <w:sz w:val="18"/>
              </w:rPr>
              <w:t xml:space="preserve">, à beneficiária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{{com_beneficiario}}</w:t>
            </w:r>
            <w:r>
              <w:rPr>
                <w:rFonts w:ascii="Times New Roman" w:hAnsi="Times New Roman"/>
                <w:b w:val="0"/>
                <w:sz w:val="18"/>
              </w:rPr>
              <w:t>, retida de 50% no 1º e 50% no 2º pagamento da entrada (Cláusula 19ª)</w:t>
            </w:r>
            <w:r>
              <w:rPr>
                <w:rFonts w:ascii="Times New Roman" w:hAnsi="Times New Roman"/>
                <w:b w:val="0"/>
              </w:rPr>
              <w:t xml:space="preserve">; dela, </w:t>
            </w:r>
            <w:r>
              <w:rPr>
                <w:rFonts w:ascii="Times New Roman" w:hAnsi="Times New Roman"/>
                <w:b w:val="0"/>
                <w:color w:val="1F4E9A"/>
              </w:rPr>
              <w:t xml:space="preserve">{{intermed_comissao_pct}}</w:t>
            </w:r>
            <w:r>
              <w:rPr>
                <w:rFonts w:ascii="Times New Roman" w:hAnsi="Times New Roman"/>
                <w:b w:val="0"/>
              </w:rPr>
              <w:t xml:space="preserve"> (R$ </w:t>
            </w:r>
            <w:r>
              <w:rPr>
                <w:rFonts w:ascii="Times New Roman" w:hAnsi="Times New Roman"/>
                <w:b w:val="0"/>
                <w:color w:val="1F4E9A"/>
              </w:rPr>
              <w:t xml:space="preserve">{{intermed_comissao_valor}}</w:t>
            </w:r>
            <w:r>
              <w:rPr>
                <w:rFonts w:ascii="Times New Roman" w:hAnsi="Times New Roman"/>
                <w:b w:val="0"/>
              </w:rPr>
              <w:t xml:space="preserve">) remuneram o(a) corretor(a) intermediador(a), pagos no ato do sinal e </w:t>
            </w:r>
            <w:r>
              <w:rPr>
                <w:rFonts w:ascii="Times New Roman" w:hAnsi="Times New Roman"/>
                <w:b/>
              </w:rPr>
              <w:t xml:space="preserve">não restituíveis na desistência do(a) COMPRADOR(A)</w:t>
            </w:r>
            <w:r>
              <w:rPr>
                <w:rFonts w:ascii="Times New Roman" w:hAnsi="Times New Roman"/>
                <w:b w:val="0"/>
              </w:rPr>
              <w:t xml:space="preserve"> (Cláusula 19.1.2)</w:t>
            </w:r>
            <w:r>
              <w:rPr>
                <w:rFonts w:ascii="Times New Roman" w:hAnsi="Times New Roman"/>
              </w:rPr>
              <w:t xml:space="preserve"/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15. Desfazimento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Retenções da Lei n.º 6.766/1979, art. 32-A: fruição de 0,75% ao mês, cláusula penal de até 10% do valor atualizado, encargos, tributos, contribuições associativas e corretagem (Cláusulas 8ª e 9ª)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16. Obras de infraestrutura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Prazo de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{{emp_prazo_obras_meses}}</w:t>
            </w:r>
            <w:r>
              <w:rPr>
                <w:rFonts w:ascii="Times New Roman" w:hAnsi="Times New Roman"/>
                <w:b/>
                <w:sz w:val="18"/>
              </w:rPr>
              <w:t xml:space="preserve"> meses</w:t>
            </w:r>
            <w:r>
              <w:rPr>
                <w:rFonts w:ascii="Times New Roman" w:hAnsi="Times New Roman"/>
                <w:b w:val="0"/>
                <w:sz w:val="18"/>
              </w:rPr>
              <w:t xml:space="preserve">, contados da expedição da </w:t>
            </w:r>
            <w:r>
              <w:rPr>
                <w:rFonts w:ascii="Times New Roman" w:hAnsi="Times New Roman"/>
                <w:b/>
                <w:sz w:val="18"/>
              </w:rPr>
              <w:t xml:space="preserve">Licença de Instalação n.º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{{emp_li_numero}}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de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{{emp_li_data}}</w:t>
            </w:r>
            <w:r>
              <w:rPr>
                <w:rFonts w:ascii="Times New Roman" w:hAnsi="Times New Roman"/>
                <w:b w:val="0"/>
                <w:sz w:val="18"/>
              </w:rPr>
              <w:t xml:space="preserve">, prorrogável </w:t>
            </w:r>
            <w:r>
              <w:rPr>
                <w:rFonts w:ascii="Times New Roman" w:hAnsi="Times New Roman"/>
                <w:b/>
                <w:sz w:val="18"/>
              </w:rPr>
              <w:t xml:space="preserve">uma única vez por até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{{emp_prorrogacao_meses}}</w:t>
            </w:r>
            <w:r>
              <w:rPr>
                <w:rFonts w:ascii="Times New Roman" w:hAnsi="Times New Roman"/>
                <w:b/>
                <w:sz w:val="18"/>
              </w:rPr>
              <w:t xml:space="preserve"> meses</w:t>
            </w:r>
            <w:r>
              <w:rPr>
                <w:rFonts w:ascii="Times New Roman" w:hAnsi="Times New Roman"/>
                <w:b w:val="0"/>
                <w:sz w:val="18"/>
              </w:rPr>
              <w:t xml:space="preserve"> (total máximo de 48 meses — Lei n.º 6.766/1979, art. 18, V) · termo final previsto: </w:t>
            </w:r>
            <w:r>
              <w:rPr>
                <w:rFonts w:ascii="Times New Roman" w:hAnsi="Times New Roman"/>
                <w:b/>
                <w:color w:val="1F4E9A"/>
                <w:sz w:val="18"/>
              </w:rPr>
              <w:t>{{emp_obras_termo_final}}</w:t>
            </w:r>
            <w:r>
              <w:rPr>
                <w:rFonts w:ascii="Times New Roman" w:hAnsi="Times New Roman"/>
                <w:b w:val="0"/>
                <w:sz w:val="18"/>
              </w:rPr>
              <w:t xml:space="preserve"> · protocolo do pedido de termo de vistoria: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{{emp_obras_protocolo_vistoria}}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17. Ônus e pendências declarados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{{emp_onus_declarados}}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18. Contribuição associativa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Estimada em R$ </w:t>
            </w:r>
            <w:r>
              <w:rPr>
                <w:rFonts w:ascii="Times New Roman" w:hAnsi="Times New Roman"/>
                <w:b w:val="0"/>
                <w:color w:val="1F4E9A"/>
                <w:sz w:val="18"/>
              </w:rPr>
              <w:t>{{emp_contribuicao_mensal}}</w:t>
            </w:r>
            <w:r>
              <w:rPr>
                <w:rFonts w:ascii="Times New Roman" w:hAnsi="Times New Roman"/>
                <w:b w:val="0"/>
                <w:sz w:val="18"/>
              </w:rPr>
              <w:t>/mês por chácara, rateada proporcionalmente à área, devida a partir da imissão na posse (Cláusula 14ª)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19. Liberação de uso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Cercas, muros, edificações, criações e plantios somente após a quitação da entrada e o pagamento da </w:t>
            </w:r>
            <w:r>
              <w:rPr>
                <w:rFonts w:ascii="Times New Roman" w:hAnsi="Times New Roman"/>
                <w:b/>
                <w:sz w:val="18"/>
              </w:rPr>
              <w:t>3ª (terceira) parcela do saldo</w:t>
            </w:r>
            <w:r>
              <w:rPr>
                <w:rFonts w:ascii="Times New Roman" w:hAnsi="Times New Roman"/>
                <w:b w:val="0"/>
                <w:sz w:val="18"/>
              </w:rPr>
              <w:t xml:space="preserve"> (Cláusula 6ª)</w:t>
            </w:r>
          </w:p>
        </w:tc>
      </w:tr>
      <w:tr>
        <w:tc>
          <w:tcPr>
            <w:tcW w:type="dxa" w:w="2835"/>
            <w:shd w:val="clear" w:color="auto" w:fill="F3EEDF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/>
                <w:color w:val="0C3320"/>
                <w:sz w:val="18"/>
              </w:rPr>
              <w:t>20. Condições específicas</w:t>
            </w:r>
          </w:p>
        </w:tc>
        <w:tc>
          <w:tcPr>
            <w:tcW w:type="dxa" w:w="6520"/>
          </w:tcPr>
          <w:p>
            <w:pPr>
              <w:spacing w:after="20"/>
              <w:jc w:val="left"/>
            </w:pPr>
            <w:r>
              <w:rPr>
                <w:rFonts w:ascii="Times New Roman" w:hAnsi="Times New Roman"/>
                <w:b w:val="0"/>
                <w:color w:val="1F4E9A"/>
                <w:sz w:val="18"/>
              </w:rPr>
              <w:t>{{ctr_condicoes_especificas}}</w:t>
            </w:r>
          </w:p>
        </w:tc>
      </w:tr>
    </w:tbl>
    <w:p>
      <w:pPr>
        <w:spacing w:after="40"/>
      </w:pP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DAS PARTES</w:t>
      </w:r>
    </w:p>
    <w:p>
      <w:pPr>
        <w:spacing w:after="0"/>
      </w:pPr>
      <w:r>
        <w:rPr>
          <w:color w:val="990099"/>
          <w:sz w:val="16"/>
        </w:rPr>
        <w:t>{{#vend_pf}}</w:t>
      </w:r>
    </w:p>
    <w:p>
      <w:pPr>
        <w:jc w:val="both"/>
      </w:pPr>
      <w:r>
        <w:rPr>
          <w:rFonts w:ascii="Times New Roman" w:hAnsi="Times New Roman"/>
          <w:b/>
        </w:rPr>
        <w:t xml:space="preserve">PROMITENTE VENDEDORA: </w:t>
      </w:r>
      <w:r>
        <w:rPr>
          <w:rFonts w:ascii="Times New Roman" w:hAnsi="Times New Roman"/>
          <w:b/>
          <w:color w:val="1F4E9A"/>
        </w:rPr>
        <w:t>{{vend_nome}}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{{vend_nacionalidade}}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{{vend_estado_civil}}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{{vend_profissao}}</w:t>
      </w:r>
      <w:r>
        <w:rPr>
          <w:rFonts w:ascii="Times New Roman" w:hAnsi="Times New Roman"/>
          <w:b w:val="0"/>
        </w:rPr>
        <w:t xml:space="preserve">, nascida em </w:t>
      </w:r>
      <w:r>
        <w:rPr>
          <w:rFonts w:ascii="Times New Roman" w:hAnsi="Times New Roman"/>
          <w:b w:val="0"/>
          <w:color w:val="1F4E9A"/>
        </w:rPr>
        <w:t>{{vend_nascimento}}</w:t>
      </w:r>
      <w:r>
        <w:rPr>
          <w:rFonts w:ascii="Times New Roman" w:hAnsi="Times New Roman"/>
          <w:b w:val="0"/>
        </w:rPr>
        <w:t xml:space="preserve">, natural de </w:t>
      </w:r>
      <w:r>
        <w:rPr>
          <w:rFonts w:ascii="Times New Roman" w:hAnsi="Times New Roman"/>
          <w:b w:val="0"/>
          <w:color w:val="1F4E9A"/>
        </w:rPr>
        <w:t>{{vend_naturalidade}}</w:t>
      </w:r>
      <w:r>
        <w:rPr>
          <w:rFonts w:ascii="Times New Roman" w:hAnsi="Times New Roman"/>
          <w:b w:val="0"/>
        </w:rPr>
        <w:t xml:space="preserve">, portadora do RG n.º </w:t>
      </w:r>
      <w:r>
        <w:rPr>
          <w:rFonts w:ascii="Times New Roman" w:hAnsi="Times New Roman"/>
          <w:b w:val="0"/>
          <w:color w:val="1F4E9A"/>
        </w:rPr>
        <w:t>{{vend_rg}}</w:t>
      </w:r>
      <w:r>
        <w:rPr>
          <w:rFonts w:ascii="Times New Roman" w:hAnsi="Times New Roman"/>
          <w:b w:val="0"/>
        </w:rPr>
        <w:t xml:space="preserve">, da CNH n.º </w:t>
      </w:r>
      <w:r>
        <w:rPr>
          <w:rFonts w:ascii="Times New Roman" w:hAnsi="Times New Roman"/>
          <w:b w:val="0"/>
          <w:color w:val="1F4E9A"/>
        </w:rPr>
        <w:t>{{vend_cnh}}</w:t>
      </w:r>
      <w:r>
        <w:rPr>
          <w:rFonts w:ascii="Times New Roman" w:hAnsi="Times New Roman"/>
          <w:b w:val="0"/>
        </w:rPr>
        <w:t xml:space="preserve"> e inscrita no CPF sob o n.º </w:t>
      </w:r>
      <w:r>
        <w:rPr>
          <w:rFonts w:ascii="Times New Roman" w:hAnsi="Times New Roman"/>
          <w:b/>
          <w:color w:val="1F4E9A"/>
        </w:rPr>
        <w:t>{{vend_cpf}}</w:t>
      </w:r>
      <w:r>
        <w:rPr>
          <w:rFonts w:ascii="Times New Roman" w:hAnsi="Times New Roman"/>
          <w:b w:val="0"/>
        </w:rPr>
        <w:t xml:space="preserve">, filha de </w:t>
      </w:r>
      <w:r>
        <w:rPr>
          <w:rFonts w:ascii="Times New Roman" w:hAnsi="Times New Roman"/>
          <w:b w:val="0"/>
          <w:color w:val="1F4E9A"/>
        </w:rPr>
        <w:t>{{vend_filiacao}}</w:t>
      </w:r>
      <w:r>
        <w:rPr>
          <w:rFonts w:ascii="Times New Roman" w:hAnsi="Times New Roman"/>
          <w:b w:val="0"/>
        </w:rPr>
        <w:t xml:space="preserve">, residente e domiciliada na </w:t>
      </w:r>
      <w:r>
        <w:rPr>
          <w:rFonts w:ascii="Times New Roman" w:hAnsi="Times New Roman"/>
          <w:b w:val="0"/>
          <w:color w:val="1F4E9A"/>
        </w:rPr>
        <w:t>{{vend_endereco}}</w:t>
      </w:r>
      <w:r>
        <w:rPr>
          <w:rFonts w:ascii="Times New Roman" w:hAnsi="Times New Roman"/>
          <w:b w:val="0"/>
        </w:rPr>
        <w:t xml:space="preserve">, e-mail </w:t>
      </w:r>
      <w:r>
        <w:rPr>
          <w:rFonts w:ascii="Times New Roman" w:hAnsi="Times New Roman"/>
          <w:b w:val="0"/>
          <w:color w:val="1F4E9A"/>
        </w:rPr>
        <w:t>{{vend_email}}</w:t>
      </w:r>
      <w:r>
        <w:rPr>
          <w:rFonts w:ascii="Times New Roman" w:hAnsi="Times New Roman"/>
          <w:b w:val="0"/>
        </w:rPr>
        <w:t xml:space="preserve">, telefone </w:t>
      </w:r>
      <w:r>
        <w:rPr>
          <w:rFonts w:ascii="Times New Roman" w:hAnsi="Times New Roman"/>
          <w:b w:val="0"/>
          <w:color w:val="1F4E9A"/>
        </w:rPr>
        <w:t>{{vend_telefone}}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{{vend_declaracao_uniao}}</w:t>
      </w:r>
      <w:r>
        <w:rPr>
          <w:rFonts w:ascii="Times New Roman" w:hAnsi="Times New Roman"/>
          <w:b w:val="0"/>
        </w:rPr>
        <w:t xml:space="preserve">, doravante denominada </w:t>
      </w:r>
      <w:r>
        <w:rPr>
          <w:rFonts w:ascii="Times New Roman" w:hAnsi="Times New Roman"/>
          <w:b/>
        </w:rPr>
        <w:t>VENDEDORA</w:t>
      </w:r>
      <w:r>
        <w:rPr>
          <w:rFonts w:ascii="Times New Roman" w:hAnsi="Times New Roman"/>
          <w:b w:val="0"/>
        </w:rPr>
        <w:t>;</w:t>
      </w:r>
    </w:p>
    <w:p>
      <w:pPr>
        <w:spacing w:after="0"/>
      </w:pPr>
      <w:r>
        <w:rPr>
          <w:color w:val="990099"/>
          <w:sz w:val="16"/>
        </w:rPr>
        <w:t>{{/vend_pf}}</w:t>
      </w:r>
    </w:p>
    <w:p>
      <w:pPr>
        <w:spacing w:after="0"/>
      </w:pPr>
      <w:r>
        <w:rPr>
          <w:color w:val="990099"/>
          <w:sz w:val="16"/>
        </w:rPr>
        <w:t>{{#vend_pj}}</w:t>
      </w:r>
    </w:p>
    <w:p>
      <w:pPr>
        <w:jc w:val="both"/>
      </w:pPr>
      <w:r>
        <w:rPr>
          <w:rFonts w:ascii="Times New Roman" w:hAnsi="Times New Roman"/>
          <w:b/>
        </w:rPr>
        <w:t xml:space="preserve">PROMITENTE VENDEDORA: </w:t>
      </w:r>
      <w:r>
        <w:rPr>
          <w:rFonts w:ascii="Times New Roman" w:hAnsi="Times New Roman"/>
          <w:b/>
          <w:color w:val="1F4E9A"/>
        </w:rPr>
        <w:t>{{vend_razao_social}}</w:t>
      </w:r>
      <w:r>
        <w:rPr>
          <w:rFonts w:ascii="Times New Roman" w:hAnsi="Times New Roman"/>
          <w:b w:val="0"/>
        </w:rPr>
        <w:t xml:space="preserve">, pessoa jurídica de direito privado inscrita no CNPJ sob o n.º </w:t>
      </w:r>
      <w:r>
        <w:rPr>
          <w:rFonts w:ascii="Times New Roman" w:hAnsi="Times New Roman"/>
          <w:b/>
          <w:color w:val="1F4E9A"/>
        </w:rPr>
        <w:t>{{vend_cnpj}}</w:t>
      </w:r>
      <w:r>
        <w:rPr>
          <w:rFonts w:ascii="Times New Roman" w:hAnsi="Times New Roman"/>
          <w:b w:val="0"/>
        </w:rPr>
        <w:t xml:space="preserve">, com sede na </w:t>
      </w:r>
      <w:r>
        <w:rPr>
          <w:rFonts w:ascii="Times New Roman" w:hAnsi="Times New Roman"/>
          <w:b w:val="0"/>
          <w:color w:val="1F4E9A"/>
        </w:rPr>
        <w:t>{{vend_sede}}</w:t>
      </w:r>
      <w:r>
        <w:rPr>
          <w:rFonts w:ascii="Times New Roman" w:hAnsi="Times New Roman"/>
          <w:b w:val="0"/>
        </w:rPr>
        <w:t xml:space="preserve">, neste ato representada por </w:t>
      </w:r>
      <w:r>
        <w:rPr>
          <w:rFonts w:ascii="Times New Roman" w:hAnsi="Times New Roman"/>
          <w:b w:val="0"/>
          <w:color w:val="1F4E9A"/>
        </w:rPr>
        <w:t>{{vend_rep_nome}}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{{vend_rep_qualificacao}}</w:t>
      </w:r>
      <w:r>
        <w:rPr>
          <w:rFonts w:ascii="Times New Roman" w:hAnsi="Times New Roman"/>
          <w:b w:val="0"/>
        </w:rPr>
        <w:t xml:space="preserve">, CPF n.º </w:t>
      </w:r>
      <w:r>
        <w:rPr>
          <w:rFonts w:ascii="Times New Roman" w:hAnsi="Times New Roman"/>
          <w:b w:val="0"/>
          <w:color w:val="1F4E9A"/>
        </w:rPr>
        <w:t>{{vend_rep_cpf}}</w:t>
      </w:r>
      <w:r>
        <w:rPr>
          <w:rFonts w:ascii="Times New Roman" w:hAnsi="Times New Roman"/>
          <w:b w:val="0"/>
        </w:rPr>
        <w:t xml:space="preserve">, na forma de seu </w:t>
      </w:r>
      <w:r>
        <w:rPr>
          <w:rFonts w:ascii="Times New Roman" w:hAnsi="Times New Roman"/>
          <w:b w:val="0"/>
          <w:color w:val="1F4E9A"/>
        </w:rPr>
        <w:t>{{vend_rep_ato}}</w:t>
      </w:r>
      <w:r>
        <w:rPr>
          <w:rFonts w:ascii="Times New Roman" w:hAnsi="Times New Roman"/>
          <w:b w:val="0"/>
        </w:rPr>
        <w:t xml:space="preserve">, doravante denominada </w:t>
      </w:r>
      <w:r>
        <w:rPr>
          <w:rFonts w:ascii="Times New Roman" w:hAnsi="Times New Roman"/>
          <w:b/>
        </w:rPr>
        <w:t>VENDEDORA</w:t>
      </w:r>
      <w:r>
        <w:rPr>
          <w:rFonts w:ascii="Times New Roman" w:hAnsi="Times New Roman"/>
          <w:b w:val="0"/>
        </w:rPr>
        <w:t>;</w:t>
      </w:r>
    </w:p>
    <w:p>
      <w:pPr>
        <w:jc w:val="both"/>
      </w:pPr>
      <w:r>
        <w:rPr>
          <w:rFonts w:ascii="Times New Roman" w:hAnsi="Times New Roman"/>
          <w:b/>
        </w:rPr>
        <w:t xml:space="preserve">TITULAR DOS DIREITOS E ANUENTE: </w:t>
      </w:r>
      <w:r>
        <w:rPr>
          <w:rFonts w:ascii="Times New Roman" w:hAnsi="Times New Roman"/>
          <w:b/>
          <w:color w:val="1F4E9A"/>
        </w:rPr>
        <w:t>{{tit_nome}}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{{tit_qualificacao}}</w:t>
      </w:r>
      <w:r>
        <w:rPr>
          <w:rFonts w:ascii="Times New Roman" w:hAnsi="Times New Roman"/>
          <w:b w:val="0"/>
        </w:rPr>
        <w:t xml:space="preserve">, CPF n.º </w:t>
      </w:r>
      <w:r>
        <w:rPr>
          <w:rFonts w:ascii="Times New Roman" w:hAnsi="Times New Roman"/>
          <w:b/>
          <w:color w:val="1F4E9A"/>
        </w:rPr>
        <w:t>{{tit_cpf}}</w:t>
      </w:r>
      <w:r>
        <w:rPr>
          <w:rFonts w:ascii="Times New Roman" w:hAnsi="Times New Roman"/>
          <w:b w:val="0"/>
        </w:rPr>
        <w:t>, que comparece para anuir com esta promessa e obrigar-se solidariamente pela outorga do título definitivo;</w:t>
      </w:r>
    </w:p>
    <w:p>
      <w:pPr>
        <w:spacing w:after="0"/>
      </w:pPr>
      <w:r>
        <w:rPr>
          <w:color w:val="990099"/>
          <w:sz w:val="16"/>
        </w:rPr>
        <w:t>{{/vend_pj}}</w:t>
      </w:r>
    </w:p>
    <w:p>
      <w:pPr>
        <w:jc w:val="both"/>
      </w:pPr>
      <w:r>
        <w:rPr>
          <w:rFonts w:ascii="Times New Roman" w:hAnsi="Times New Roman"/>
          <w:b/>
        </w:rPr>
        <w:t xml:space="preserve">PROMISSÁRIO(A) COMPRADOR(A): </w:t>
      </w:r>
      <w:r>
        <w:rPr>
          <w:rFonts w:ascii="Times New Roman" w:hAnsi="Times New Roman"/>
          <w:b/>
          <w:color w:val="1F4E9A"/>
        </w:rPr>
        <w:t>{{comp_nome}}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{{comp_nacionalidade}}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{{comp_estado_civil}}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{{comp_profissao}}</w:t>
      </w:r>
      <w:r>
        <w:rPr>
          <w:rFonts w:ascii="Times New Roman" w:hAnsi="Times New Roman"/>
          <w:b w:val="0"/>
        </w:rPr>
        <w:t xml:space="preserve">, nascido(a) em </w:t>
      </w:r>
      <w:r>
        <w:rPr>
          <w:rFonts w:ascii="Times New Roman" w:hAnsi="Times New Roman"/>
          <w:b w:val="0"/>
          <w:color w:val="1F4E9A"/>
        </w:rPr>
        <w:t>{{comp_nascimento}}</w:t>
      </w:r>
      <w:r>
        <w:rPr>
          <w:rFonts w:ascii="Times New Roman" w:hAnsi="Times New Roman"/>
          <w:b w:val="0"/>
        </w:rPr>
        <w:t xml:space="preserve">, portador(a) do RG n.º </w:t>
      </w:r>
      <w:r>
        <w:rPr>
          <w:rFonts w:ascii="Times New Roman" w:hAnsi="Times New Roman"/>
          <w:b w:val="0"/>
          <w:color w:val="1F4E9A"/>
        </w:rPr>
        <w:t>{{comp_rg}}</w:t>
      </w:r>
      <w:r>
        <w:rPr>
          <w:rFonts w:ascii="Times New Roman" w:hAnsi="Times New Roman"/>
          <w:b w:val="0"/>
        </w:rPr>
        <w:t xml:space="preserve"> </w:t>
      </w:r>
      <w:r>
        <w:rPr>
          <w:rFonts w:ascii="Times New Roman" w:hAnsi="Times New Roman"/>
          <w:b w:val="0"/>
          <w:color w:val="1F4E9A"/>
        </w:rPr>
        <w:t>{{comp_rg_orgao}}</w:t>
      </w:r>
      <w:r>
        <w:rPr>
          <w:rFonts w:ascii="Times New Roman" w:hAnsi="Times New Roman"/>
          <w:b w:val="0"/>
        </w:rPr>
        <w:t xml:space="preserve"> e inscrito(a) no CPF sob o n.º </w:t>
      </w:r>
      <w:r>
        <w:rPr>
          <w:rFonts w:ascii="Times New Roman" w:hAnsi="Times New Roman"/>
          <w:b/>
          <w:color w:val="1F4E9A"/>
        </w:rPr>
        <w:t>{{comp_cpf}}</w:t>
      </w:r>
      <w:r>
        <w:rPr>
          <w:rFonts w:ascii="Times New Roman" w:hAnsi="Times New Roman"/>
          <w:b w:val="0"/>
        </w:rPr>
        <w:t xml:space="preserve">, residente e domiciliado(a) na </w:t>
      </w:r>
      <w:r>
        <w:rPr>
          <w:rFonts w:ascii="Times New Roman" w:hAnsi="Times New Roman"/>
          <w:b w:val="0"/>
          <w:color w:val="1F4E9A"/>
        </w:rPr>
        <w:t>{{comp_endereco}}</w:t>
      </w:r>
      <w:r>
        <w:rPr>
          <w:rFonts w:ascii="Times New Roman" w:hAnsi="Times New Roman"/>
          <w:b w:val="0"/>
        </w:rPr>
        <w:t xml:space="preserve">, e-mail </w:t>
      </w:r>
      <w:r>
        <w:rPr>
          <w:rFonts w:ascii="Times New Roman" w:hAnsi="Times New Roman"/>
          <w:b w:val="0"/>
          <w:color w:val="1F4E9A"/>
        </w:rPr>
        <w:t>{{comp_email}}</w:t>
      </w:r>
      <w:r>
        <w:rPr>
          <w:rFonts w:ascii="Times New Roman" w:hAnsi="Times New Roman"/>
          <w:b w:val="0"/>
        </w:rPr>
        <w:t xml:space="preserve">, telefone/WhatsApp </w:t>
      </w:r>
      <w:r>
        <w:rPr>
          <w:rFonts w:ascii="Times New Roman" w:hAnsi="Times New Roman"/>
          <w:b w:val="0"/>
          <w:color w:val="1F4E9A"/>
        </w:rPr>
        <w:t>{{comp_telefone}}</w:t>
      </w:r>
      <w:r>
        <w:rPr>
          <w:rFonts w:ascii="Times New Roman" w:hAnsi="Times New Roman"/>
          <w:b w:val="0"/>
        </w:rPr>
        <w:t xml:space="preserve">, doravante denominado(a) </w:t>
      </w:r>
      <w:r>
        <w:rPr>
          <w:rFonts w:ascii="Times New Roman" w:hAnsi="Times New Roman"/>
          <w:b/>
        </w:rPr>
        <w:t>COMPRADOR(A)</w:t>
      </w:r>
      <w:r>
        <w:rPr>
          <w:rFonts w:ascii="Times New Roman" w:hAnsi="Times New Roman"/>
          <w:b w:val="0"/>
        </w:rPr>
        <w:t>;</w:t>
      </w:r>
    </w:p>
    <w:p>
      <w:pPr>
        <w:spacing w:after="0"/>
      </w:pPr>
      <w:r>
        <w:rPr>
          <w:color w:val="990099"/>
          <w:sz w:val="16"/>
        </w:rPr>
        <w:t>{{#comp_casado}}</w:t>
      </w:r>
    </w:p>
    <w:p>
      <w:pPr>
        <w:jc w:val="both"/>
      </w:pPr>
      <w:r>
        <w:rPr>
          <w:rFonts w:ascii="Times New Roman" w:hAnsi="Times New Roman"/>
          <w:b/>
        </w:rPr>
        <w:t xml:space="preserve">CÔNJUGE/COMPANHEIRO(A) ANUENTE: </w:t>
      </w:r>
      <w:r>
        <w:rPr>
          <w:rFonts w:ascii="Times New Roman" w:hAnsi="Times New Roman"/>
          <w:b/>
          <w:color w:val="1F4E9A"/>
        </w:rPr>
        <w:t>{{conj_nome}}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{{conj_nacionalidade}}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{{conj_profissao}}</w:t>
      </w:r>
      <w:r>
        <w:rPr>
          <w:rFonts w:ascii="Times New Roman" w:hAnsi="Times New Roman"/>
          <w:b w:val="0"/>
        </w:rPr>
        <w:t xml:space="preserve">, RG n.º </w:t>
      </w:r>
      <w:r>
        <w:rPr>
          <w:rFonts w:ascii="Times New Roman" w:hAnsi="Times New Roman"/>
          <w:b w:val="0"/>
          <w:color w:val="1F4E9A"/>
        </w:rPr>
        <w:t>{{conj_rg}}</w:t>
      </w:r>
      <w:r>
        <w:rPr>
          <w:rFonts w:ascii="Times New Roman" w:hAnsi="Times New Roman"/>
          <w:b w:val="0"/>
        </w:rPr>
        <w:t xml:space="preserve">, CPF n.º </w:t>
      </w:r>
      <w:r>
        <w:rPr>
          <w:rFonts w:ascii="Times New Roman" w:hAnsi="Times New Roman"/>
          <w:b/>
          <w:color w:val="1F4E9A"/>
        </w:rPr>
        <w:t>{{conj_cpf}}</w:t>
      </w:r>
      <w:r>
        <w:rPr>
          <w:rFonts w:ascii="Times New Roman" w:hAnsi="Times New Roman"/>
          <w:b w:val="0"/>
        </w:rPr>
        <w:t xml:space="preserve">, casado(a)/convivente com o(a) COMPRADOR(A) sob o regime de </w:t>
      </w:r>
      <w:r>
        <w:rPr>
          <w:rFonts w:ascii="Times New Roman" w:hAnsi="Times New Roman"/>
          <w:b/>
          <w:color w:val="1F4E9A"/>
        </w:rPr>
        <w:t>{{conj_regime_bens}}</w:t>
      </w:r>
      <w:r>
        <w:rPr>
          <w:rFonts w:ascii="Times New Roman" w:hAnsi="Times New Roman"/>
          <w:b w:val="0"/>
          <w:color w:val="1F4E9A"/>
        </w:rPr>
        <w:t>{{conj_pacto}}</w:t>
      </w:r>
      <w:r>
        <w:rPr>
          <w:rFonts w:ascii="Times New Roman" w:hAnsi="Times New Roman"/>
          <w:b w:val="0"/>
        </w:rPr>
        <w:t>, que assina em conjunto (Código Civil, arts. 1.647 e 1.725);</w:t>
      </w:r>
    </w:p>
    <w:p>
      <w:pPr>
        <w:spacing w:after="0"/>
      </w:pPr>
      <w:r>
        <w:rPr>
          <w:color w:val="990099"/>
          <w:sz w:val="16"/>
        </w:rPr>
        <w:t>{{/comp_casado}}</w:t>
      </w:r>
    </w:p>
    <w:p>
      <w:pPr>
        <w:spacing w:after="0"/>
      </w:pPr>
      <w:r>
        <w:rPr>
          <w:color w:val="990099"/>
          <w:sz w:val="16"/>
        </w:rPr>
        <w:t>{{#comp2_existe}}</w:t>
      </w:r>
    </w:p>
    <w:p>
      <w:pPr>
        <w:jc w:val="both"/>
      </w:pPr>
      <w:r>
        <w:rPr>
          <w:rFonts w:ascii="Times New Roman" w:hAnsi="Times New Roman"/>
          <w:b/>
        </w:rPr>
        <w:t xml:space="preserve">2º PROMISSÁRIO(A) COMPRADOR(A): </w:t>
      </w:r>
      <w:r>
        <w:rPr>
          <w:rFonts w:ascii="Times New Roman" w:hAnsi="Times New Roman"/>
          <w:b/>
          <w:color w:val="1F4E9A"/>
        </w:rPr>
        <w:t>{{comp2_nome}}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{{comp2_qualificacao}}</w:t>
      </w:r>
      <w:r>
        <w:rPr>
          <w:rFonts w:ascii="Times New Roman" w:hAnsi="Times New Roman"/>
          <w:b w:val="0"/>
        </w:rPr>
        <w:t xml:space="preserve">, CPF n.º </w:t>
      </w:r>
      <w:r>
        <w:rPr>
          <w:rFonts w:ascii="Times New Roman" w:hAnsi="Times New Roman"/>
          <w:b/>
          <w:color w:val="1F4E9A"/>
        </w:rPr>
        <w:t>{{comp2_cpf}}</w:t>
      </w:r>
      <w:r>
        <w:rPr>
          <w:rFonts w:ascii="Times New Roman" w:hAnsi="Times New Roman"/>
          <w:b w:val="0"/>
        </w:rPr>
        <w:t xml:space="preserve">, adquirindo em condomínio com o(a) primeiro(a) na proporção de </w:t>
      </w:r>
      <w:r>
        <w:rPr>
          <w:rFonts w:ascii="Times New Roman" w:hAnsi="Times New Roman"/>
          <w:b w:val="0"/>
          <w:color w:val="1F4E9A"/>
        </w:rPr>
        <w:t>{{comp2_fracao}}</w:t>
      </w:r>
      <w:r>
        <w:rPr>
          <w:rFonts w:ascii="Times New Roman" w:hAnsi="Times New Roman"/>
          <w:b w:val="0"/>
        </w:rPr>
        <w:t>, respondendo ambos solidariamente por todas as obrigações deste contrato (Código Civil, art. 265);</w:t>
      </w:r>
    </w:p>
    <w:p>
      <w:pPr>
        <w:spacing w:after="0"/>
      </w:pPr>
      <w:r>
        <w:rPr>
          <w:color w:val="990099"/>
          <w:sz w:val="16"/>
        </w:rPr>
        <w:t>{{/comp2_existe}}</w:t>
      </w:r>
    </w:p>
    <w:p>
      <w:pPr>
        <w:jc w:val="both"/>
      </w:pPr>
      <w:r>
        <w:rPr>
          <w:rFonts w:ascii="Times New Roman" w:hAnsi="Times New Roman"/>
          <w:b/>
        </w:rPr>
        <w:t>INTERMEDIADORA: ROMATEC CONSULTORIA TOTAL</w:t>
      </w:r>
      <w:r>
        <w:rPr>
          <w:rFonts w:ascii="Times New Roman" w:hAnsi="Times New Roman"/>
          <w:b w:val="0"/>
        </w:rPr>
        <w:t xml:space="preserve"> (J R P Bezerra Ltda), inscrita no CNPJ sob o n.º 17.261.987/0001-09 e no </w:t>
      </w:r>
      <w:r>
        <w:rPr>
          <w:rFonts w:ascii="Times New Roman" w:hAnsi="Times New Roman"/>
          <w:b/>
        </w:rPr>
        <w:t xml:space="preserve">CRECI/MA sob o n.º </w:t>
      </w:r>
      <w:r>
        <w:rPr>
          <w:rFonts w:ascii="Times New Roman" w:hAnsi="Times New Roman"/>
          <w:b/>
          <w:color w:val="1F4E9A"/>
        </w:rPr>
        <w:t>{{rom_creci_pj}}</w:t>
      </w:r>
      <w:r>
        <w:rPr>
          <w:rFonts w:ascii="Times New Roman" w:hAnsi="Times New Roman"/>
          <w:b w:val="0"/>
        </w:rPr>
        <w:t xml:space="preserve"> (pessoa jurídica), com sede na Rua São Raimundo, n.º 10, Centro, Açailândia/MA, CEP 65.930-000, por seu responsável técnico e corretor </w:t>
      </w:r>
      <w:r>
        <w:rPr>
          <w:rFonts w:ascii="Times New Roman" w:hAnsi="Times New Roman"/>
          <w:b/>
        </w:rPr>
        <w:t>José Romário Pinto Bezerra</w:t>
      </w:r>
      <w:r>
        <w:rPr>
          <w:rFonts w:ascii="Times New Roman" w:hAnsi="Times New Roman"/>
          <w:b w:val="0"/>
        </w:rPr>
        <w:t xml:space="preserve"> — Técnico em Agrimensura e Edificações CFT/MA 01209185369, credenciado INCRA FQNS, Avaliador Imobiliário CNAI 031161, Corretor de Imóveis </w:t>
      </w:r>
      <w:r>
        <w:rPr>
          <w:rFonts w:ascii="Times New Roman" w:hAnsi="Times New Roman"/>
          <w:b/>
        </w:rPr>
        <w:t xml:space="preserve">CRECI/MA </w:t>
      </w:r>
      <w:r>
        <w:rPr>
          <w:rFonts w:ascii="Times New Roman" w:hAnsi="Times New Roman"/>
          <w:b/>
          <w:color w:val="1F4E9A"/>
        </w:rPr>
        <w:t>{{corr_creci}}</w:t>
      </w:r>
      <w:r>
        <w:rPr>
          <w:rFonts w:ascii="Times New Roman" w:hAnsi="Times New Roman"/>
          <w:b w:val="0"/>
        </w:rPr>
        <w:t xml:space="preserve"> (carteira profissional válida até </w:t>
      </w:r>
      <w:r>
        <w:rPr>
          <w:rFonts w:ascii="Times New Roman" w:hAnsi="Times New Roman"/>
          <w:b w:val="0"/>
          <w:color w:val="1F4E9A"/>
        </w:rPr>
        <w:t>{{corr_creci_validade}}</w:t>
      </w:r>
      <w:r>
        <w:rPr>
          <w:rFonts w:ascii="Times New Roman" w:hAnsi="Times New Roman"/>
          <w:b w:val="0"/>
        </w:rPr>
        <w:t xml:space="preserve">; certidão de regularidade n.º </w:t>
      </w:r>
      <w:r>
        <w:rPr>
          <w:rFonts w:ascii="Times New Roman" w:hAnsi="Times New Roman"/>
          <w:b w:val="0"/>
          <w:color w:val="1F4E9A"/>
        </w:rPr>
        <w:t>{{corr_certidao_codigo}}</w:t>
      </w:r>
      <w:r>
        <w:rPr>
          <w:rFonts w:ascii="Times New Roman" w:hAnsi="Times New Roman"/>
          <w:b w:val="0"/>
        </w:rPr>
        <w:t xml:space="preserve">, emitida em </w:t>
      </w:r>
      <w:r>
        <w:rPr>
          <w:rFonts w:ascii="Times New Roman" w:hAnsi="Times New Roman"/>
          <w:b w:val="0"/>
          <w:color w:val="1F4E9A"/>
        </w:rPr>
        <w:t>{{corr_certidao_data}}</w:t>
      </w:r>
      <w:r>
        <w:rPr>
          <w:rFonts w:ascii="Times New Roman" w:hAnsi="Times New Roman"/>
          <w:b w:val="0"/>
        </w:rPr>
        <w:t xml:space="preserve">) —, que comparece na qualidade de </w:t>
      </w:r>
      <w:r>
        <w:rPr>
          <w:rFonts w:ascii="Times New Roman" w:hAnsi="Times New Roman"/>
          <w:b/>
        </w:rPr>
        <w:t>gestora e administradora das vendas do empreendimento</w:t>
      </w:r>
      <w:r>
        <w:rPr>
          <w:rFonts w:ascii="Times New Roman" w:hAnsi="Times New Roman"/>
          <w:b w:val="0"/>
        </w:rPr>
        <w:t>, intermediadora e assessora técnica, sem assumir obrigações de vendedora;</w:t>
      </w:r>
    </w:p>
    <w:p>
      <w:pPr>
        <w:spacing w:after="0"/>
      </w:pPr>
      <w:r>
        <w:rPr>
          <w:color w:val="990099"/>
          <w:sz w:val="16"/>
        </w:rPr>
        <w:t>{{#corr_parceiro}}</w:t>
      </w:r>
    </w:p>
    <w:p>
      <w:pPr>
        <w:jc w:val="both"/>
      </w:pPr>
      <w:r>
        <w:rPr>
          <w:rFonts w:ascii="Times New Roman" w:hAnsi="Times New Roman"/>
          <w:b/>
        </w:rPr>
        <w:t xml:space="preserve">CORRETOR(A) PARCEIRO(A): </w:t>
      </w:r>
      <w:r>
        <w:rPr>
          <w:rFonts w:ascii="Times New Roman" w:hAnsi="Times New Roman"/>
          <w:b/>
          <w:color w:val="1F4E9A"/>
        </w:rPr>
        <w:t>{{corr_parceiro_nome}}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/>
        </w:rPr>
        <w:t>CRECI/</w:t>
      </w:r>
      <w:r>
        <w:rPr>
          <w:rFonts w:ascii="Times New Roman" w:hAnsi="Times New Roman"/>
          <w:b/>
          <w:color w:val="1F4E9A"/>
        </w:rPr>
        <w:t>{{corr_parceiro_creci}}</w:t>
      </w:r>
      <w:r>
        <w:rPr>
          <w:rFonts w:ascii="Times New Roman" w:hAnsi="Times New Roman"/>
          <w:b w:val="0"/>
        </w:rPr>
        <w:t xml:space="preserve"> (carteira válida até </w:t>
      </w:r>
      <w:r>
        <w:rPr>
          <w:rFonts w:ascii="Times New Roman" w:hAnsi="Times New Roman"/>
          <w:b w:val="0"/>
          <w:color w:val="1F4E9A"/>
        </w:rPr>
        <w:t>{{corr_parceiro_creci_validade}}</w:t>
      </w:r>
      <w:r>
        <w:rPr>
          <w:rFonts w:ascii="Times New Roman" w:hAnsi="Times New Roman"/>
          <w:b w:val="0"/>
        </w:rPr>
        <w:t xml:space="preserve">; certidão de regularidade n.º </w:t>
      </w:r>
      <w:r>
        <w:rPr>
          <w:rFonts w:ascii="Times New Roman" w:hAnsi="Times New Roman"/>
          <w:b w:val="0"/>
          <w:color w:val="1F4E9A"/>
        </w:rPr>
        <w:t>{{corr_parceiro_certidao_codigo}}</w:t>
      </w:r>
      <w:r>
        <w:rPr>
          <w:rFonts w:ascii="Times New Roman" w:hAnsi="Times New Roman"/>
          <w:b w:val="0"/>
        </w:rPr>
        <w:t xml:space="preserve">), CPF n.º </w:t>
      </w:r>
      <w:r>
        <w:rPr>
          <w:rFonts w:ascii="Times New Roman" w:hAnsi="Times New Roman"/>
          <w:b w:val="0"/>
          <w:color w:val="1F4E9A"/>
        </w:rPr>
        <w:t>{{corr_parceiro_cpf}}</w:t>
      </w:r>
      <w:r>
        <w:rPr>
          <w:rFonts w:ascii="Times New Roman" w:hAnsi="Times New Roman"/>
          <w:b w:val="0"/>
        </w:rPr>
        <w:t>, que participou da intermediação em parceria com a INTERMEDIADORA (Lei n.º 6.530/1978; Código Civil, art. 728).</w:t>
      </w:r>
    </w:p>
    <w:p>
      <w:pPr>
        <w:spacing w:after="0"/>
      </w:pPr>
      <w:r>
        <w:rPr>
          <w:color w:val="990099"/>
          <w:sz w:val="16"/>
        </w:rPr>
        <w:t>{{/corr_parceiro}}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CONSIDERANDOS</w:t>
      </w:r>
    </w:p>
    <w:p>
      <w:pPr>
        <w:ind w:left="454"/>
        <w:jc w:val="both"/>
      </w:pPr>
      <w:r>
        <w:rPr>
          <w:rFonts w:ascii="Times New Roman" w:hAnsi="Times New Roman"/>
          <w:b w:val="0"/>
        </w:rPr>
        <w:t xml:space="preserve">(a) que a área do empreendimento, denominada </w:t>
      </w:r>
      <w:r>
        <w:rPr>
          <w:rFonts w:ascii="Times New Roman" w:hAnsi="Times New Roman"/>
          <w:b/>
          <w:color w:val="1F4E9A"/>
        </w:rPr>
        <w:t>{{emp_imovel_denominacao}}</w:t>
      </w:r>
      <w:r>
        <w:rPr>
          <w:rFonts w:ascii="Times New Roman" w:hAnsi="Times New Roman"/>
          <w:b w:val="0"/>
        </w:rPr>
        <w:t xml:space="preserve">, com </w:t>
      </w:r>
      <w:r>
        <w:rPr>
          <w:rFonts w:ascii="Times New Roman" w:hAnsi="Times New Roman"/>
          <w:b/>
          <w:color w:val="1F4E9A"/>
        </w:rPr>
        <w:t>{{emp_area_ha}}</w:t>
      </w:r>
      <w:r>
        <w:rPr>
          <w:rFonts w:ascii="Times New Roman" w:hAnsi="Times New Roman"/>
          <w:b/>
        </w:rPr>
        <w:t xml:space="preserve"> ha</w:t>
      </w:r>
      <w:r>
        <w:rPr>
          <w:rFonts w:ascii="Times New Roman" w:hAnsi="Times New Roman"/>
          <w:b w:val="0"/>
        </w:rPr>
        <w:t xml:space="preserve"> e perímetro de </w:t>
      </w:r>
      <w:r>
        <w:rPr>
          <w:rFonts w:ascii="Times New Roman" w:hAnsi="Times New Roman"/>
          <w:b w:val="0"/>
          <w:color w:val="1F4E9A"/>
        </w:rPr>
        <w:t>{{emp_perimetro_m}}</w:t>
      </w:r>
      <w:r>
        <w:rPr>
          <w:rFonts w:ascii="Times New Roman" w:hAnsi="Times New Roman"/>
          <w:b w:val="0"/>
        </w:rPr>
        <w:t xml:space="preserve"> m, georreferenciada e certificada no SIGEF/INCRA sob o n.º </w:t>
      </w:r>
      <w:r>
        <w:rPr>
          <w:rFonts w:ascii="Times New Roman" w:hAnsi="Times New Roman"/>
          <w:b/>
          <w:color w:val="1F4E9A"/>
        </w:rPr>
        <w:t>{{emp_sigef}}</w:t>
      </w:r>
      <w:r>
        <w:rPr>
          <w:rFonts w:ascii="Times New Roman" w:hAnsi="Times New Roman"/>
          <w:b w:val="0"/>
        </w:rPr>
        <w:t xml:space="preserve">, é parte do imóvel da Matrícula n.º </w:t>
      </w:r>
      <w:r>
        <w:rPr>
          <w:rFonts w:ascii="Times New Roman" w:hAnsi="Times New Roman"/>
          <w:b w:val="0"/>
          <w:color w:val="1F4E9A"/>
        </w:rPr>
        <w:t>{{emp_matricula_origem}}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{{emp_matricula_livro_fls}}</w:t>
      </w:r>
      <w:r>
        <w:rPr>
          <w:rFonts w:ascii="Times New Roman" w:hAnsi="Times New Roman"/>
          <w:b w:val="0"/>
        </w:rPr>
        <w:t xml:space="preserve">, do </w:t>
      </w:r>
      <w:r>
        <w:rPr>
          <w:rFonts w:ascii="Times New Roman" w:hAnsi="Times New Roman"/>
          <w:b w:val="0"/>
          <w:color w:val="1F4E9A"/>
        </w:rPr>
        <w:t>{{emp_cartorio_ri}}</w:t>
      </w:r>
      <w:r>
        <w:rPr>
          <w:rFonts w:ascii="Times New Roman" w:hAnsi="Times New Roman"/>
          <w:b w:val="0"/>
        </w:rPr>
        <w:t xml:space="preserve">, cadastrado no INCRA sob o n.º </w:t>
      </w:r>
      <w:r>
        <w:rPr>
          <w:rFonts w:ascii="Times New Roman" w:hAnsi="Times New Roman"/>
          <w:b w:val="0"/>
          <w:color w:val="1F4E9A"/>
        </w:rPr>
        <w:t>{{emp_ccir}}</w:t>
      </w:r>
      <w:r>
        <w:rPr>
          <w:rFonts w:ascii="Times New Roman" w:hAnsi="Times New Roman"/>
          <w:b w:val="0"/>
        </w:rPr>
        <w:t xml:space="preserve"> e na Receita Federal sob o CIB </w:t>
      </w:r>
      <w:r>
        <w:rPr>
          <w:rFonts w:ascii="Times New Roman" w:hAnsi="Times New Roman"/>
          <w:b w:val="0"/>
          <w:color w:val="1F4E9A"/>
        </w:rPr>
        <w:t>{{emp_cib}}</w:t>
      </w:r>
      <w:r>
        <w:rPr>
          <w:rFonts w:ascii="Times New Roman" w:hAnsi="Times New Roman"/>
          <w:b w:val="0"/>
        </w:rPr>
        <w:t>;</w:t>
      </w:r>
    </w:p>
    <w:p>
      <w:pPr>
        <w:ind w:left="454"/>
        <w:jc w:val="both"/>
      </w:pPr>
      <w:r>
        <w:rPr>
          <w:rFonts w:ascii="Times New Roman" w:hAnsi="Times New Roman"/>
          <w:b w:val="0"/>
        </w:rPr>
        <w:t xml:space="preserve">(b) que a titularidade da VENDEDORA (ou da TITULAR ANUENTE) decorre de </w:t>
      </w:r>
      <w:r>
        <w:rPr>
          <w:rFonts w:ascii="Times New Roman" w:hAnsi="Times New Roman"/>
          <w:b/>
          <w:color w:val="1F4E9A"/>
        </w:rPr>
        <w:t>{{emp_titulo_aquisitivo}}</w:t>
      </w:r>
      <w:r>
        <w:rPr>
          <w:rFonts w:ascii="Times New Roman" w:hAnsi="Times New Roman"/>
          <w:b w:val="0"/>
        </w:rPr>
        <w:t xml:space="preserve">, e que a individualização registral da área se dá por </w:t>
      </w:r>
      <w:r>
        <w:rPr>
          <w:rFonts w:ascii="Times New Roman" w:hAnsi="Times New Roman"/>
          <w:b/>
          <w:color w:val="1F4E9A"/>
        </w:rPr>
        <w:t>{{emp_inventario_situacao}}</w:t>
      </w:r>
      <w:r>
        <w:rPr>
          <w:rFonts w:ascii="Times New Roman" w:hAnsi="Times New Roman"/>
          <w:b w:val="0"/>
        </w:rPr>
        <w:t>;</w:t>
      </w:r>
    </w:p>
    <w:p>
      <w:pPr>
        <w:ind w:left="454"/>
        <w:jc w:val="both"/>
      </w:pPr>
      <w:r>
        <w:rPr>
          <w:rFonts w:ascii="Times New Roman" w:hAnsi="Times New Roman"/>
          <w:b w:val="0"/>
        </w:rPr>
        <w:t xml:space="preserve">(c) que o parcelamento foi licenciado pela </w:t>
      </w:r>
      <w:r>
        <w:rPr>
          <w:rFonts w:ascii="Times New Roman" w:hAnsi="Times New Roman"/>
          <w:b/>
          <w:color w:val="1F4E9A"/>
        </w:rPr>
        <w:t>{{emp_licenca_ambiental}}</w:t>
      </w:r>
      <w:r>
        <w:rPr>
          <w:rFonts w:ascii="Times New Roman" w:hAnsi="Times New Roman"/>
          <w:b w:val="0"/>
        </w:rPr>
        <w:t xml:space="preserve"> (</w:t>
      </w:r>
      <w:r>
        <w:rPr>
          <w:rFonts w:ascii="Times New Roman" w:hAnsi="Times New Roman"/>
          <w:b w:val="0"/>
          <w:color w:val="1F4E9A"/>
        </w:rPr>
        <w:t>{{emp_licenca_orgao}}</w:t>
      </w:r>
      <w:r>
        <w:rPr>
          <w:rFonts w:ascii="Times New Roman" w:hAnsi="Times New Roman"/>
          <w:b w:val="0"/>
        </w:rPr>
        <w:t xml:space="preserve">, Processo </w:t>
      </w:r>
      <w:r>
        <w:rPr>
          <w:rFonts w:ascii="Times New Roman" w:hAnsi="Times New Roman"/>
          <w:b w:val="0"/>
          <w:color w:val="1F4E9A"/>
        </w:rPr>
        <w:t>{{emp_licenca_processo}}</w:t>
      </w:r>
      <w:r>
        <w:rPr>
          <w:rFonts w:ascii="Times New Roman" w:hAnsi="Times New Roman"/>
          <w:b w:val="0"/>
        </w:rPr>
        <w:t xml:space="preserve">) e aprovado nos termos da </w:t>
      </w:r>
      <w:r>
        <w:rPr>
          <w:rFonts w:ascii="Times New Roman" w:hAnsi="Times New Roman"/>
          <w:b/>
        </w:rPr>
        <w:t xml:space="preserve">Lei Municipal n.º </w:t>
      </w:r>
      <w:r>
        <w:rPr>
          <w:rFonts w:ascii="Times New Roman" w:hAnsi="Times New Roman"/>
          <w:b/>
          <w:color w:val="1F4E9A"/>
        </w:rPr>
        <w:t>{{emp_lei_municipal}}</w:t>
      </w:r>
      <w:r>
        <w:rPr>
          <w:rFonts w:ascii="Times New Roman" w:hAnsi="Times New Roman"/>
          <w:b w:val="0"/>
        </w:rPr>
        <w:t xml:space="preserve"> (chacreamentos urbanos — lotes urbanos com características rurais), com aprovação </w:t>
      </w:r>
      <w:r>
        <w:rPr>
          <w:rFonts w:ascii="Times New Roman" w:hAnsi="Times New Roman"/>
          <w:b/>
          <w:color w:val="1F4E9A"/>
        </w:rPr>
        <w:t>{{emp_aprovacao_numero}}</w:t>
      </w:r>
      <w:r>
        <w:rPr>
          <w:rFonts w:ascii="Times New Roman" w:hAnsi="Times New Roman"/>
          <w:b w:val="0"/>
        </w:rPr>
        <w:t xml:space="preserve"> e registro </w:t>
      </w:r>
      <w:r>
        <w:rPr>
          <w:rFonts w:ascii="Times New Roman" w:hAnsi="Times New Roman"/>
          <w:b/>
          <w:color w:val="1F4E9A"/>
        </w:rPr>
        <w:t>{{emp_registro_parcelamento}}</w:t>
      </w:r>
      <w:r>
        <w:rPr>
          <w:rFonts w:ascii="Times New Roman" w:hAnsi="Times New Roman"/>
          <w:b w:val="0"/>
        </w:rPr>
        <w:t xml:space="preserve">, sob o regime de </w:t>
      </w:r>
      <w:r>
        <w:rPr>
          <w:rFonts w:ascii="Times New Roman" w:hAnsi="Times New Roman"/>
          <w:b/>
          <w:color w:val="1F4E9A"/>
        </w:rPr>
        <w:t>{{emp_regime_juridico}}</w:t>
      </w:r>
      <w:r>
        <w:rPr>
          <w:rFonts w:ascii="Times New Roman" w:hAnsi="Times New Roman"/>
          <w:b w:val="0"/>
        </w:rPr>
        <w:t>;</w:t>
      </w:r>
    </w:p>
    <w:p>
      <w:pPr>
        <w:ind w:left="454"/>
        <w:jc w:val="both"/>
      </w:pPr>
      <w:r>
        <w:rPr>
          <w:rFonts w:ascii="Times New Roman" w:hAnsi="Times New Roman"/>
          <w:b w:val="0"/>
        </w:rPr>
        <w:t xml:space="preserve">(c.1) que a denominação comercial </w:t>
      </w:r>
      <w:r>
        <w:rPr>
          <w:rFonts w:ascii="Times New Roman" w:hAnsi="Times New Roman"/>
          <w:b/>
        </w:rPr>
        <w:t>"</w:t>
      </w:r>
      <w:r>
        <w:rPr>
          <w:rFonts w:ascii="Times New Roman" w:hAnsi="Times New Roman"/>
          <w:b/>
          <w:color w:val="1F4E9A"/>
        </w:rPr>
        <w:t>{{emp_nome}}</w:t>
      </w:r>
      <w:r>
        <w:rPr>
          <w:rFonts w:ascii="Times New Roman" w:hAnsi="Times New Roman"/>
          <w:b/>
        </w:rPr>
        <w:t>"</w:t>
      </w:r>
      <w:r>
        <w:rPr>
          <w:rFonts w:ascii="Times New Roman" w:hAnsi="Times New Roman"/>
          <w:b w:val="0"/>
        </w:rPr>
        <w:t xml:space="preserve"> é nome de fantasia: o regime jurídico do empreendimento é o indicado na alínea (c), com administração exercida pela associação de proprietários (Cláusula 14ª), o que o(a) COMPRADOR(A) declara ter compreendido (CDC, arts. 6º, III, e 31);</w:t>
      </w:r>
    </w:p>
    <w:p>
      <w:pPr>
        <w:ind w:left="454"/>
        <w:jc w:val="both"/>
      </w:pPr>
      <w:r>
        <w:rPr>
          <w:rFonts w:ascii="Times New Roman" w:hAnsi="Times New Roman"/>
          <w:b w:val="0"/>
        </w:rPr>
        <w:t>(d) que, aprovado o projeto, o imóvel passou a ser considerado urbano para todos os fins (CTN, art. 32, § 2º), com o cancelamento dos cadastros rurais no INCRA e na Receita Federal na forma da lei municipal;</w:t>
      </w:r>
    </w:p>
    <w:p>
      <w:pPr>
        <w:jc w:val="both"/>
      </w:pPr>
      <w:r>
        <w:rPr>
          <w:rFonts w:ascii="Times New Roman" w:hAnsi="Times New Roman"/>
          <w:b w:val="0"/>
        </w:rPr>
        <w:t>as partes têm entre si, justo e contratado, o presente compromisso, que se rege pela Lei n.º 6.766/1979 (com as alterações das Leis n.º 9.785/1999, 13.465/2017 e 13.786/2018), pelos arts. 1.417 e 1.418 do Código Civil, pelo Código de Defesa do Consumidor (Lei n.º 8.078/1990), pela legislação municipal referida e pelas cláusulas seguintes.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1ª — DO OBJETO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1.1. A VENDEDORA promete vender ao(à) COMPRADOR(A), e este(a) promete comprar, livre e desembaraçada de ônus reais, dívidas e gravames, ressalvados os expressamente declarados no item 17 do Quadro-Resumo, a </w:t>
      </w:r>
      <w:r>
        <w:rPr>
          <w:rFonts w:ascii="Times New Roman" w:hAnsi="Times New Roman"/>
          <w:b/>
        </w:rPr>
        <w:t xml:space="preserve">Chácara </w:t>
      </w:r>
      <w:r>
        <w:rPr>
          <w:rFonts w:ascii="Times New Roman" w:hAnsi="Times New Roman"/>
          <w:b/>
          <w:color w:val="1F4E9A"/>
        </w:rPr>
        <w:t>{{lote_codigo}}</w:t>
      </w:r>
      <w:r>
        <w:rPr>
          <w:rFonts w:ascii="Times New Roman" w:hAnsi="Times New Roman"/>
          <w:b w:val="0"/>
        </w:rPr>
        <w:t xml:space="preserve"> do </w:t>
      </w:r>
      <w:r>
        <w:rPr>
          <w:rFonts w:ascii="Times New Roman" w:hAnsi="Times New Roman"/>
          <w:b w:val="0"/>
          <w:color w:val="1F4E9A"/>
        </w:rPr>
        <w:t>{{emp_nome}}</w:t>
      </w:r>
      <w:r>
        <w:rPr>
          <w:rFonts w:ascii="Times New Roman" w:hAnsi="Times New Roman"/>
          <w:b w:val="0"/>
        </w:rPr>
        <w:t xml:space="preserve">, assim descrita: </w:t>
      </w:r>
      <w:r>
        <w:rPr>
          <w:rFonts w:ascii="Times New Roman" w:hAnsi="Times New Roman"/>
          <w:b/>
          <w:color w:val="1F4E9A"/>
        </w:rPr>
        <w:t>{{lote_descricao}}</w:t>
      </w:r>
      <w:r>
        <w:rPr>
          <w:rFonts w:ascii="Times New Roman" w:hAnsi="Times New Roman"/>
          <w:b w:val="0"/>
        </w:rPr>
        <w:t>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1.2. O memorial descritivo georreferenciado (SIRGAS 2000), a planta individual e o quadro de vértices da unidade, elaborados pela Romatec Consultoria Total sob a responsabilidade técnica de José Romário Pinto Bezerra (TRT n.º </w:t>
      </w:r>
      <w:r>
        <w:rPr>
          <w:rFonts w:ascii="Times New Roman" w:hAnsi="Times New Roman"/>
          <w:b w:val="0"/>
          <w:color w:val="1F4E9A"/>
        </w:rPr>
        <w:t>{{emp_trt_rt}}</w:t>
      </w:r>
      <w:r>
        <w:rPr>
          <w:rFonts w:ascii="Times New Roman" w:hAnsi="Times New Roman"/>
          <w:b w:val="0"/>
        </w:rPr>
        <w:t xml:space="preserve">), constituem o </w:t>
      </w:r>
      <w:r>
        <w:rPr>
          <w:rFonts w:ascii="Times New Roman" w:hAnsi="Times New Roman"/>
          <w:b/>
        </w:rPr>
        <w:t>Anexo I</w:t>
      </w:r>
      <w:r>
        <w:rPr>
          <w:rFonts w:ascii="Times New Roman" w:hAnsi="Times New Roman"/>
          <w:b w:val="0"/>
        </w:rPr>
        <w:t>, rubricado pelas partes.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1.3. A unidade é vendida </w:t>
      </w:r>
      <w:r>
        <w:rPr>
          <w:rFonts w:ascii="Times New Roman" w:hAnsi="Times New Roman"/>
          <w:b/>
        </w:rPr>
        <w:t>por área certa (ad mensuram)</w:t>
      </w:r>
      <w:r>
        <w:rPr>
          <w:rFonts w:ascii="Times New Roman" w:hAnsi="Times New Roman"/>
          <w:b w:val="0"/>
        </w:rPr>
        <w:t>. Diferença de até 1/20 (um vigésimo) da área declarada é tolerada como meramente enunciativa e não gera complemento, abatimento ou resolução (Código Civil, art. 500, § 1º). Acima desse limite, aplica-se o art. 500, caput, do Código Civil, apurada a diferença por levantamento de profissional habilitado.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2ª — DO EMPREENDIMENTO, DO REGISTRO E DA REGULARIDADE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2.1. O </w:t>
      </w:r>
      <w:r>
        <w:rPr>
          <w:rFonts w:ascii="Times New Roman" w:hAnsi="Times New Roman"/>
          <w:b w:val="0"/>
          <w:color w:val="1F4E9A"/>
        </w:rPr>
        <w:t>{{emp_nome}}</w:t>
      </w:r>
      <w:r>
        <w:rPr>
          <w:rFonts w:ascii="Times New Roman" w:hAnsi="Times New Roman"/>
          <w:b w:val="0"/>
        </w:rPr>
        <w:t xml:space="preserve"> é composto por </w:t>
      </w:r>
      <w:r>
        <w:rPr>
          <w:rFonts w:ascii="Times New Roman" w:hAnsi="Times New Roman"/>
          <w:b w:val="0"/>
          <w:color w:val="1F4E9A"/>
        </w:rPr>
        <w:t>{{emp_qtd_lotes}}</w:t>
      </w:r>
      <w:r>
        <w:rPr>
          <w:rFonts w:ascii="Times New Roman" w:hAnsi="Times New Roman"/>
          <w:b w:val="0"/>
        </w:rPr>
        <w:t xml:space="preserve"> lotes nas Quadras A, B, C e D, dos quais </w:t>
      </w:r>
      <w:r>
        <w:rPr>
          <w:rFonts w:ascii="Times New Roman" w:hAnsi="Times New Roman"/>
          <w:b w:val="0"/>
          <w:color w:val="1F4E9A"/>
        </w:rPr>
        <w:t>{{emp_qtd_comercializaveis}}</w:t>
      </w:r>
      <w:r>
        <w:rPr>
          <w:rFonts w:ascii="Times New Roman" w:hAnsi="Times New Roman"/>
          <w:b w:val="0"/>
        </w:rPr>
        <w:t xml:space="preserve"> são chácaras comercializáveis; os lotes A03 (área técnica de abastecimento de água) e B14 (administração e apoio) não são comercializados. Integram o projeto o sistema viário, o portal com guarita, a Quadra E (uso comum/institucional), a Quadra F (área de vivência, com a Área de Preservação Permanente do córrego) e as áreas públicas doadas ao Município, conforme o quadro de áreas do projeto aprovado.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2.2. A VENDEDORA declara, sob as penas da lei, que o parcelamento está </w:t>
      </w:r>
      <w:r>
        <w:rPr>
          <w:rFonts w:ascii="Times New Roman" w:hAnsi="Times New Roman"/>
          <w:b/>
        </w:rPr>
        <w:t>aprovado pelo Município e registrado no Registro de Imóveis</w:t>
      </w:r>
      <w:r>
        <w:rPr>
          <w:rFonts w:ascii="Times New Roman" w:hAnsi="Times New Roman"/>
          <w:b w:val="0"/>
        </w:rPr>
        <w:t xml:space="preserve"> nos termos dos itens 5 e 6 do Quadro-Resumo, condição indispensável à celebração deste compromisso (Lei n.º 6.766/1979, arts. 18 e 37), e que mantém à disposição do(a) COMPRADOR(A) a certidão do registro, o projeto aprovado, o cronograma de obras e o instrumento de garantia de sua execução (art. 18, V).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2.3. </w:t>
      </w:r>
      <w:r>
        <w:rPr>
          <w:rFonts w:ascii="Times New Roman" w:hAnsi="Times New Roman"/>
          <w:b/>
        </w:rPr>
        <w:t>A unidade é indivisível.</w:t>
      </w:r>
      <w:r>
        <w:rPr>
          <w:rFonts w:ascii="Times New Roman" w:hAnsi="Times New Roman"/>
          <w:b w:val="0"/>
        </w:rPr>
        <w:t xml:space="preserve"> É vedado o desmembramento, desdobro ou qualquer subdivisão que resulte em lote com área inferior a </w:t>
      </w:r>
      <w:r>
        <w:rPr>
          <w:rFonts w:ascii="Times New Roman" w:hAnsi="Times New Roman"/>
          <w:b w:val="0"/>
          <w:color w:val="1F4E9A"/>
        </w:rPr>
        <w:t>{{emp_fracao_minima_m2}}</w:t>
      </w:r>
      <w:r>
        <w:rPr>
          <w:rFonts w:ascii="Times New Roman" w:hAnsi="Times New Roman"/>
          <w:b w:val="0"/>
        </w:rPr>
        <w:t xml:space="preserve"> m² (Lei Municipal n.º </w:t>
      </w:r>
      <w:r>
        <w:rPr>
          <w:rFonts w:ascii="Times New Roman" w:hAnsi="Times New Roman"/>
          <w:b w:val="0"/>
          <w:color w:val="1F4E9A"/>
        </w:rPr>
        <w:t>{{emp_lei_municipal}}</w:t>
      </w:r>
      <w:r>
        <w:rPr>
          <w:rFonts w:ascii="Times New Roman" w:hAnsi="Times New Roman"/>
          <w:b w:val="0"/>
        </w:rPr>
        <w:t>). Qualquer ato em contrário é nulo de pleno direito e não será registrado.</w:t>
      </w:r>
    </w:p>
    <w:p>
      <w:pPr>
        <w:jc w:val="both"/>
      </w:pPr>
      <w:r>
        <w:rPr>
          <w:rFonts w:ascii="Times New Roman" w:hAnsi="Times New Roman"/>
          <w:b w:val="0"/>
        </w:rPr>
        <w:t>2.4. O(A) COMPRADOR(A) declara ter recebido e conhecer o projeto urbanístico aprovado, o Mapa de Vendas (Anexo V), a Licença Ambiental e suas condicionantes (Anexo VI), o Estatuto da associação/instrumento de regência (Anexo III) e as Diretrizes de Uso (Anexo IV).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3ª — DO PREÇO E DA FORMA DE PAGAMENTO</w:t>
      </w:r>
    </w:p>
    <w:p>
      <w:pPr>
        <w:jc w:val="both"/>
      </w:pPr>
      <w:r>
        <w:rPr>
          <w:rFonts w:ascii="Times New Roman" w:hAnsi="Times New Roman"/>
          <w:b w:val="0"/>
        </w:rPr>
        <w:t xml:space="preserve">3.1. O preço e a forma de pagamento são os dos itens 8 a 12 do Quadro-Resumo, conforme o plano escolhido pelo(a) COMPRADOR(A) no simulador oficial do empreendimento, cuja tabela de pagamento integra o contrato como </w:t>
      </w:r>
      <w:r>
        <w:rPr>
          <w:rFonts w:ascii="Times New Roman" w:hAnsi="Times New Roman"/>
          <w:b/>
        </w:rPr>
        <w:t>Anexo II</w:t>
      </w:r>
      <w:r>
        <w:rPr>
          <w:rFonts w:ascii="Times New Roman" w:hAnsi="Times New Roman"/>
          <w:b w:val="0"/>
        </w:rPr>
        <w:t>.</w:t>
      </w:r>
    </w:p>
    <w:p>
      <w:pPr>
        <w:spacing w:after="0"/>
      </w:pPr>
      <w:r>
        <w:rPr>
          <w:color w:val="990099"/>
          <w:sz w:val="16"/>
        </w:rPr>
        <w:t>{{#pagamento_avista}}</w:t>
      </w:r>
    </w:p>
    <w:p>
      <w:pPr>
        <w:jc w:val="both"/>
      </w:pPr>
      <w:r>
        <w:rPr>
          <w:rFonts w:ascii="Times New Roman" w:hAnsi="Times New Roman"/>
          <w:b w:val="0"/>
        </w:rPr>
        <w:t xml:space="preserve">3.2. </w:t>
      </w:r>
      <w:r>
        <w:rPr>
          <w:rFonts w:ascii="Times New Roman" w:hAnsi="Times New Roman"/>
          <w:b/>
        </w:rPr>
        <w:t>Pagamento integral à vista.</w:t>
      </w:r>
      <w:r>
        <w:rPr>
          <w:rFonts w:ascii="Times New Roman" w:hAnsi="Times New Roman"/>
          <w:b w:val="0"/>
        </w:rPr>
        <w:t xml:space="preserve"> O preço à vista de R$ </w:t>
      </w:r>
      <w:r>
        <w:rPr>
          <w:rFonts w:ascii="Times New Roman" w:hAnsi="Times New Roman"/>
          <w:b w:val="0"/>
          <w:color w:val="1F4E9A"/>
        </w:rPr>
        <w:t>{{plano_preco_avista}}</w:t>
      </w:r>
      <w:r>
        <w:rPr>
          <w:rFonts w:ascii="Times New Roman" w:hAnsi="Times New Roman"/>
          <w:b w:val="0"/>
        </w:rPr>
        <w:t xml:space="preserve"> será pago em </w:t>
      </w:r>
      <w:r>
        <w:rPr>
          <w:rFonts w:ascii="Times New Roman" w:hAnsi="Times New Roman"/>
          <w:b w:val="0"/>
          <w:color w:val="1F4E9A"/>
        </w:rPr>
        <w:t>{{plano_avista_forma}}</w:t>
      </w:r>
      <w:r>
        <w:rPr>
          <w:rFonts w:ascii="Times New Roman" w:hAnsi="Times New Roman"/>
          <w:b w:val="0"/>
        </w:rPr>
        <w:t>, outorgando a VENDEDORA, após a compensação, plena quitação do preço.</w:t>
      </w:r>
    </w:p>
    <w:p>
      <w:pPr>
        <w:spacing w:after="0"/>
      </w:pPr>
      <w:r>
        <w:rPr>
          <w:color w:val="990099"/>
          <w:sz w:val="16"/>
        </w:rPr>
        <w:t>{{/pagamento_avista}}</w:t>
      </w:r>
    </w:p>
    <w:p>
      <w:pPr>
        <w:spacing w:after="0"/>
      </w:pPr>
      <w:r>
        <w:rPr>
          <w:color w:val="990099"/>
          <w:sz w:val="16"/>
        </w:rPr>
        <w:t>{{#pagamento_financiado}}</w:t>
      </w:r>
    </w:p>
    <w:p>
      <w:pPr>
        <w:jc w:val="both"/>
      </w:pPr>
      <w:r>
        <w:rPr>
          <w:rFonts w:ascii="Times New Roman" w:hAnsi="Times New Roman"/>
          <w:b w:val="0"/>
        </w:rPr>
        <w:t xml:space="preserve">3.2. </w:t>
      </w:r>
      <w:r>
        <w:rPr>
          <w:rFonts w:ascii="Times New Roman" w:hAnsi="Times New Roman"/>
          <w:b/>
        </w:rPr>
        <w:t>Entrada.</w:t>
      </w:r>
      <w:r>
        <w:rPr>
          <w:rFonts w:ascii="Times New Roman" w:hAnsi="Times New Roman"/>
          <w:b w:val="0"/>
        </w:rPr>
        <w:t xml:space="preserve"> A entrada de R$ </w:t>
      </w:r>
      <w:r>
        <w:rPr>
          <w:rFonts w:ascii="Times New Roman" w:hAnsi="Times New Roman"/>
          <w:b w:val="0"/>
          <w:color w:val="1F4E9A"/>
        </w:rPr>
        <w:t>{{plano_entrada_valor}}</w:t>
      </w:r>
      <w:r>
        <w:rPr>
          <w:rFonts w:ascii="Times New Roman" w:hAnsi="Times New Roman"/>
          <w:b w:val="0"/>
        </w:rPr>
        <w:t xml:space="preserve">, equivalente a </w:t>
      </w:r>
      <w:r>
        <w:rPr>
          <w:rFonts w:ascii="Times New Roman" w:hAnsi="Times New Roman"/>
          <w:b w:val="0"/>
          <w:color w:val="1F4E9A"/>
        </w:rPr>
        <w:t>{{plano_entrada_percentual}}</w:t>
      </w:r>
      <w:r>
        <w:rPr>
          <w:rFonts w:ascii="Times New Roman" w:hAnsi="Times New Roman"/>
          <w:b w:val="0"/>
        </w:rPr>
        <w:t xml:space="preserve"> do preço de tabela, constitui sinal e princípio de pagamento, com natureza de </w:t>
      </w:r>
      <w:r>
        <w:rPr>
          <w:rFonts w:ascii="Times New Roman" w:hAnsi="Times New Roman"/>
          <w:b/>
        </w:rPr>
        <w:t>arras confirmatórias</w:t>
      </w:r>
      <w:r>
        <w:rPr>
          <w:rFonts w:ascii="Times New Roman" w:hAnsi="Times New Roman"/>
          <w:b w:val="0"/>
        </w:rPr>
        <w:t xml:space="preserve"> (Código Civil, arts. 417 a 419), e não confere direito de arrependimento. Pode ser paga: (a) à vista, com o desconto informado no Quadro-Resumo, condicionado ao pagamento até a data de vencimento; ou (b) em até 6 (seis) parcelas mensais, sem desconto. Forma escolhida: </w:t>
      </w:r>
      <w:r>
        <w:rPr>
          <w:rFonts w:ascii="Times New Roman" w:hAnsi="Times New Roman"/>
          <w:b/>
          <w:color w:val="1F4E9A"/>
        </w:rPr>
        <w:t>{{plano_entrada_forma}}</w:t>
      </w:r>
      <w:r>
        <w:rPr>
          <w:rFonts w:ascii="Times New Roman" w:hAnsi="Times New Roman"/>
          <w:b w:val="0"/>
        </w:rPr>
        <w:t>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3.3. </w:t>
      </w:r>
      <w:r>
        <w:rPr>
          <w:rFonts w:ascii="Times New Roman" w:hAnsi="Times New Roman"/>
          <w:b/>
        </w:rPr>
        <w:t>Saldo.</w:t>
      </w:r>
      <w:r>
        <w:rPr>
          <w:rFonts w:ascii="Times New Roman" w:hAnsi="Times New Roman"/>
          <w:b w:val="0"/>
        </w:rPr>
        <w:t xml:space="preserve"> O saldo é pago em parcelas mensais, fixas e consecutivas, calculadas pelo Sistema de Amortização Francês (Tabela Price), com juros remuneratórios prefixados à </w:t>
      </w:r>
      <w:r>
        <w:rPr>
          <w:rFonts w:ascii="Times New Roman" w:hAnsi="Times New Roman"/>
          <w:b/>
        </w:rPr>
        <w:t xml:space="preserve">taxa efetiva de </w:t>
      </w:r>
      <w:r>
        <w:rPr>
          <w:rFonts w:ascii="Times New Roman" w:hAnsi="Times New Roman"/>
          <w:b/>
          <w:color w:val="1F4E9A"/>
        </w:rPr>
        <w:t>{{plano_taxa_aa}}</w:t>
      </w:r>
      <w:r>
        <w:rPr>
          <w:rFonts w:ascii="Times New Roman" w:hAnsi="Times New Roman"/>
          <w:b/>
        </w:rPr>
        <w:t xml:space="preserve"> ao ano</w:t>
      </w:r>
      <w:r>
        <w:rPr>
          <w:rFonts w:ascii="Times New Roman" w:hAnsi="Times New Roman"/>
          <w:b w:val="0"/>
        </w:rPr>
        <w:t xml:space="preserve">, aplicada mensalmente pela taxa equivalente de </w:t>
      </w:r>
      <w:r>
        <w:rPr>
          <w:rFonts w:ascii="Times New Roman" w:hAnsi="Times New Roman"/>
          <w:b w:val="0"/>
          <w:color w:val="1F4E9A"/>
        </w:rPr>
        <w:t>{{plano_taxa_am}}</w:t>
      </w:r>
      <w:r>
        <w:rPr>
          <w:rFonts w:ascii="Times New Roman" w:hAnsi="Times New Roman"/>
          <w:b w:val="0"/>
        </w:rPr>
        <w:t xml:space="preserve"> ao mês. As partes declaram que a taxa anual efetiva contratada é a efetivamente praticada, </w:t>
      </w:r>
      <w:r>
        <w:rPr>
          <w:rFonts w:ascii="Times New Roman" w:hAnsi="Times New Roman"/>
          <w:b/>
        </w:rPr>
        <w:t xml:space="preserve">não havendo capitalização em periodicidade inferior à anual que eleve o custo acima de </w:t>
      </w:r>
      <w:r>
        <w:rPr>
          <w:rFonts w:ascii="Times New Roman" w:hAnsi="Times New Roman"/>
          <w:b/>
          <w:color w:val="1F4E9A"/>
        </w:rPr>
        <w:t>{{plano_taxa_aa}}</w:t>
      </w:r>
      <w:r>
        <w:rPr>
          <w:rFonts w:ascii="Times New Roman" w:hAnsi="Times New Roman"/>
          <w:b/>
        </w:rPr>
        <w:t xml:space="preserve"> ao ano</w:t>
      </w:r>
      <w:r>
        <w:rPr>
          <w:rFonts w:ascii="Times New Roman" w:hAnsi="Times New Roman"/>
          <w:b w:val="0"/>
        </w:rPr>
        <w:t>, em observância ao art. 591 do Código Civil e ao Decreto n.º 22.626/1933. O primeiro vencimento do saldo ocorre no mês seguinte ao da última parcela da entrada.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3.4. </w:t>
      </w:r>
      <w:r>
        <w:rPr>
          <w:rFonts w:ascii="Times New Roman" w:hAnsi="Times New Roman"/>
          <w:b/>
        </w:rPr>
        <w:t>Parcelas fixas.</w:t>
      </w:r>
      <w:r>
        <w:rPr>
          <w:rFonts w:ascii="Times New Roman" w:hAnsi="Times New Roman"/>
          <w:b w:val="0"/>
        </w:rPr>
        <w:t xml:space="preserve"> Enquanto adimplidas nos vencimentos, as parcelas do saldo </w:t>
      </w:r>
      <w:r>
        <w:rPr>
          <w:rFonts w:ascii="Times New Roman" w:hAnsi="Times New Roman"/>
          <w:b/>
        </w:rPr>
        <w:t>não sofrem correção monetária</w:t>
      </w:r>
      <w:r>
        <w:rPr>
          <w:rFonts w:ascii="Times New Roman" w:hAnsi="Times New Roman"/>
          <w:b w:val="0"/>
        </w:rPr>
        <w:t>. A correção pelo IPCA/IBGE incide somente sobre valores pagos com atraso (Cláusula 7ª) e sobre restituições (Cláusulas 8ª e 9ª).</w:t>
      </w:r>
    </w:p>
    <w:p>
      <w:pPr>
        <w:spacing w:after="0"/>
      </w:pPr>
      <w:r>
        <w:rPr>
          <w:color w:val="990099"/>
          <w:sz w:val="16"/>
        </w:rPr>
        <w:t>{{/pagamento_financiado}}</w:t>
      </w:r>
    </w:p>
    <w:p>
      <w:pPr>
        <w:jc w:val="both"/>
      </w:pPr>
      <w:r>
        <w:rPr>
          <w:rFonts w:ascii="Times New Roman" w:hAnsi="Times New Roman"/>
          <w:b w:val="0"/>
        </w:rPr>
        <w:t>3.5. A tabela do Anexo II discrimina, para cada parcela, o vencimento, o valor, a parcela de juros, a amortização e o saldo devedor, atendendo ao art. 52 do CDC. Em caso de divergência entre o Anexo II e o Quadro-Resumo, prevalece o cálculo pela fórmula da Tabela Price à taxa contratada, conferível por qualquer das partes.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4ª — DOS MEIOS DE PAGAMENTO</w:t>
      </w:r>
    </w:p>
    <w:p>
      <w:pPr>
        <w:jc w:val="both"/>
      </w:pPr>
      <w:r>
        <w:rPr>
          <w:rFonts w:ascii="Times New Roman" w:hAnsi="Times New Roman"/>
          <w:b w:val="0"/>
        </w:rPr>
        <w:t xml:space="preserve">4.1. Os pagamentos são feitos exclusivamente por </w:t>
      </w:r>
      <w:r>
        <w:rPr>
          <w:rFonts w:ascii="Times New Roman" w:hAnsi="Times New Roman"/>
          <w:b/>
        </w:rPr>
        <w:t>boleto bancário ou PIX</w:t>
      </w:r>
      <w:r>
        <w:rPr>
          <w:rFonts w:ascii="Times New Roman" w:hAnsi="Times New Roman"/>
          <w:b w:val="0"/>
        </w:rPr>
        <w:t xml:space="preserve"> emitidos em nome da VENDEDORA pela plataforma de pagamentos por ela contratada (</w:t>
      </w:r>
      <w:r>
        <w:rPr>
          <w:rFonts w:ascii="Times New Roman" w:hAnsi="Times New Roman"/>
          <w:b w:val="0"/>
          <w:color w:val="1F4E9A"/>
        </w:rPr>
        <w:t>{{emp_plataforma_pagamento}}</w:t>
      </w:r>
      <w:r>
        <w:rPr>
          <w:rFonts w:ascii="Times New Roman" w:hAnsi="Times New Roman"/>
          <w:b w:val="0"/>
        </w:rPr>
        <w:t>), reunidos em carnê entregue ao(à) COMPRADOR(A) em meio físico ou digital (e-mail e WhatsApp informados no preâmbulo). O carnê pode ser emitido em lotes anuais de 12 (doze) parcelas, sem custo para o(a) COMPRADOR(A).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4.2. </w:t>
      </w:r>
      <w:r>
        <w:rPr>
          <w:rFonts w:ascii="Times New Roman" w:hAnsi="Times New Roman"/>
          <w:b/>
        </w:rPr>
        <w:t>É vedado o pagamento em espécie ou o depósito em conta da INTERMEDIADORA, de corretores ou de terceiros.</w:t>
      </w:r>
      <w:r>
        <w:rPr>
          <w:rFonts w:ascii="Times New Roman" w:hAnsi="Times New Roman"/>
          <w:b w:val="0"/>
        </w:rPr>
        <w:t xml:space="preserve"> Pagamento feito de forma diversa não libera o(a) COMPRADOR(A), salvo se o valor for comprovadamente creditado à VENDEDORA.</w:t>
      </w:r>
    </w:p>
    <w:p>
      <w:pPr>
        <w:jc w:val="both"/>
      </w:pPr>
      <w:r>
        <w:rPr>
          <w:rFonts w:ascii="Times New Roman" w:hAnsi="Times New Roman"/>
          <w:b w:val="0"/>
        </w:rPr>
        <w:t>4.3. O não recebimento do boleto não exime o(a) COMPRADOR(A) do pagamento no vencimento: a segunda via fica disponível no link do carnê digital e pode ser solicitada à administração, sem custo.</w:t>
      </w:r>
    </w:p>
    <w:p>
      <w:pPr>
        <w:jc w:val="both"/>
      </w:pPr>
      <w:r>
        <w:rPr>
          <w:rFonts w:ascii="Times New Roman" w:hAnsi="Times New Roman"/>
          <w:b w:val="0"/>
        </w:rPr>
        <w:t>4.4. A compensação do pagamento confirmada pela plataforma vale como recibo. A quitação de uma parcela não presume a das anteriores, ficando afastada a presunção do art. 322 do Código Civil.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5ª — DA ANTECIPAÇÃO E DA AMORTIZAÇÃO EXTRAORDINÁRIA</w:t>
      </w:r>
    </w:p>
    <w:p>
      <w:pPr>
        <w:jc w:val="both"/>
      </w:pPr>
      <w:r>
        <w:rPr>
          <w:rFonts w:ascii="Times New Roman" w:hAnsi="Times New Roman"/>
          <w:b w:val="0"/>
        </w:rPr>
        <w:t xml:space="preserve">5.1. É assegurada ao(à) COMPRADOR(A) a liquidação antecipada do saldo, total ou parcial, com </w:t>
      </w:r>
      <w:r>
        <w:rPr>
          <w:rFonts w:ascii="Times New Roman" w:hAnsi="Times New Roman"/>
          <w:b/>
        </w:rPr>
        <w:t>redução proporcional dos juros</w:t>
      </w:r>
      <w:r>
        <w:rPr>
          <w:rFonts w:ascii="Times New Roman" w:hAnsi="Times New Roman"/>
          <w:b w:val="0"/>
        </w:rPr>
        <w:t xml:space="preserve"> (CDC, art. 52, § 2º). A antecipação é calculada pelo valor presente das parcelas antecipadas, descontado à taxa do contrato.</w:t>
      </w:r>
    </w:p>
    <w:p>
      <w:pPr>
        <w:jc w:val="both"/>
      </w:pPr>
      <w:r>
        <w:rPr>
          <w:rFonts w:ascii="Times New Roman" w:hAnsi="Times New Roman"/>
          <w:b w:val="0"/>
        </w:rPr>
        <w:t>5.2. Na amortização parcial, o(a) COMPRADOR(A) escolhe entre reduzir o prazo (antecipando as últimas parcelas) ou reduzir o valor das parcelas vincendas, emitindo-se novo Anexo II e novo carnê.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6ª — DA POSSE E DAS CONSTRUÇÕES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6.1. O(A) COMPRADOR(A) é imitido(a) na posse da unidade após a </w:t>
      </w:r>
      <w:r>
        <w:rPr>
          <w:rFonts w:ascii="Times New Roman" w:hAnsi="Times New Roman"/>
          <w:b/>
        </w:rPr>
        <w:t>quitação integral da entrada</w:t>
      </w:r>
      <w:r>
        <w:rPr>
          <w:rFonts w:ascii="Times New Roman" w:hAnsi="Times New Roman"/>
          <w:b w:val="0"/>
        </w:rPr>
        <w:t>, mediante Termo de Entrega com vistoria dos marcos. A partir daí responde pela guarda, conservação e limpeza da chácara, podendo visitá-la e mantê-la roçada.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6.1.1. </w:t>
      </w:r>
      <w:r>
        <w:rPr>
          <w:rFonts w:ascii="Times New Roman" w:hAnsi="Times New Roman"/>
          <w:b/>
        </w:rPr>
        <w:t>Liberação de uso. A delimitação da chácara por cerca, muro ou qualquer outro fechamento, o início de qualquer edificação, a criação de animais e o plantio de culturas, para qualquer finalidade, só são permitidos após o pagamento da 3ª (terceira) parcela do saldo</w:t>
      </w:r>
      <w:r>
        <w:rPr>
          <w:rFonts w:ascii="Times New Roman" w:hAnsi="Times New Roman"/>
          <w:b w:val="0"/>
        </w:rPr>
        <w:t>, comprovado pelo Termo de Liberação de Uso emitido pela administração. No pagamento integral à vista, a liberação ocorre com a compensação do preço.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6.2. </w:t>
      </w:r>
      <w:r>
        <w:rPr>
          <w:rFonts w:ascii="Times New Roman" w:hAnsi="Times New Roman"/>
          <w:b/>
        </w:rPr>
        <w:t xml:space="preserve">Além da liberação de uso do item 6.1.1, o início de qualquer construção depende, cumulativamente: (a) da imissão na posse; (b) do pagamento de, no mínimo, </w:t>
      </w:r>
      <w:r>
        <w:rPr>
          <w:rFonts w:ascii="Times New Roman" w:hAnsi="Times New Roman"/>
          <w:b/>
          <w:color w:val="1F4E9A"/>
        </w:rPr>
        <w:t>{{ctr_parcelas_minimas_obra}}</w:t>
      </w:r>
      <w:r>
        <w:rPr>
          <w:rFonts w:ascii="Times New Roman" w:hAnsi="Times New Roman"/>
          <w:b/>
        </w:rPr>
        <w:t xml:space="preserve"> parcelas do saldo; (c) da aprovação prévia do projeto pela administração do empreendimento; (d) do alvará municipal; e (e) da implantação prévia do sistema individual de esgotamento sanitário (fossa séptica e sumidouro — ABNT NBR 7229 e NBR 13969), sem o qual nenhuma edificação poderá ser ocupada (Lei Municipal n.º </w:t>
      </w:r>
      <w:r>
        <w:rPr>
          <w:rFonts w:ascii="Times New Roman" w:hAnsi="Times New Roman"/>
          <w:b/>
          <w:color w:val="1F4E9A"/>
        </w:rPr>
        <w:t>{{emp_lei_municipal}}</w:t>
      </w:r>
      <w:r>
        <w:rPr>
          <w:rFonts w:ascii="Times New Roman" w:hAnsi="Times New Roman"/>
          <w:b/>
        </w:rPr>
        <w:t>).</w:t>
      </w:r>
    </w:p>
    <w:p>
      <w:pPr>
        <w:jc w:val="both"/>
      </w:pPr>
      <w:r>
        <w:rPr>
          <w:rFonts w:ascii="Times New Roman" w:hAnsi="Times New Roman"/>
          <w:b w:val="0"/>
        </w:rPr>
        <w:t>6.2.1. O descumprimento dos itens 6.1.1 e 6.2 autoriza a administração a embargar a obra, a remover cercas ou animais às expensas do(a) COMPRADOR(A) e a aplicar as multas do Estatuto, sem prejuízo da resolução do contrato.</w:t>
      </w:r>
    </w:p>
    <w:p>
      <w:pPr>
        <w:jc w:val="both"/>
      </w:pPr>
      <w:r>
        <w:rPr>
          <w:rFonts w:ascii="Times New Roman" w:hAnsi="Times New Roman"/>
          <w:b w:val="0"/>
        </w:rPr>
        <w:t>6.3. As construções observam os recuos, a taxa de ocupação, a altura e o padrão de fechamento das Diretrizes de Uso (Anexo IV), bem como o Código de Obras municipal. É vedado avançar sobre passeios, vias, faixas de servidão e áreas comuns.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7ª — DA MORA</w:t>
      </w:r>
    </w:p>
    <w:p>
      <w:pPr>
        <w:jc w:val="both"/>
      </w:pPr>
      <w:r>
        <w:rPr>
          <w:rFonts w:ascii="Times New Roman" w:hAnsi="Times New Roman"/>
          <w:b w:val="0"/>
        </w:rPr>
        <w:t xml:space="preserve">7.1. O atraso no pagamento de qualquer parcela sujeita o valor devido, desde o vencimento até o efetivo pagamento, a: (a) correção monetária pelo IPCA/IBGE; (b) </w:t>
      </w:r>
      <w:r>
        <w:rPr>
          <w:rFonts w:ascii="Times New Roman" w:hAnsi="Times New Roman"/>
          <w:b/>
        </w:rPr>
        <w:t>multa moratória de 2% (dois por cento)</w:t>
      </w:r>
      <w:r>
        <w:rPr>
          <w:rFonts w:ascii="Times New Roman" w:hAnsi="Times New Roman"/>
          <w:b w:val="0"/>
        </w:rPr>
        <w:t xml:space="preserve"> (CDC, art. 52, § 1º); e (c) </w:t>
      </w:r>
      <w:r>
        <w:rPr>
          <w:rFonts w:ascii="Times New Roman" w:hAnsi="Times New Roman"/>
          <w:b/>
        </w:rPr>
        <w:t>juros de mora de 1% (um por cento) ao mês, pro rata die</w:t>
      </w:r>
      <w:r>
        <w:rPr>
          <w:rFonts w:ascii="Times New Roman" w:hAnsi="Times New Roman"/>
          <w:b w:val="0"/>
        </w:rPr>
        <w:t xml:space="preserve"> (Código Civil, art. 406).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7.2. </w:t>
      </w:r>
      <w:r>
        <w:rPr>
          <w:rFonts w:ascii="Times New Roman" w:hAnsi="Times New Roman"/>
          <w:b/>
        </w:rPr>
        <w:t>Vencida e não paga parcela por mais de 30 (trinta) dias, a VENDEDORA poderá, após comunicação prévia por escrito ao(à) COMPRADOR(A) com antecedência mínima de 10 (dez) dias (CDC, art. 43, § 2º), inscrever o débito em cadastros de proteção ao crédito e levá-lo a protesto (Lei n.º 9.492/1997).</w:t>
      </w:r>
    </w:p>
    <w:p>
      <w:pPr>
        <w:jc w:val="both"/>
      </w:pPr>
      <w:r>
        <w:rPr>
          <w:rFonts w:ascii="Times New Roman" w:hAnsi="Times New Roman"/>
          <w:b w:val="0"/>
        </w:rPr>
        <w:t>7.3. Na cobrança extrajudicial por profissional contratado, são devidos honorários de 10% (dez por cento) sobre o débito, assegurado igual direito ao(à) COMPRADOR(A) quando tiver de cobrar obrigação da VENDEDORA (CDC, art. 51, XII). Os honorários judiciais são os fixados pelo juízo.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8ª — DA RESOLUÇÃO POR INADIMPLEMENTO DO(A) COMPRADOR(A)</w:t>
      </w:r>
    </w:p>
    <w:p>
      <w:pPr>
        <w:jc w:val="both"/>
      </w:pPr>
      <w:r>
        <w:rPr>
          <w:rFonts w:ascii="Times New Roman" w:hAnsi="Times New Roman"/>
          <w:b w:val="0"/>
        </w:rPr>
        <w:t xml:space="preserve">8.1. </w:t>
      </w:r>
      <w:r>
        <w:rPr>
          <w:rFonts w:ascii="Times New Roman" w:hAnsi="Times New Roman"/>
          <w:b/>
        </w:rPr>
        <w:t>Vencida e não paga a prestação, o contrato será considerado rescindido 30 (trinta) dias depois de constituído em mora o(a) COMPRADOR(A), mediante intimação feita pelo Oficial do Registro de Imóveis, a requerimento da VENDEDORA, para satisfazer as prestações vencidas e as que se vencerem até a data do pagamento, com os encargos da Cláusula 7ª e as custas de intimação (Lei n.º 6.766/1979, art. 32).</w:t>
      </w:r>
    </w:p>
    <w:p>
      <w:pPr>
        <w:jc w:val="both"/>
      </w:pPr>
      <w:r>
        <w:rPr>
          <w:rFonts w:ascii="Times New Roman" w:hAnsi="Times New Roman"/>
          <w:b w:val="0"/>
        </w:rPr>
        <w:t>8.2. Purgada a mora, convalesce o contrato. Não purgada, o Oficial averbará o cancelamento do registro do compromisso, e a VENDEDORA restituirá os valores pagos na forma da Cláusula 9ª.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9ª — DO DESFAZIMENTO E DA RESTITUIÇÃO</w:t>
      </w:r>
    </w:p>
    <w:p>
      <w:pPr>
        <w:jc w:val="both"/>
      </w:pPr>
      <w:r>
        <w:rPr>
          <w:rFonts w:ascii="Times New Roman" w:hAnsi="Times New Roman"/>
          <w:b w:val="0"/>
        </w:rPr>
        <w:t xml:space="preserve">9.1. </w:t>
      </w:r>
      <w:r>
        <w:rPr>
          <w:rFonts w:ascii="Times New Roman" w:hAnsi="Times New Roman"/>
          <w:b/>
        </w:rPr>
        <w:t>Em caso de resolução por inadimplemento ou de distrato a pedido do(a) COMPRADOR(A), os valores pagos serão restituídos, corrigidos pelo IPCA/IBGE, deduzidos (Lei n.º 6.766/1979, art. 32-A): (a) os valores correspondentes à fruição do imóvel, até 0,75% (setenta e cinco centésimos por cento) ao mês sobre o valor atualizado do contrato, contados da imissão na posse; (b) a cláusula penal e as despesas administrativas, inclusive arras ou sinal, limitadas a 10% (dez por cento) do valor atualizado do contrato; (c) os encargos moratórios relativos às prestações pagas em atraso; (d) os débitos de tributos e de contribuições associativas ou condominiais incidentes sobre a unidade; e (e) a comissão de corretagem, por estar integrada ao preço e informada no item 14 do Quadro-Resumo.</w:t>
      </w:r>
    </w:p>
    <w:p>
      <w:pPr>
        <w:jc w:val="both"/>
      </w:pPr>
      <w:r>
        <w:rPr>
          <w:rFonts w:ascii="Times New Roman" w:hAnsi="Times New Roman"/>
          <w:b w:val="0"/>
        </w:rPr>
        <w:t>9.2. A restituição será paga em até 12 (doze) parcelas mensais, com início: (a) se as obras de infraestrutura estiverem em andamento, em até 180 (cento e oitenta) dias após o prazo previsto para sua conclusão; ou (b) se concluídas, em até 12 (doze) meses após a formalização do desfazimento (Lei n.º 6.766/1979, art. 32-A, § 1º).</w:t>
      </w:r>
    </w:p>
    <w:p>
      <w:pPr>
        <w:jc w:val="both"/>
      </w:pPr>
      <w:r>
        <w:rPr>
          <w:rFonts w:ascii="Times New Roman" w:hAnsi="Times New Roman"/>
          <w:b w:val="0"/>
        </w:rPr>
        <w:t>9.3. Havendo benfeitorias necessárias ou úteis regularmente aprovadas, serão indenizadas pelo valor apurado em avaliação técnica (ABNT NBR 14653), compensando-se com os débitos do(a) COMPRADOR(A). As voluptuárias podem ser retiradas sem dano ao imóvel; não retiradas em 30 dias, incorporam-se a ele sem indenização.</w:t>
      </w:r>
    </w:p>
    <w:p>
      <w:pPr>
        <w:jc w:val="both"/>
      </w:pPr>
      <w:r>
        <w:rPr>
          <w:rFonts w:ascii="Times New Roman" w:hAnsi="Times New Roman"/>
          <w:b w:val="0"/>
        </w:rPr>
        <w:t>9.4. O(A) COMPRADOR(A) restituirá a posse livre de pessoas e coisas em até 30 (trinta) dias da resolução, sob pena de pagar a fruição em dobro até a desocupação, sem prejuízo da reintegração de posse.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10ª — DO DIREITO DE ARREPENDIMENTO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10.1. Quando a contratação ocorrer fora do estabelecimento comercial da VENDEDORA — inclusive em stand de vendas, visita à chácara ou por meio eletrônico —, o(a) COMPRADOR(A) pode desistir em até </w:t>
      </w:r>
      <w:r>
        <w:rPr>
          <w:rFonts w:ascii="Times New Roman" w:hAnsi="Times New Roman"/>
          <w:b/>
        </w:rPr>
        <w:t>7 (sete) dias</w:t>
      </w:r>
      <w:r>
        <w:rPr>
          <w:rFonts w:ascii="Times New Roman" w:hAnsi="Times New Roman"/>
          <w:b w:val="0"/>
        </w:rPr>
        <w:t xml:space="preserve"> da assinatura, com devolução imediata e integral dos valores pagos, inclusive a corretagem, corrigidos (CDC, art. 49). O exercício se dá por mensagem escrita aos contatos do Quadro-Resumo.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11ª — DAS OBRAS DE INFRAESTRUTURA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11.1. A VENDEDORA executará, às suas expensas e conforme o projeto aprovado e o cronograma registrado, a infraestrutura exigida pela Lei Municipal n.º </w:t>
      </w:r>
      <w:r>
        <w:rPr>
          <w:rFonts w:ascii="Times New Roman" w:hAnsi="Times New Roman"/>
          <w:b w:val="0"/>
          <w:color w:val="1F4E9A"/>
        </w:rPr>
        <w:t>{{emp_lei_municipal}}</w:t>
      </w:r>
      <w:r>
        <w:rPr>
          <w:rFonts w:ascii="Times New Roman" w:hAnsi="Times New Roman"/>
          <w:b w:val="0"/>
        </w:rPr>
        <w:t xml:space="preserve">: (a) sistema viário com </w:t>
      </w:r>
      <w:r>
        <w:rPr>
          <w:rFonts w:ascii="Times New Roman" w:hAnsi="Times New Roman"/>
          <w:b w:val="0"/>
          <w:color w:val="1F4E9A"/>
        </w:rPr>
        <w:t>{{emp_vias_especificacao}}</w:t>
      </w:r>
      <w:r>
        <w:rPr>
          <w:rFonts w:ascii="Times New Roman" w:hAnsi="Times New Roman"/>
          <w:b w:val="0"/>
        </w:rPr>
        <w:t xml:space="preserve">, terraplenagem, revestimento primário (cascalhamento), sarjetas e meio-fios (ABNT); (b) drenagem de águas pluviais; (c) sinalização viária básica e placas de nomenclatura; (d) abastecimento de água por </w:t>
      </w:r>
      <w:r>
        <w:rPr>
          <w:rFonts w:ascii="Times New Roman" w:hAnsi="Times New Roman"/>
          <w:b w:val="0"/>
          <w:color w:val="1F4E9A"/>
        </w:rPr>
        <w:t>{{emp_agua_especificacao}}</w:t>
      </w:r>
      <w:r>
        <w:rPr>
          <w:rFonts w:ascii="Times New Roman" w:hAnsi="Times New Roman"/>
          <w:b w:val="0"/>
        </w:rPr>
        <w:t>, com outorga do órgão estadual, cloração e reservação mínima de 24 horas de consumo, com hidrômetro por chácara; (e) rede de energia elétrica e iluminação conforme projeto aprovado pela concessionária (</w:t>
      </w:r>
      <w:r>
        <w:rPr>
          <w:rFonts w:ascii="Times New Roman" w:hAnsi="Times New Roman"/>
          <w:b w:val="0"/>
          <w:color w:val="1F4E9A"/>
        </w:rPr>
        <w:t>{{emp_energia_especificacao}}</w:t>
      </w:r>
      <w:r>
        <w:rPr>
          <w:rFonts w:ascii="Times New Roman" w:hAnsi="Times New Roman"/>
          <w:b w:val="0"/>
        </w:rPr>
        <w:t>); (f) demarcação dos lotes por marcos; e (g) portal de acesso com guarita.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11.2. </w:t>
      </w:r>
      <w:r>
        <w:rPr>
          <w:rFonts w:ascii="Times New Roman" w:hAnsi="Times New Roman"/>
          <w:b/>
        </w:rPr>
        <w:t xml:space="preserve">O prazo de execução é de </w:t>
      </w:r>
      <w:r>
        <w:rPr>
          <w:rFonts w:ascii="Times New Roman" w:hAnsi="Times New Roman"/>
          <w:b/>
          <w:color w:val="1F4E9A"/>
        </w:rPr>
        <w:t>{{emp_prazo_obras_meses}}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  <w:b/>
          <w:color w:val="1F4E9A"/>
        </w:rPr>
        <w:t>{{emp_prazo_obras_extenso}}</w:t>
      </w:r>
      <w:r>
        <w:rPr>
          <w:rFonts w:ascii="Times New Roman" w:hAnsi="Times New Roman"/>
          <w:b/>
        </w:rPr>
        <w:t xml:space="preserve">) meses, contados da data de expedição da Licença de Instalação (LI) n.º </w:t>
      </w:r>
      <w:r>
        <w:rPr>
          <w:rFonts w:ascii="Times New Roman" w:hAnsi="Times New Roman"/>
          <w:b/>
          <w:color w:val="1F4E9A"/>
        </w:rPr>
        <w:t>{{emp_li_numero}}</w:t>
      </w:r>
      <w:r>
        <w:rPr>
          <w:rFonts w:ascii="Times New Roman" w:hAnsi="Times New Roman"/>
          <w:b/>
        </w:rPr>
        <w:t xml:space="preserve">, de </w:t>
      </w:r>
      <w:r>
        <w:rPr>
          <w:rFonts w:ascii="Times New Roman" w:hAnsi="Times New Roman"/>
          <w:b/>
          <w:color w:val="1F4E9A"/>
        </w:rPr>
        <w:t>{{emp_li_data}}</w:t>
      </w:r>
      <w:r>
        <w:rPr>
          <w:rFonts w:ascii="Times New Roman" w:hAnsi="Times New Roman"/>
          <w:b/>
        </w:rPr>
        <w:t xml:space="preserve">, pelo(a) </w:t>
      </w:r>
      <w:r>
        <w:rPr>
          <w:rFonts w:ascii="Times New Roman" w:hAnsi="Times New Roman"/>
          <w:b/>
          <w:color w:val="1F4E9A"/>
        </w:rPr>
        <w:t>{{emp_licenca_orgao}}</w:t>
      </w:r>
      <w:r>
        <w:rPr>
          <w:rFonts w:ascii="Times New Roman" w:hAnsi="Times New Roman"/>
          <w:b/>
        </w:rPr>
        <w:t xml:space="preserve">, prorrogável uma única vez por até </w:t>
      </w:r>
      <w:r>
        <w:rPr>
          <w:rFonts w:ascii="Times New Roman" w:hAnsi="Times New Roman"/>
          <w:b/>
          <w:color w:val="1F4E9A"/>
        </w:rPr>
        <w:t>{{emp_prorrogacao_meses}}</w:t>
      </w:r>
      <w:r>
        <w:rPr>
          <w:rFonts w:ascii="Times New Roman" w:hAnsi="Times New Roman"/>
          <w:b/>
        </w:rPr>
        <w:t xml:space="preserve"> meses, mediante comunicação escrita e justificada ao(à) COMPRADOR(A) com antecedência mínima de 60 (sessenta) dias do termo final do prazo original, sem que o prazo total ultrapasse 48 (quarenta e oito) meses (Lei n.º 6.766/1979, art. 18, V; condicionante n.º 21 da licença ambiental, que limita a LI a 2 anos, aditivável por mais 2).</w:t>
      </w:r>
    </w:p>
    <w:p>
      <w:pPr>
        <w:jc w:val="both"/>
      </w:pPr>
      <w:r>
        <w:rPr>
          <w:rFonts w:ascii="Times New Roman" w:hAnsi="Times New Roman"/>
          <w:b w:val="0"/>
        </w:rPr>
        <w:t>11.3. Não correm contra a VENDEDORA os atrasos causados por caso fortuito ou força maior (Código Civil, art. 393), por exigência superveniente do Poder Público ou da concessionária não imputável a ela, devidamente comprovados e comunicados.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11.4. Esgotado o prazo prorrogado sem a conclusão das obras, o(a) COMPRADOR(A) poderá, a seu critério: (a) resolver o contrato, com </w:t>
      </w:r>
      <w:r>
        <w:rPr>
          <w:rFonts w:ascii="Times New Roman" w:hAnsi="Times New Roman"/>
          <w:b/>
        </w:rPr>
        <w:t>restituição integral e imediata de todos os valores pagos, inclusive a corretagem, corrigidos pelo IPCA e acrescidos de juros de 1% ao mês</w:t>
      </w:r>
      <w:r>
        <w:rPr>
          <w:rFonts w:ascii="Times New Roman" w:hAnsi="Times New Roman"/>
          <w:b w:val="0"/>
        </w:rPr>
        <w:t xml:space="preserve">, sem qualquer dedução; ou (b) manter o contrato, fazendo jus a </w:t>
      </w:r>
      <w:r>
        <w:rPr>
          <w:rFonts w:ascii="Times New Roman" w:hAnsi="Times New Roman"/>
          <w:b/>
        </w:rPr>
        <w:t>multa de 0,5% (meio por cento) ao mês sobre os valores pagos</w:t>
      </w:r>
      <w:r>
        <w:rPr>
          <w:rFonts w:ascii="Times New Roman" w:hAnsi="Times New Roman"/>
          <w:b w:val="0"/>
        </w:rPr>
        <w:t>, até a conclusão, compensável com as parcelas vincendas.</w:t>
      </w:r>
    </w:p>
    <w:p>
      <w:pPr>
        <w:jc w:val="both"/>
      </w:pPr>
      <w:r>
        <w:rPr>
          <w:rFonts w:ascii="Times New Roman" w:hAnsi="Times New Roman"/>
          <w:b w:val="0"/>
        </w:rPr>
        <w:t>11.5. Concluídas as obras, a VENDEDORA requererá a vistoria municipal e informará ao(à) COMPRADOR(A) o número do protocolo e o termo de vistoria (Lei n.º 6.766/1979, art. 26-A, IX).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12ª — DAS OBRIGAÇÕES DA VENDEDORA</w:t>
      </w:r>
    </w:p>
    <w:p>
      <w:pPr>
        <w:jc w:val="both"/>
      </w:pPr>
      <w:r>
        <w:rPr>
          <w:rFonts w:ascii="Times New Roman" w:hAnsi="Times New Roman"/>
          <w:b w:val="0"/>
        </w:rPr>
        <w:t>12.1. Além das obrigações já previstas, a VENDEDORA obriga-se a: (a) responder pelos tributos e encargos da unidade até a imissão na posse; (b) cumprir as condicionantes da licença ambiental, inclusive os planos de supressão de vegetação, de resíduos da construção civil e de controle ambiental, e a compensação ambiental; (c) manter o sistema de abastecimento de água até sua transferência ao SAAE ou à associação, na forma do instrumento previsto na lei municipal; (d) promover a doação ao Município das áreas públicas e a abertura de suas matrículas; (e) fornecer a matrícula individual da unidade e os documentos necessários ao registro deste compromisso e do título definitivo.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13ª — DAS OBRIGAÇÕES DO(A) COMPRADOR(A)</w:t>
      </w:r>
    </w:p>
    <w:p>
      <w:pPr>
        <w:jc w:val="both"/>
      </w:pPr>
      <w:r>
        <w:rPr>
          <w:rFonts w:ascii="Times New Roman" w:hAnsi="Times New Roman"/>
          <w:b w:val="0"/>
        </w:rPr>
        <w:t>13.1. O(A) COMPRADOR(A) obriga-se a: (a) pagar pontualmente o preço e os encargos; (b) a partir da imissão na posse, arcar com o IPTU, as taxas, o consumo de água medido e a contribuição associativa; (c) cumprir o Estatuto, o Regimento e as Diretrizes de Uso; (d) não alterar marcos, divisas, vias ou redes, nem suprimir vegetação sem autorização; (e) não usar fogo para limpeza, não lançar efluentes sem tratamento e não descartar resíduos em vias, áreas comuns ou APP (condicionantes n.º 12, 15 e 17 da licença); (f) manter atualizados endereço, e-mail e telefone.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13.2. </w:t>
      </w:r>
      <w:r>
        <w:rPr>
          <w:rFonts w:ascii="Times New Roman" w:hAnsi="Times New Roman"/>
          <w:b/>
        </w:rPr>
        <w:t>O(A) COMPRADOR(A) que, por si ou por terceiros sob sua responsabilidade, causar dano ambiental na unidade ou nas áreas comuns responde integralmente pela reparação e pelas sanções aplicadas, ficando a VENDEDORA autorizada a cobrar regressivamente qualquer valor que lhe venha a ser imputado (Lei n.º 9.605/1998; Lei n.º 6.938/1981, art. 14, § 1º).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14ª — DO REGIME DE USO, DA ASSOCIAÇÃO E DAS CONTRIBUIÇÕES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14.1. O empreendimento é implantado sob o regime de </w:t>
      </w:r>
      <w:r>
        <w:rPr>
          <w:rFonts w:ascii="Times New Roman" w:hAnsi="Times New Roman"/>
          <w:b/>
          <w:color w:val="1F4E9A"/>
        </w:rPr>
        <w:t>{{emp_regime_juridico}}</w:t>
      </w:r>
      <w:r>
        <w:rPr>
          <w:rFonts w:ascii="Times New Roman" w:hAnsi="Times New Roman"/>
          <w:b w:val="0"/>
        </w:rPr>
        <w:t xml:space="preserve">. As atividades de administração, conservação das áreas comuns, controle de acesso e prestação de serviços são exercidas pela </w:t>
      </w:r>
      <w:r>
        <w:rPr>
          <w:rFonts w:ascii="Times New Roman" w:hAnsi="Times New Roman"/>
          <w:b/>
          <w:color w:val="1F4E9A"/>
        </w:rPr>
        <w:t>{{emp_associacao_nome}}</w:t>
      </w:r>
      <w:r>
        <w:rPr>
          <w:rFonts w:ascii="Times New Roman" w:hAnsi="Times New Roman"/>
          <w:b w:val="0"/>
        </w:rPr>
        <w:t xml:space="preserve"> (CNPJ </w:t>
      </w:r>
      <w:r>
        <w:rPr>
          <w:rFonts w:ascii="Times New Roman" w:hAnsi="Times New Roman"/>
          <w:b w:val="0"/>
          <w:color w:val="1F4E9A"/>
        </w:rPr>
        <w:t>{{emp_associacao_cnpj}}</w:t>
      </w:r>
      <w:r>
        <w:rPr>
          <w:rFonts w:ascii="Times New Roman" w:hAnsi="Times New Roman"/>
          <w:b w:val="0"/>
        </w:rPr>
        <w:t xml:space="preserve">), cujo ato constitutivo está registrado/averbado na matrícula do empreendimento sob o n.º </w:t>
      </w:r>
      <w:r>
        <w:rPr>
          <w:rFonts w:ascii="Times New Roman" w:hAnsi="Times New Roman"/>
          <w:b w:val="0"/>
          <w:color w:val="1F4E9A"/>
        </w:rPr>
        <w:t>{{emp_associacao_registro}}</w:t>
      </w:r>
      <w:r>
        <w:rPr>
          <w:rFonts w:ascii="Times New Roman" w:hAnsi="Times New Roman"/>
          <w:b w:val="0"/>
        </w:rPr>
        <w:t xml:space="preserve"> (Lei n.º 6.766/1979, arts. 2º, § 8º, e 36-A).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14.2. </w:t>
      </w:r>
      <w:r>
        <w:rPr>
          <w:rFonts w:ascii="Times New Roman" w:hAnsi="Times New Roman"/>
          <w:b/>
        </w:rPr>
        <w:t>O(A) COMPRADOR(A) declara aderir, de forma livre e informada, ao Estatuto da associação (Anexo III), obrigando-se ao pagamento das contribuições aprovadas em assembleia a partir da imissão na posse</w:t>
      </w:r>
      <w:r>
        <w:rPr>
          <w:rFonts w:ascii="Times New Roman" w:hAnsi="Times New Roman"/>
          <w:b w:val="0"/>
        </w:rPr>
        <w:t>, nos termos do art. 36-A, parágrafo único, da Lei n.º 6.766/1979 e da tese fixada pelo Supremo Tribunal Federal no Tema 492 da repercussão geral. Essa obrigação acompanha a unidade e transmite-se aos sucessores e cessionários.</w:t>
      </w:r>
    </w:p>
    <w:p>
      <w:pPr>
        <w:jc w:val="both"/>
      </w:pPr>
      <w:r>
        <w:rPr>
          <w:rFonts w:ascii="Times New Roman" w:hAnsi="Times New Roman"/>
          <w:b w:val="0"/>
        </w:rPr>
        <w:t>14.3. O controle de acesso observará o ato do Poder Executivo Municipal que o autorizar, sendo vedado o impedimento de acesso a pedestres e condutores não residentes devidamente identificados ou cadastrados (Lei n.º 6.766/1979, art. 2º, § 8º).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15ª — DAS RESTRIÇÕES URBANÍSTICAS, AMBIENTAIS E CONVENCIONAIS</w:t>
      </w:r>
    </w:p>
    <w:p>
      <w:pPr>
        <w:jc w:val="both"/>
      </w:pPr>
      <w:r>
        <w:rPr>
          <w:rFonts w:ascii="Times New Roman" w:hAnsi="Times New Roman"/>
          <w:b w:val="0"/>
        </w:rPr>
        <w:t>15.1. Constituem restrições convencionais do loteamento, a serem averbadas nas matrículas e oponíveis a todos os sucessores: a indivisibilidade da Cláusula 2.3; a destinação residencial e de recreio, com as atividades rurais de pequeno porte autorizadas nas Diretrizes de Uso; os recuos, a taxa de ocupação e a altura máxima das edificações; o padrão de fechamento frontal; a proibição de queimadas; a proteção da APP e da Quadra F; e as regras de saneamento, de criação de animais e de convivência do Anexo IV (Lei n.º 6.766/1979, art. 26, VII, e art. 45).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15.2. </w:t>
      </w:r>
      <w:r>
        <w:rPr>
          <w:rFonts w:ascii="Times New Roman" w:hAnsi="Times New Roman"/>
          <w:b/>
        </w:rPr>
        <w:t>A infração reiterada às restrições, após notificação com prazo para correção, sujeita o infrator às multas do Estatuto, sem prejuízo da demolição ou remoção do que for irregular e da responsabilidade civil, administrativa e penal.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16ª — DA CESSÃO DE DIREITOS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16.1. Os direitos deste contrato podem ser cedidos por simples trespasse ou instrumento próprio, </w:t>
      </w:r>
      <w:r>
        <w:rPr>
          <w:rFonts w:ascii="Times New Roman" w:hAnsi="Times New Roman"/>
          <w:b/>
        </w:rPr>
        <w:t>independentemente de anuência da VENDEDORA</w:t>
      </w:r>
      <w:r>
        <w:rPr>
          <w:rFonts w:ascii="Times New Roman" w:hAnsi="Times New Roman"/>
          <w:b w:val="0"/>
        </w:rPr>
        <w:t>; em relação a esta, porém, a cessão só produz efeitos depois de cientificada por escrito, com a entrega de cópia do instrumento, ou quando registrada (Lei n.º 6.766/1979, art. 31).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16.2. Para a emissão do carnê em nome do(a) cessionário(a), devem ser apresentados: o instrumento de cessão com firma reconhecida ou assinatura eletrônica válida; os documentos pessoais do(a) cessionário(a) e de seu cônjuge; a comprovação de quitação das parcelas e contribuições vencidas até a data da cessão; e o pagamento da taxa administrativa de transferência, cadastro e reemissão de carnê equivalente a </w:t>
      </w:r>
      <w:r>
        <w:rPr>
          <w:rFonts w:ascii="Times New Roman" w:hAnsi="Times New Roman"/>
          <w:b/>
        </w:rPr>
        <w:t>1 (um) salário mínimo nacional vigente na data do pedido</w:t>
      </w:r>
      <w:r>
        <w:rPr>
          <w:rFonts w:ascii="Times New Roman" w:hAnsi="Times New Roman"/>
          <w:b w:val="0"/>
        </w:rPr>
        <w:t xml:space="preserve"> (hoje R$ </w:t>
      </w:r>
      <w:r>
        <w:rPr>
          <w:rFonts w:ascii="Times New Roman" w:hAnsi="Times New Roman"/>
          <w:b w:val="0"/>
          <w:color w:val="1F4E9A"/>
        </w:rPr>
        <w:t>{{ctr_taxa_cessao}}</w:t>
      </w:r>
      <w:r>
        <w:rPr>
          <w:rFonts w:ascii="Times New Roman" w:hAnsi="Times New Roman"/>
          <w:b w:val="0"/>
        </w:rPr>
        <w:t>). O(a) cedente responde solidariamente pelas parcelas vencidas até a data em que a VENDEDORA for cientificada.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17ª — DO TÍTULO DEFINITIVO E DO REGISTRO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17.1. Quitado o preço, a VENDEDORA fornecerá o termo de quitação em até 30 (trinta) dias. </w:t>
      </w:r>
      <w:r>
        <w:rPr>
          <w:rFonts w:ascii="Times New Roman" w:hAnsi="Times New Roman"/>
          <w:b/>
        </w:rPr>
        <w:t>O compromisso registrado, acompanhado da prova de quitação, vale como título para o registro da propriedade da unidade em nome do(a) COMPRADOR(A), dispensada a escritura pública</w:t>
      </w:r>
      <w:r>
        <w:rPr>
          <w:rFonts w:ascii="Times New Roman" w:hAnsi="Times New Roman"/>
          <w:b w:val="0"/>
        </w:rPr>
        <w:t xml:space="preserve"> (Lei n.º 6.766/1979, art. 26, § 6º). Caso as partes optem pela escritura pública, ela será outorgada em até 60 (sessenta) dias da solicitação.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17.2. </w:t>
      </w:r>
      <w:r>
        <w:rPr>
          <w:rFonts w:ascii="Times New Roman" w:hAnsi="Times New Roman"/>
          <w:b/>
        </w:rPr>
        <w:t>Cabe ao(à) COMPRADOR(A), no prazo de 90 (noventa) dias da quitação, promover o registro da transmissão, arcando com ITBI, emolumentos e demais despesas.</w:t>
      </w:r>
      <w:r>
        <w:rPr>
          <w:rFonts w:ascii="Times New Roman" w:hAnsi="Times New Roman"/>
          <w:b w:val="0"/>
        </w:rPr>
        <w:t xml:space="preserve"> Descumprido o prazo, a VENDEDORA fica autorizada a comunicar a transmissão ao Município para fins de lançamento tributário, e o(a) COMPRADOR(A) responde pelos tributos lançados em nome da VENDEDORA.</w:t>
      </w:r>
    </w:p>
    <w:p>
      <w:pPr>
        <w:jc w:val="both"/>
      </w:pPr>
      <w:r>
        <w:rPr>
          <w:rFonts w:ascii="Times New Roman" w:hAnsi="Times New Roman"/>
          <w:b w:val="0"/>
        </w:rPr>
        <w:t>17.3. Havendo recusa injustificada na outorga do título, o(a) COMPRADOR(A) poderá requerer a adjudicação compulsória, judicial ou extrajudicialmente (Código Civil, art. 1.418; Lei n.º 6.015/1973, art. 216-B).</w:t>
      </w:r>
    </w:p>
    <w:p>
      <w:pPr>
        <w:jc w:val="both"/>
      </w:pPr>
      <w:r>
        <w:rPr>
          <w:rFonts w:ascii="Times New Roman" w:hAnsi="Times New Roman"/>
          <w:b w:val="0"/>
        </w:rPr>
        <w:t>17.4. Este compromisso será registrado na matrícula da unidade a requerimento de qualquer das partes, conferindo ao(à) COMPRADOR(A) direito real à aquisição (Código Civil, art. 1.417; Lei n.º 6.766/1979, art. 25). As despesas do registro do compromisso cabem ao(à) COMPRADOR(A).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18ª — DAS DECLARAÇÕES DA VENDEDORA</w:t>
      </w:r>
    </w:p>
    <w:p>
      <w:pPr>
        <w:jc w:val="both"/>
      </w:pPr>
      <w:r>
        <w:rPr>
          <w:rFonts w:ascii="Times New Roman" w:hAnsi="Times New Roman"/>
          <w:b w:val="0"/>
        </w:rPr>
        <w:t>18.1. A VENDEDORA declara: (a) que a área do empreendimento está livre de ações reais ou pessoais reipersecutórias, salvo as declaradas no item 17 do Quadro-Resumo; (b) que não há indisponibilidade de bens em seu nome (CNIB); (c) que os ônus declarados serão cancelados às suas expensas antes da abertura da matrícula individual da unidade; e (d) que responde pela evicção (Código Civil, arts. 447 e seguintes).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19ª — DA INTERMEDIAÇÃO E DO CREDENCIAMENTO DA ROMATEC</w:t>
      </w:r>
    </w:p>
    <w:p>
      <w:pPr>
        <w:jc w:val="both"/>
      </w:pPr>
      <w:r>
        <w:rPr>
          <w:rFonts w:ascii="Times New Roman" w:hAnsi="Times New Roman"/>
          <w:b w:val="0"/>
        </w:rPr>
        <w:t>19.1. A corretagem do item 14 do Quadro-Resumo é devida pela VENDEDORA à beneficiária ali indicada, pela intermediação útil, e foi informada previamente e em destaque ao(à) COMPRADOR(A), integrando o preço (Código Civil, arts. 722 a 725). Será retida, pela própria plataforma de pagamentos, em 50% (cinquenta por cento) no primeiro e 50% (cinquenta por cento) no segundo pagamento da entrada; na entrada à vista, integralmente no ato.</w:t>
      </w:r>
    </w:p>
    <w:p>
      <w:pPr>
        <w:jc w:val="both"/>
      </w:pPr>
      <w:r>
        <w:rPr>
          <w:rFonts w:ascii="Times New Roman" w:hAnsi="Times New Roman"/>
          <w:b w:val="0"/>
        </w:rPr>
        <w:t>19.1.1. A corretagem é paga exclusivamente à ROMATEC CONSULTORIA TOTAL, inscrita no CRECI/MA como pessoa jurídica (Lei n.º 6.530/1978, art. 6º), que remunera os corretores participantes. Todos os corretores que atuaram na venda estão identificados no preâmbulo com CRECI ativo, validade da carteira e certidão de regularidade.</w:t>
      </w:r>
    </w:p>
    <w:p>
      <w:pPr>
        <w:jc w:val="both"/>
      </w:pPr>
      <w:r>
        <w:rPr>
          <w:rFonts w:ascii="Times New Roman" w:hAnsi="Times New Roman"/>
          <w:b/>
        </w:rPr>
        <w:t xml:space="preserve">19.1.2. DA PARTE DO CORRETOR INTERMEDIADOR E DA SUA RETENÇÃO. </w:t>
      </w:r>
      <w:r>
        <w:rPr>
          <w:rFonts w:ascii="Times New Roman" w:hAnsi="Times New Roman"/>
          <w:b/>
        </w:rPr>
        <w:t xml:space="preserve">Da corretagem do item 14 do Quadro-Resumo, o valor equivalente a </w:t>
      </w:r>
      <w:r>
        <w:rPr>
          <w:rFonts w:ascii="Times New Roman" w:hAnsi="Times New Roman"/>
          <w:b/>
          <w:color w:val="1F4E9A"/>
        </w:rPr>
        <w:t xml:space="preserve">{{intermed_comissao_pct}}</w:t>
      </w:r>
      <w:r>
        <w:rPr>
          <w:rFonts w:ascii="Times New Roman" w:hAnsi="Times New Roman"/>
          <w:b/>
        </w:rPr>
        <w:t xml:space="preserve"> do valor da venda, ou seja, </w:t>
      </w:r>
      <w:r>
        <w:rPr>
          <w:rFonts w:ascii="Times New Roman" w:hAnsi="Times New Roman"/>
          <w:b/>
          <w:color w:val="1F4E9A"/>
        </w:rPr>
        <w:t xml:space="preserve">R$ {{intermed_comissao_valor}} ({{intermed_comissao_extenso}})</w:t>
      </w:r>
      <w:r>
        <w:rPr>
          <w:rFonts w:ascii="Times New Roman" w:hAnsi="Times New Roman"/>
          <w:b/>
        </w:rPr>
        <w:t xml:space="preserve">, remunera o(a) corretor(a) intermediador(a) </w:t>
      </w:r>
      <w:r>
        <w:rPr>
          <w:rFonts w:ascii="Times New Roman" w:hAnsi="Times New Roman"/>
          <w:b/>
          <w:color w:val="1F4E9A"/>
        </w:rPr>
        <w:t xml:space="preserve">{{intermed_nome}}</w:t>
      </w:r>
      <w:r>
        <w:rPr>
          <w:rFonts w:ascii="Times New Roman" w:hAnsi="Times New Roman"/>
          <w:b/>
        </w:rPr>
        <w:t xml:space="preserve">, CRECI/</w:t>
      </w:r>
      <w:r>
        <w:rPr>
          <w:rFonts w:ascii="Times New Roman" w:hAnsi="Times New Roman"/>
          <w:b/>
          <w:color w:val="1F4E9A"/>
        </w:rPr>
        <w:t xml:space="preserve">{{intermed_creci}}</w:t>
      </w:r>
      <w:r>
        <w:rPr>
          <w:rFonts w:ascii="Times New Roman" w:hAnsi="Times New Roman"/>
          <w:b/>
        </w:rPr>
        <w:t xml:space="preserve">, e é pago e extraído NO ATO DO SINAL (primeiro pagamento da entrada ou pagamento à vista). O(A) COMPRADOR(A) declara que foi informado(a) previamente e em destaque de que esse valor remunera a intermediação já concluída com a celebração deste contrato e, por isso, </w:t>
      </w:r>
      <w:r>
        <w:rPr>
          <w:rFonts w:ascii="Times New Roman" w:hAnsi="Times New Roman"/>
          <w:b/>
        </w:rPr>
        <w:t xml:space="preserve">NÃO SERÁ RESTITUÍDO NEM ESTORNADO em caso de desistência, de distrato a seu pedido ou de resolução por seu inadimplemento, ficando RETIDO</w:t>
      </w:r>
      <w:r>
        <w:rPr>
          <w:rFonts w:ascii="Times New Roman" w:hAnsi="Times New Roman"/>
          <w:b w:val="0"/>
        </w:rPr>
        <w:t xml:space="preserve"> (Código Civil, art. 725; Lei n.º 6.766/1979, art. 32-A, V). Ficam ressalvadas apenas as hipóteses em que a lei assegura a devolução integral, inclusive da corretagem: o arrependimento no prazo legal (Cláusula 10ª; CDC, art. 49) e a resolução por culpa da VENDEDORA (Cláusula 11.4). A ciência deste item é reiterada no Contrato de Intermediação Imobiliária assinado pelo(a) COMPRADOR(A) junto com este instrumento.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19.2. Fica a </w:t>
      </w:r>
      <w:r>
        <w:rPr>
          <w:rFonts w:ascii="Times New Roman" w:hAnsi="Times New Roman"/>
          <w:b/>
        </w:rPr>
        <w:t>ROMATEC CONSULTORIA TOTAL</w:t>
      </w:r>
      <w:r>
        <w:rPr>
          <w:rFonts w:ascii="Times New Roman" w:hAnsi="Times New Roman"/>
          <w:b w:val="0"/>
        </w:rPr>
        <w:t xml:space="preserve"> (CNPJ 17.261.987/0001-09, CRECI/MA </w:t>
      </w:r>
      <w:r>
        <w:rPr>
          <w:rFonts w:ascii="Times New Roman" w:hAnsi="Times New Roman"/>
          <w:b w:val="0"/>
          <w:color w:val="1F4E9A"/>
        </w:rPr>
        <w:t>{{rom_creci_pj}}</w:t>
      </w:r>
      <w:r>
        <w:rPr>
          <w:rFonts w:ascii="Times New Roman" w:hAnsi="Times New Roman"/>
          <w:b w:val="0"/>
        </w:rPr>
        <w:t>), por seu responsável técnico José Romário Pinto Bezerra (CFT/MA 01209185369, INCRA FQNS, CNAI 031161, CRECI/MA 4.705), credenciada pelas partes a protocolar requerimentos e a retirar guias, certidões e documentos perante a Prefeitura Municipal de Açailândia/MA, a Fazenda Estadual, o INCRA, os órgãos ambientais e os cartórios de notas e de registro, para os atos de regularização e registro previstos neste contrato.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19.3. </w:t>
      </w:r>
      <w:r>
        <w:rPr>
          <w:rFonts w:ascii="Times New Roman" w:hAnsi="Times New Roman"/>
          <w:b/>
        </w:rPr>
        <w:t>A INTERMEDIADORA não recebe valores do preço, não dá quitação e não transige em nome das partes</w:t>
      </w:r>
      <w:r>
        <w:rPr>
          <w:rFonts w:ascii="Times New Roman" w:hAnsi="Times New Roman"/>
          <w:b w:val="0"/>
        </w:rPr>
        <w:t>; sua atuação limita-se à intermediação, ao assessoramento técnico e à tramitação documental.</w:t>
      </w:r>
    </w:p>
    <w:p>
      <w:pPr>
        <w:jc w:val="both"/>
      </w:pPr>
      <w:r>
        <w:rPr>
          <w:rFonts w:ascii="Times New Roman" w:hAnsi="Times New Roman"/>
          <w:b w:val="0"/>
        </w:rPr>
        <w:t>19.4. As partes entregarão à INTERMEDIADORA, em até 10 (dez) dias da solicitação, os documentos pessoais e certidões necessários. Os atrasos atribuíveis à parte omissa não correm contra a outra.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20ª — DA ASSINATURA ELETRÔNICA, DAS VIAS E DA FORÇA EXECUTIVA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20.1. As partes admitem como válida e eficaz a assinatura deste instrumento e de seus anexos por: (a) </w:t>
      </w:r>
      <w:r>
        <w:rPr>
          <w:rFonts w:ascii="Times New Roman" w:hAnsi="Times New Roman"/>
          <w:b/>
        </w:rPr>
        <w:t>assinatura eletrônica qualificada</w:t>
      </w:r>
      <w:r>
        <w:rPr>
          <w:rFonts w:ascii="Times New Roman" w:hAnsi="Times New Roman"/>
          <w:b w:val="0"/>
        </w:rPr>
        <w:t xml:space="preserve"> com certificado ICP-Brasil (MP n.º 2.200-2/2001, art. 10, § 1º); (b) </w:t>
      </w:r>
      <w:r>
        <w:rPr>
          <w:rFonts w:ascii="Times New Roman" w:hAnsi="Times New Roman"/>
          <w:b/>
        </w:rPr>
        <w:t>assinatura eletrônica avançada</w:t>
      </w:r>
      <w:r>
        <w:rPr>
          <w:rFonts w:ascii="Times New Roman" w:hAnsi="Times New Roman"/>
          <w:b w:val="0"/>
        </w:rPr>
        <w:t xml:space="preserve">, inclusive a da plataforma gov.br (Lei n.º 14.063/2020, art. 4º, II); (c) assinatura eletrônica avançada pela plataforma do empreendimento, com autenticação por código enviado ao e-mail ou WhatsApp do signatário, registro de IP, data e hora, geolocalização e hash do documento, meio de comprovação de autoria e integridade aqui expressamente aceito (MP n.º 2.200-2/2001, art. 10, § 2º); ou (d) </w:t>
      </w:r>
      <w:r>
        <w:rPr>
          <w:rFonts w:ascii="Times New Roman" w:hAnsi="Times New Roman"/>
          <w:b/>
        </w:rPr>
        <w:t>assinatura manuscrita</w:t>
      </w:r>
      <w:r>
        <w:rPr>
          <w:rFonts w:ascii="Times New Roman" w:hAnsi="Times New Roman"/>
          <w:b w:val="0"/>
        </w:rPr>
        <w:t>. Cada signatário indica o meio no ato da assinatura.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20.2. O documento assinado eletronicamente é original, dispensa impressão e é acompanhado do Manifesto de Assinaturas (Anexo VII), com o código de verificação </w:t>
      </w:r>
      <w:r>
        <w:rPr>
          <w:rFonts w:ascii="Times New Roman" w:hAnsi="Times New Roman"/>
          <w:b/>
          <w:color w:val="1F4E9A"/>
        </w:rPr>
        <w:t>{{ctr_codigo_verificacao}}</w:t>
      </w:r>
      <w:r>
        <w:rPr>
          <w:rFonts w:ascii="Times New Roman" w:hAnsi="Times New Roman"/>
          <w:b w:val="0"/>
        </w:rPr>
        <w:t xml:space="preserve"> e o hash SHA-256 do arquivo. Assinado eletronicamente, constitui título executivo extrajudicial independentemente da assinatura de testemunhas (CPC, art. 784, III e § 4º). Assinado a punho, será firmado por 2 (duas) testemunhas em 3 (três) vias de igual teor.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21ª — DA PROTEÇÃO DE DADOS PESSOAIS</w:t>
      </w:r>
    </w:p>
    <w:p>
      <w:pPr>
        <w:jc w:val="both"/>
      </w:pPr>
      <w:r>
        <w:rPr>
          <w:rFonts w:ascii="Times New Roman" w:hAnsi="Times New Roman"/>
          <w:b w:val="0"/>
        </w:rPr>
        <w:t>21.1. Os dados pessoais das partes são tratados pela VENDEDORA, pela INTERMEDIADORA e pela plataforma de pagamentos exclusivamente para a execução deste contrato, a emissão de cobranças, a regularização e o registro do imóvel e o cumprimento de obrigações legais e regulatórias (Lei n.º 13.709/2018, art. 7º, II e V). O titular pode exercer os direitos do art. 18 da LGPD pelos contatos do Quadro-Resumo.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22ª — DAS COMUNICAÇÕES</w:t>
      </w:r>
    </w:p>
    <w:p>
      <w:pPr>
        <w:jc w:val="both"/>
      </w:pPr>
      <w:r>
        <w:rPr>
          <w:rFonts w:ascii="Times New Roman" w:hAnsi="Times New Roman"/>
          <w:b w:val="0"/>
        </w:rPr>
        <w:t>22.1. São válidas as comunicações enviadas aos endereços físicos, e-mails e números de WhatsApp informados no preâmbulo, com comprovação de envio. A intimação para constituição em mora segue a forma da Cláusula 8.1.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23ª — DAS DISPOSIÇÕES GERAIS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23.1. Este compromisso é </w:t>
      </w:r>
      <w:r>
        <w:rPr>
          <w:rFonts w:ascii="Times New Roman" w:hAnsi="Times New Roman"/>
          <w:b/>
        </w:rPr>
        <w:t>irretratável e irrevogável</w:t>
      </w:r>
      <w:r>
        <w:rPr>
          <w:rFonts w:ascii="Times New Roman" w:hAnsi="Times New Roman"/>
          <w:b w:val="0"/>
        </w:rPr>
        <w:t>, ressalvados o direito de arrependimento da Cláusula 10ª e as hipóteses de desfazimento previstas, e obriga as partes, seus herdeiros e sucessores (Lei n.º 6.766/1979, art. 25).</w:t>
      </w:r>
    </w:p>
    <w:p>
      <w:pPr>
        <w:jc w:val="both"/>
      </w:pPr>
      <w:r>
        <w:rPr>
          <w:rFonts w:ascii="Times New Roman" w:hAnsi="Times New Roman"/>
          <w:b w:val="0"/>
        </w:rPr>
        <w:t>23.2. A tolerância de qualquer das partes quanto ao descumprimento da outra não importa novação, renúncia ou alteração do pactuado.</w:t>
      </w:r>
    </w:p>
    <w:p>
      <w:pPr>
        <w:jc w:val="both"/>
      </w:pPr>
      <w:r>
        <w:rPr>
          <w:rFonts w:ascii="Times New Roman" w:hAnsi="Times New Roman"/>
          <w:b w:val="0"/>
        </w:rPr>
        <w:t>23.3. A nulidade de uma cláusula não invalida as demais (Código Civil, art. 184).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23.4. Integram este contrato: </w:t>
      </w:r>
      <w:r>
        <w:rPr>
          <w:rFonts w:ascii="Times New Roman" w:hAnsi="Times New Roman"/>
          <w:b/>
        </w:rPr>
        <w:t>Anexo I</w:t>
      </w:r>
      <w:r>
        <w:rPr>
          <w:rFonts w:ascii="Times New Roman" w:hAnsi="Times New Roman"/>
          <w:b w:val="0"/>
        </w:rPr>
        <w:t xml:space="preserve"> — memorial descritivo, planta e quadro de vértices da unidade; </w:t>
      </w:r>
      <w:r>
        <w:rPr>
          <w:rFonts w:ascii="Times New Roman" w:hAnsi="Times New Roman"/>
          <w:b/>
        </w:rPr>
        <w:t>Anexo II</w:t>
      </w:r>
      <w:r>
        <w:rPr>
          <w:rFonts w:ascii="Times New Roman" w:hAnsi="Times New Roman"/>
          <w:b w:val="0"/>
        </w:rPr>
        <w:t xml:space="preserve"> — tabela de pagamento do plano escolhido; </w:t>
      </w:r>
      <w:r>
        <w:rPr>
          <w:rFonts w:ascii="Times New Roman" w:hAnsi="Times New Roman"/>
          <w:b/>
        </w:rPr>
        <w:t>Anexo III</w:t>
      </w:r>
      <w:r>
        <w:rPr>
          <w:rFonts w:ascii="Times New Roman" w:hAnsi="Times New Roman"/>
          <w:b w:val="0"/>
        </w:rPr>
        <w:t xml:space="preserve"> — Estatuto da associação e Regimento Interno; </w:t>
      </w:r>
      <w:r>
        <w:rPr>
          <w:rFonts w:ascii="Times New Roman" w:hAnsi="Times New Roman"/>
          <w:b/>
        </w:rPr>
        <w:t>Anexo IV</w:t>
      </w:r>
      <w:r>
        <w:rPr>
          <w:rFonts w:ascii="Times New Roman" w:hAnsi="Times New Roman"/>
          <w:b w:val="0"/>
        </w:rPr>
        <w:t xml:space="preserve"> — Diretrizes de Uso; </w:t>
      </w:r>
      <w:r>
        <w:rPr>
          <w:rFonts w:ascii="Times New Roman" w:hAnsi="Times New Roman"/>
          <w:b/>
        </w:rPr>
        <w:t>Anexo V</w:t>
      </w:r>
      <w:r>
        <w:rPr>
          <w:rFonts w:ascii="Times New Roman" w:hAnsi="Times New Roman"/>
          <w:b w:val="0"/>
        </w:rPr>
        <w:t xml:space="preserve"> — Mapa de Vendas; </w:t>
      </w:r>
      <w:r>
        <w:rPr>
          <w:rFonts w:ascii="Times New Roman" w:hAnsi="Times New Roman"/>
          <w:b/>
        </w:rPr>
        <w:t>Anexo VI</w:t>
      </w:r>
      <w:r>
        <w:rPr>
          <w:rFonts w:ascii="Times New Roman" w:hAnsi="Times New Roman"/>
          <w:b w:val="0"/>
        </w:rPr>
        <w:t xml:space="preserve"> — licença ambiental com condicionantes e certidão do registro do parcelamento; </w:t>
      </w:r>
      <w:r>
        <w:rPr>
          <w:rFonts w:ascii="Times New Roman" w:hAnsi="Times New Roman"/>
          <w:b/>
        </w:rPr>
        <w:t>Anexo VII</w:t>
      </w:r>
      <w:r>
        <w:rPr>
          <w:rFonts w:ascii="Times New Roman" w:hAnsi="Times New Roman"/>
          <w:b w:val="0"/>
        </w:rPr>
        <w:t xml:space="preserve"> — Manifesto de Assinaturas.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CLÁUSULA 24ª — DO FORO</w:t>
      </w:r>
    </w:p>
    <w:p>
      <w:pPr>
        <w:jc w:val="both"/>
      </w:pPr>
      <w:r>
        <w:rPr>
          <w:rFonts w:ascii="Times New Roman" w:hAnsi="Times New Roman"/>
          <w:b w:val="0"/>
        </w:rPr>
        <w:t>24.1. Fica eleito o foro da Comarca de Açailândia/MA para dirimir as questões oriundas deste contrato, com renúncia a qualquer outro, por mais privilegiado que seja, ressalvado ao(à) COMPRADOR(A) o foro de seu domicílio (CDC, art. 101, I).</w:t>
      </w:r>
    </w:p>
    <w:p>
      <w:pPr>
        <w:jc w:val="both"/>
      </w:pPr>
      <w:r>
        <w:rPr>
          <w:rFonts w:ascii="Times New Roman" w:hAnsi="Times New Roman"/>
          <w:b w:val="0"/>
        </w:rPr>
        <w:t>E, por estarem assim justas e contratadas, as partes assinam este instrumento na forma da Cláusula 20ª.</w:t>
      </w:r>
    </w:p>
    <w:p>
      <w:pPr>
        <w:jc w:val="center"/>
      </w:pPr>
      <w:r>
        <w:rPr>
          <w:rFonts w:ascii="Times New Roman" w:hAnsi="Times New Roman"/>
          <w:b w:val="0"/>
        </w:rPr>
        <w:t xml:space="preserve">Açailândia/MA, </w:t>
      </w:r>
      <w:r>
        <w:rPr>
          <w:rFonts w:ascii="Times New Roman" w:hAnsi="Times New Roman"/>
          <w:b w:val="0"/>
          <w:color w:val="1F4E9A"/>
        </w:rPr>
        <w:t>{{ctr_data_extenso}}</w:t>
      </w:r>
      <w:r>
        <w:rPr>
          <w:rFonts w:ascii="Times New Roman" w:hAnsi="Times New Roman"/>
          <w:b w:val="0"/>
        </w:rPr>
        <w:t>.</w:t>
      </w:r>
    </w:p>
    <w:p>
      <w:pPr>
        <w:spacing w:after="0"/>
      </w:pPr>
      <w:r>
        <w:rPr>
          <w:color w:val="990099"/>
          <w:sz w:val="16"/>
        </w:rPr>
        <w:t>{{#vend_pf}}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{{vend_nome}}</w:t>
      </w:r>
    </w:p>
    <w:p>
      <w:pPr>
        <w:keepNext/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PROMITENTE VENDEDORA — CPF </w:t>
      </w:r>
      <w:r>
        <w:rPr>
          <w:rFonts w:ascii="Times New Roman" w:hAnsi="Times New Roman"/>
          <w:b w:val="0"/>
          <w:color w:val="1F4E9A"/>
          <w:sz w:val="18"/>
        </w:rPr>
        <w:t>{{vend_cpf}}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>Assinatura digital (ICP-Brasil / gov.br) ou a punho</w:t>
      </w:r>
    </w:p>
    <w:p>
      <w:pPr>
        <w:spacing w:after="0"/>
      </w:pPr>
      <w:r>
        <w:rPr>
          <w:color w:val="990099"/>
          <w:sz w:val="16"/>
        </w:rPr>
        <w:t>{{/vend_pf}}</w:t>
      </w:r>
    </w:p>
    <w:p>
      <w:pPr>
        <w:spacing w:after="0"/>
      </w:pPr>
      <w:r>
        <w:rPr>
          <w:color w:val="990099"/>
          <w:sz w:val="16"/>
        </w:rPr>
        <w:t>{{#vend_pj}}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{{vend_razao_social}}</w:t>
      </w:r>
    </w:p>
    <w:p>
      <w:pPr>
        <w:keepNext/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PROMITENTE VENDEDORA — CNPJ </w:t>
      </w:r>
      <w:r>
        <w:rPr>
          <w:rFonts w:ascii="Times New Roman" w:hAnsi="Times New Roman"/>
          <w:b w:val="0"/>
          <w:color w:val="1F4E9A"/>
          <w:sz w:val="18"/>
        </w:rPr>
        <w:t>{{vend_cnpj}}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p. </w:t>
      </w:r>
      <w:r>
        <w:rPr>
          <w:rFonts w:ascii="Times New Roman" w:hAnsi="Times New Roman"/>
          <w:b w:val="0"/>
          <w:color w:val="1F4E9A"/>
          <w:sz w:val="18"/>
        </w:rPr>
        <w:t>{{vend_rep_nome}}</w:t>
      </w:r>
      <w:r>
        <w:rPr>
          <w:rFonts w:ascii="Times New Roman" w:hAnsi="Times New Roman"/>
          <w:b w:val="0"/>
          <w:sz w:val="18"/>
        </w:rPr>
        <w:t xml:space="preserve"> — CPF </w:t>
      </w:r>
      <w:r>
        <w:rPr>
          <w:rFonts w:ascii="Times New Roman" w:hAnsi="Times New Roman"/>
          <w:b w:val="0"/>
          <w:color w:val="1F4E9A"/>
          <w:sz w:val="18"/>
        </w:rPr>
        <w:t>{{vend_rep_cpf}}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{{tit_nome}}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TITULAR DOS DIREITOS / ANUENTE — CPF </w:t>
      </w:r>
      <w:r>
        <w:rPr>
          <w:rFonts w:ascii="Times New Roman" w:hAnsi="Times New Roman"/>
          <w:b w:val="0"/>
          <w:color w:val="1F4E9A"/>
          <w:sz w:val="18"/>
        </w:rPr>
        <w:t>{{tit_cpf}}</w:t>
      </w:r>
    </w:p>
    <w:p>
      <w:pPr>
        <w:spacing w:after="0"/>
      </w:pPr>
      <w:r>
        <w:rPr>
          <w:color w:val="990099"/>
          <w:sz w:val="16"/>
        </w:rPr>
        <w:t>{{/vend_pj}}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{{comp_nome}}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PROMISSÁRIO(A) COMPRADOR(A) — CPF </w:t>
      </w:r>
      <w:r>
        <w:rPr>
          <w:rFonts w:ascii="Times New Roman" w:hAnsi="Times New Roman"/>
          <w:b w:val="0"/>
          <w:color w:val="1F4E9A"/>
          <w:sz w:val="18"/>
        </w:rPr>
        <w:t>{{comp_cpf}}</w:t>
      </w:r>
    </w:p>
    <w:p>
      <w:pPr>
        <w:spacing w:after="0"/>
      </w:pPr>
      <w:r>
        <w:rPr>
          <w:color w:val="990099"/>
          <w:sz w:val="16"/>
        </w:rPr>
        <w:t>{{#comp_casado}}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{{conj_nome}}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CÔNJUGE/COMPANHEIRO(A) ANUENTE — CPF </w:t>
      </w:r>
      <w:r>
        <w:rPr>
          <w:rFonts w:ascii="Times New Roman" w:hAnsi="Times New Roman"/>
          <w:b w:val="0"/>
          <w:color w:val="1F4E9A"/>
          <w:sz w:val="18"/>
        </w:rPr>
        <w:t>{{conj_cpf}}</w:t>
      </w:r>
    </w:p>
    <w:p>
      <w:pPr>
        <w:spacing w:after="0"/>
      </w:pPr>
      <w:r>
        <w:rPr>
          <w:color w:val="990099"/>
          <w:sz w:val="16"/>
        </w:rPr>
        <w:t>{{/comp_casado}}</w:t>
      </w:r>
    </w:p>
    <w:p>
      <w:pPr>
        <w:spacing w:after="0"/>
      </w:pPr>
      <w:r>
        <w:rPr>
          <w:color w:val="990099"/>
          <w:sz w:val="16"/>
        </w:rPr>
        <w:t>{{#comp2_existe}}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{{comp2_nome}}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2º PROMISSÁRIO(A) COMPRADOR(A) — CPF </w:t>
      </w:r>
      <w:r>
        <w:rPr>
          <w:rFonts w:ascii="Times New Roman" w:hAnsi="Times New Roman"/>
          <w:b w:val="0"/>
          <w:color w:val="1F4E9A"/>
          <w:sz w:val="18"/>
        </w:rPr>
        <w:t>{{comp2_cpf}}</w:t>
      </w:r>
    </w:p>
    <w:p>
      <w:pPr>
        <w:spacing w:after="0"/>
      </w:pPr>
      <w:r>
        <w:rPr>
          <w:color w:val="990099"/>
          <w:sz w:val="16"/>
        </w:rPr>
        <w:t>{{/comp2_existe}}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0C3320"/>
          <w:sz w:val="22"/>
        </w:rPr>
        <w:t>ROMATEC CONSULTORIA TOTAL — GESTORA DE VENDAS E INTERMEDIADORA</w:t>
      </w:r>
    </w:p>
    <w:p>
      <w:pPr>
        <w:keepNext/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CNPJ 17.261.987/0001-09 · CRECI/MA </w:t>
      </w:r>
      <w:r>
        <w:rPr>
          <w:rFonts w:ascii="Times New Roman" w:hAnsi="Times New Roman"/>
          <w:b w:val="0"/>
          <w:color w:val="1F4E9A"/>
          <w:sz w:val="18"/>
        </w:rPr>
        <w:t>{{rom_creci_pj}}</w:t>
      </w:r>
      <w:r>
        <w:rPr>
          <w:rFonts w:ascii="Times New Roman" w:hAnsi="Times New Roman"/>
          <w:b w:val="0"/>
          <w:sz w:val="18"/>
        </w:rPr>
        <w:t xml:space="preserve"> (PJ)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p. José Romário Pinto Bezerra — CRECI/MA </w:t>
      </w:r>
      <w:r>
        <w:rPr>
          <w:rFonts w:ascii="Times New Roman" w:hAnsi="Times New Roman"/>
          <w:b w:val="0"/>
          <w:color w:val="1F4E9A"/>
          <w:sz w:val="18"/>
        </w:rPr>
        <w:t>{{corr_creci}}</w:t>
      </w:r>
      <w:r>
        <w:rPr>
          <w:rFonts w:ascii="Times New Roman" w:hAnsi="Times New Roman"/>
          <w:b w:val="0"/>
          <w:sz w:val="18"/>
        </w:rPr>
        <w:t xml:space="preserve"> · CFT/MA 01209185369 · INCRA FQNS · CNAI 031161</w:t>
      </w:r>
    </w:p>
    <w:p>
      <w:pPr>
        <w:spacing w:after="0"/>
      </w:pPr>
      <w:r>
        <w:rPr>
          <w:color w:val="990099"/>
          <w:sz w:val="16"/>
        </w:rPr>
        <w:t>{{#corr_parceiro}}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{{corr_parceiro_nome}}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>CORRETOR(A) PARCEIRO(A) — CRECI/</w:t>
      </w:r>
      <w:r>
        <w:rPr>
          <w:rFonts w:ascii="Times New Roman" w:hAnsi="Times New Roman"/>
          <w:b w:val="0"/>
          <w:color w:val="1F4E9A"/>
          <w:sz w:val="18"/>
        </w:rPr>
        <w:t>{{corr_parceiro_creci}}</w:t>
      </w:r>
      <w:r>
        <w:rPr>
          <w:rFonts w:ascii="Times New Roman" w:hAnsi="Times New Roman"/>
          <w:b w:val="0"/>
          <w:sz w:val="18"/>
        </w:rPr>
        <w:t xml:space="preserve"> · certidão </w:t>
      </w:r>
      <w:r>
        <w:rPr>
          <w:rFonts w:ascii="Times New Roman" w:hAnsi="Times New Roman"/>
          <w:b w:val="0"/>
          <w:color w:val="1F4E9A"/>
          <w:sz w:val="18"/>
        </w:rPr>
        <w:t>{{corr_parceiro_certidao_codigo}}</w:t>
      </w:r>
    </w:p>
    <w:p>
      <w:pPr>
        <w:spacing w:after="0"/>
      </w:pPr>
      <w:r>
        <w:rPr>
          <w:color w:val="990099"/>
          <w:sz w:val="16"/>
        </w:rPr>
        <w:t>{{/corr_parceiro}}</w:t>
      </w:r>
    </w:p>
    <w:p>
      <w:pPr>
        <w:spacing w:after="0"/>
      </w:pPr>
      <w:r>
        <w:rPr>
          <w:color w:val="990099"/>
          <w:sz w:val="16"/>
        </w:rPr>
        <w:t>{{#assinatura_manuscrita}}</w:t>
      </w:r>
    </w:p>
    <w:p>
      <w:pPr>
        <w:jc w:val="left"/>
      </w:pPr>
      <w:r>
        <w:rPr>
          <w:rFonts w:ascii="Times New Roman" w:hAnsi="Times New Roman"/>
          <w:b/>
        </w:rPr>
        <w:t>Testemunhas:</w:t>
      </w:r>
    </w:p>
    <w:p>
      <w:pPr>
        <w:jc w:val="left"/>
      </w:pPr>
      <w:r>
        <w:rPr>
          <w:rFonts w:ascii="Times New Roman" w:hAnsi="Times New Roman"/>
          <w:b w:val="0"/>
        </w:rPr>
        <w:t xml:space="preserve">1. Nome: </w:t>
      </w:r>
      <w:r>
        <w:rPr>
          <w:rFonts w:ascii="Times New Roman" w:hAnsi="Times New Roman"/>
          <w:b w:val="0"/>
          <w:color w:val="1F4E9A"/>
        </w:rPr>
        <w:t>{{test1_nome}}</w:t>
      </w:r>
      <w:r>
        <w:rPr>
          <w:rFonts w:ascii="Times New Roman" w:hAnsi="Times New Roman"/>
          <w:b w:val="0"/>
        </w:rPr>
        <w:t xml:space="preserve"> — CPF: </w:t>
      </w:r>
      <w:r>
        <w:rPr>
          <w:rFonts w:ascii="Times New Roman" w:hAnsi="Times New Roman"/>
          <w:b w:val="0"/>
          <w:color w:val="1F4E9A"/>
        </w:rPr>
        <w:t>{{test1_cpf}}</w:t>
      </w:r>
      <w:r>
        <w:rPr>
          <w:rFonts w:ascii="Times New Roman" w:hAnsi="Times New Roman"/>
          <w:b w:val="0"/>
        </w:rPr>
        <w:t xml:space="preserve"> — Assinatura: ______________________________</w:t>
      </w:r>
    </w:p>
    <w:p>
      <w:pPr>
        <w:jc w:val="left"/>
      </w:pPr>
      <w:r>
        <w:rPr>
          <w:rFonts w:ascii="Times New Roman" w:hAnsi="Times New Roman"/>
          <w:b w:val="0"/>
        </w:rPr>
        <w:t xml:space="preserve">2. Nome: </w:t>
      </w:r>
      <w:r>
        <w:rPr>
          <w:rFonts w:ascii="Times New Roman" w:hAnsi="Times New Roman"/>
          <w:b w:val="0"/>
          <w:color w:val="1F4E9A"/>
        </w:rPr>
        <w:t>{{test2_nome}}</w:t>
      </w:r>
      <w:r>
        <w:rPr>
          <w:rFonts w:ascii="Times New Roman" w:hAnsi="Times New Roman"/>
          <w:b w:val="0"/>
        </w:rPr>
        <w:t xml:space="preserve"> — CPF: </w:t>
      </w:r>
      <w:r>
        <w:rPr>
          <w:rFonts w:ascii="Times New Roman" w:hAnsi="Times New Roman"/>
          <w:b w:val="0"/>
          <w:color w:val="1F4E9A"/>
        </w:rPr>
        <w:t>{{test2_cpf}}</w:t>
      </w:r>
      <w:r>
        <w:rPr>
          <w:rFonts w:ascii="Times New Roman" w:hAnsi="Times New Roman"/>
          <w:b w:val="0"/>
        </w:rPr>
        <w:t xml:space="preserve"> — Assinatura: ______________________________</w:t>
      </w:r>
    </w:p>
    <w:p>
      <w:pPr>
        <w:spacing w:after="0"/>
      </w:pPr>
      <w:r>
        <w:rPr>
          <w:color w:val="990099"/>
          <w:sz w:val="16"/>
        </w:rPr>
        <w:t>{{/assinatura_manuscrita}}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1134" w:bottom="1361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drawing>
        <wp:inline xmlns:a="http://schemas.openxmlformats.org/drawingml/2006/main" xmlns:pic="http://schemas.openxmlformats.org/drawingml/2006/picture">
          <wp:extent cx="5940000" cy="273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_bom_jardim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27324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sz w:val="15"/>
      </w:rPr>
      <w:t xml:space="preserve">CPCV — Condomínio de Chácaras Bom Jardims · Página </w:t>
    </w:r>
    <w:fldSimple w:instr="PAGE">
      <w:r>
        <w:rPr>
          <w:sz w:val="15"/>
        </w:rPr>
        <w:t>1</w:t>
      </w:r>
    </w:fldSimple>
    <w:r>
      <w:rPr>
        <w:sz w:val="15"/>
      </w:rPr>
      <w:t xml:space="preserve"> de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5940000" cy="891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_bom_jardim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89100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20000" cy="2936250"/>
          <wp:effectExtent l="0" t="0" r="0" b="0"/>
          <wp:wrapNone/>
          <wp:docPr id="2" name="Picture 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bom_jardim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20000" cy="293269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