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/>
        <w:jc w:val="center"/>
      </w:pPr>
      <w:r>
        <w:rPr>
          <w:rFonts w:ascii="Times New Roman" w:hAnsi="Times New Roman"/>
          <w:b/>
          <w:color w:val="0C3320"/>
          <w:sz w:val="26"/>
        </w:rPr>
        <w:t xml:space="preserve">ESTATUTO SOCIAL DA </w:t>
      </w:r>
      <w:r>
        <w:rPr>
          <w:rFonts w:ascii="Times New Roman" w:hAnsi="Times New Roman"/>
          <w:b/>
          <w:color w:val="1F4E9A"/>
          <w:sz w:val="26"/>
        </w:rPr>
        <w:t>{{emp_associacao_nome_caixa}}</w:t>
      </w:r>
    </w:p>
    <w:p>
      <w:pPr>
        <w:jc w:val="center"/>
      </w:pPr>
      <w:r>
        <w:rPr>
          <w:rFonts w:ascii="Times New Roman" w:hAnsi="Times New Roman"/>
          <w:b w:val="0"/>
          <w:color w:val="555555"/>
          <w:sz w:val="20"/>
        </w:rPr>
        <w:t xml:space="preserve">Associação de proprietários do </w:t>
      </w:r>
      <w:r>
        <w:rPr>
          <w:rFonts w:ascii="Times New Roman" w:hAnsi="Times New Roman"/>
          <w:b w:val="0"/>
          <w:color w:val="1F4E9A"/>
          <w:sz w:val="20"/>
        </w:rPr>
        <w:t>{{emp_nome}}</w:t>
      </w:r>
      <w:r>
        <w:rPr>
          <w:rFonts w:ascii="Times New Roman" w:hAnsi="Times New Roman"/>
          <w:b w:val="0"/>
          <w:color w:val="555555"/>
          <w:sz w:val="20"/>
        </w:rPr>
        <w:t xml:space="preserve"> (nome comercial) — loteamento de acesso controlado (Lei n.º 6.766/1979, arts. 2º, § 8º, e 36-A; Código Civil, arts. 53 a 61) · Minuta </w:t>
      </w:r>
      <w:r>
        <w:rPr>
          <w:rFonts w:ascii="Times New Roman" w:hAnsi="Times New Roman"/>
          <w:b w:val="0"/>
          <w:color w:val="1F4E9A"/>
          <w:sz w:val="20"/>
        </w:rPr>
        <w:t>{{est_versao}}</w:t>
      </w:r>
    </w:p>
    <w:p>
      <w:pPr>
        <w:keepNext/>
        <w:spacing w:before="180"/>
        <w:pBdr>
          <w:bottom w:val="single" w:sz="6" w:space="1" w:color="C9A84C"/>
        </w:pBdr>
      </w:pPr>
      <w:r>
        <w:rPr>
          <w:rFonts w:ascii="Times New Roman" w:hAnsi="Times New Roman"/>
          <w:b/>
          <w:color w:val="0C3320"/>
          <w:sz w:val="22"/>
        </w:rPr>
        <w:t>CAPÍTULO I — DA DENOMINAÇÃO, SEDE, DURAÇÃO E FINALIDADE</w:t>
      </w:r>
    </w:p>
    <w:p>
      <w:pPr>
        <w:jc w:val="both"/>
      </w:pPr>
      <w:r>
        <w:rPr>
          <w:rFonts w:ascii="Times New Roman" w:hAnsi="Times New Roman"/>
          <w:b w:val="0"/>
        </w:rPr>
        <w:t xml:space="preserve">Art. 1º A </w:t>
      </w:r>
      <w:r>
        <w:rPr>
          <w:rFonts w:ascii="Times New Roman" w:hAnsi="Times New Roman"/>
          <w:b/>
          <w:color w:val="1F4E9A"/>
        </w:rPr>
        <w:t>{{emp_associacao_nome}}</w:t>
      </w:r>
      <w:r>
        <w:rPr>
          <w:rFonts w:ascii="Times New Roman" w:hAnsi="Times New Roman"/>
          <w:b w:val="0"/>
        </w:rPr>
        <w:t xml:space="preserve">, doravante ASSOCIAÇÃO, é pessoa jurídica de direito privado, sem fins econômicos, com prazo de duração indeterminado, sede no Lote B14 do </w:t>
      </w:r>
      <w:r>
        <w:rPr>
          <w:rFonts w:ascii="Times New Roman" w:hAnsi="Times New Roman"/>
          <w:b w:val="0"/>
          <w:color w:val="1F4E9A"/>
        </w:rPr>
        <w:t>{{emp_nome}}</w:t>
      </w:r>
      <w:r>
        <w:rPr>
          <w:rFonts w:ascii="Times New Roman" w:hAnsi="Times New Roman"/>
          <w:b w:val="0"/>
        </w:rPr>
        <w:t xml:space="preserve">, </w:t>
      </w:r>
      <w:r>
        <w:rPr>
          <w:rFonts w:ascii="Times New Roman" w:hAnsi="Times New Roman"/>
          <w:b w:val="0"/>
          <w:color w:val="1F4E9A"/>
        </w:rPr>
        <w:t>{{emp_endereco}}</w:t>
      </w:r>
      <w:r>
        <w:rPr>
          <w:rFonts w:ascii="Times New Roman" w:hAnsi="Times New Roman"/>
          <w:b w:val="0"/>
        </w:rPr>
        <w:t>, Açailândia/MA, e foro na Comarca de Açailândia/MA.</w:t>
      </w:r>
    </w:p>
    <w:p>
      <w:pPr>
        <w:jc w:val="both"/>
      </w:pPr>
      <w:r>
        <w:rPr>
          <w:rFonts w:ascii="Times New Roman" w:hAnsi="Times New Roman"/>
          <w:b w:val="0"/>
        </w:rPr>
        <w:t>Art. 2º A ASSOCIAÇÃO tem por finalidade, nos termos do art. 36-A da Lei n.º 6.766/1979, a administração, conservação, manutenção, disciplina de uso e valorização do empreendimento, em especial: I — a conservação das vias, passeios, sarjetas, drenagem e sinalização, inclusive das áreas públicas cujo uso lhe seja concedido ou permitido pelo Município; II — o controle de acesso, na forma autorizada pelo Poder Executivo Municipal, sem impedir o acesso de pedestres e condutores não residentes identificados ou cadastrados; III — a operação e manutenção do sistema coletivo de abastecimento de água (poço, reservatório e rede) até sua transferência ao SAAE, conforme instrumento próprio; IV — a gestão da área de vivência e a proteção da Área de Preservação Permanente do córrego; V — a aprovação prévia de projetos de edificação e a fiscalização das Diretrizes de Uso; VI — a representação dos associados perante órgãos públicos e concessionárias em assuntos de interesse coletivo.</w:t>
      </w:r>
    </w:p>
    <w:p>
      <w:pPr>
        <w:jc w:val="both"/>
      </w:pPr>
      <w:r>
        <w:rPr>
          <w:rFonts w:ascii="Times New Roman" w:hAnsi="Times New Roman"/>
          <w:b w:val="0"/>
        </w:rPr>
        <w:t>Art. 3º A ASSOCIAÇÃO não distribui lucros, bonificações ou vantagens a associados ou dirigentes, aplicando integralmente seus recursos na finalidade estatutária.</w:t>
      </w:r>
    </w:p>
    <w:p>
      <w:pPr>
        <w:keepNext/>
        <w:spacing w:before="180"/>
        <w:pBdr>
          <w:bottom w:val="single" w:sz="6" w:space="1" w:color="C9A84C"/>
        </w:pBdr>
      </w:pPr>
      <w:r>
        <w:rPr>
          <w:rFonts w:ascii="Times New Roman" w:hAnsi="Times New Roman"/>
          <w:b/>
          <w:color w:val="0C3320"/>
          <w:sz w:val="22"/>
        </w:rPr>
        <w:t>CAPÍTULO II — DOS ASSOCIADOS: ADMISSÃO, DEMISSÃO E EXCLUSÃO</w:t>
      </w:r>
    </w:p>
    <w:p>
      <w:pPr>
        <w:jc w:val="both"/>
      </w:pPr>
      <w:r>
        <w:rPr>
          <w:rFonts w:ascii="Times New Roman" w:hAnsi="Times New Roman"/>
          <w:b w:val="0"/>
        </w:rPr>
        <w:t>Art. 4º São associados os titulares de direitos sobre os lotes do empreendimento — proprietários, promissários compradores e cessionários —, admitidos: I — na constituição, os subscritores da ata de fundação; II — os adquirentes que aderiram a este Estatuto no contrato de aquisição, cuja obrigação de contribuir decorre do ato constitutivo registrado na matrícula do empreendimento (Lei n.º 6.766/1979, art. 36-A, parágrafo único; STF, Tema 492); III — os demais titulares que requeiram a admissão por escrito.</w:t>
      </w:r>
    </w:p>
    <w:p>
      <w:pPr>
        <w:jc w:val="both"/>
      </w:pPr>
      <w:r>
        <w:rPr>
          <w:rFonts w:ascii="Times New Roman" w:hAnsi="Times New Roman"/>
          <w:b w:val="0"/>
        </w:rPr>
        <w:t>Parágrafo único. A cada lote corresponde uma única associação, exercida pelo titular ou, havendo cotitulares, por representante indicado por escrito. A instituidora é associada em relação aos lotes não alienados.</w:t>
      </w:r>
    </w:p>
    <w:p>
      <w:pPr>
        <w:jc w:val="both"/>
      </w:pPr>
      <w:r>
        <w:rPr>
          <w:rFonts w:ascii="Times New Roman" w:hAnsi="Times New Roman"/>
          <w:b w:val="0"/>
        </w:rPr>
        <w:t>Art. 5º A demissão é livre e se faz por requerimento escrito (CF, art. 5º, XX). Não exonera o demissionário das contribuições vencidas nem, enquanto titular de direitos sobre lote, das contribuições destinadas à conservação e aos serviços de que se beneficia, que decorrem do ato constitutivo registrado e do contrato de aquisição.</w:t>
      </w:r>
    </w:p>
    <w:p>
      <w:pPr>
        <w:jc w:val="both"/>
      </w:pPr>
      <w:r>
        <w:rPr>
          <w:rFonts w:ascii="Times New Roman" w:hAnsi="Times New Roman"/>
          <w:b w:val="0"/>
        </w:rPr>
        <w:t>Art. 6º A exclusão só é admissível havendo justa causa, assim reconhecida em procedimento que assegure direito de defesa e de recurso (Código Civil, art. 57), consistente em infração grave e reiterada a este Estatuto, ao Regimento ou às Diretrizes de Uso, decidida pelo Conselho Deliberativo, com recurso à Assembleia Geral em 15 (quinze) dias.</w:t>
      </w:r>
    </w:p>
    <w:p>
      <w:pPr>
        <w:keepNext/>
        <w:spacing w:before="180"/>
        <w:pBdr>
          <w:bottom w:val="single" w:sz="6" w:space="1" w:color="C9A84C"/>
        </w:pBdr>
      </w:pPr>
      <w:r>
        <w:rPr>
          <w:rFonts w:ascii="Times New Roman" w:hAnsi="Times New Roman"/>
          <w:b/>
          <w:color w:val="0C3320"/>
          <w:sz w:val="22"/>
        </w:rPr>
        <w:t>CAPÍTULO III — DOS DIREITOS E DEVERES DOS ASSOCIADOS</w:t>
      </w:r>
    </w:p>
    <w:p>
      <w:pPr>
        <w:jc w:val="both"/>
      </w:pPr>
      <w:r>
        <w:rPr>
          <w:rFonts w:ascii="Times New Roman" w:hAnsi="Times New Roman"/>
          <w:b w:val="0"/>
        </w:rPr>
        <w:t>Art. 7º São direitos dos associados: I — usar as áreas e serviços comuns conforme sua destinação; II — votar e ser votado, se quite com as contribuições; III — examinar livros, contas e documentos, mediante solicitação; IV — convocar a Assembleia Geral, na forma do art. 15; V — recorrer das penalidades aplicadas.</w:t>
      </w:r>
    </w:p>
    <w:p>
      <w:pPr>
        <w:jc w:val="both"/>
      </w:pPr>
      <w:r>
        <w:rPr>
          <w:rFonts w:ascii="Times New Roman" w:hAnsi="Times New Roman"/>
          <w:b w:val="0"/>
        </w:rPr>
        <w:t>Art. 8º São deveres dos associados: I — pagar pontualmente as contribuições; II — cumprir este Estatuto, o Regimento Interno (Anexo) e as Diretrizes de Uso; III — cadastrar moradores, prestadores de serviço e visitantes; IV — responder pelos atos de seus dependentes, empregados e convidados; V — comunicar a alienação ou cessão do lote, com a qualificação do adquirente, em até 15 (quinze) dias.</w:t>
      </w:r>
    </w:p>
    <w:p>
      <w:pPr>
        <w:keepNext/>
        <w:spacing w:before="180"/>
        <w:pBdr>
          <w:bottom w:val="single" w:sz="6" w:space="1" w:color="C9A84C"/>
        </w:pBdr>
      </w:pPr>
      <w:r>
        <w:rPr>
          <w:rFonts w:ascii="Times New Roman" w:hAnsi="Times New Roman"/>
          <w:b/>
          <w:color w:val="0C3320"/>
          <w:sz w:val="22"/>
        </w:rPr>
        <w:t>CAPÍTULO IV — DOS RECURSOS E DAS CONTRIBUIÇÕES</w:t>
      </w:r>
    </w:p>
    <w:p>
      <w:pPr>
        <w:jc w:val="both"/>
      </w:pPr>
      <w:r>
        <w:rPr>
          <w:rFonts w:ascii="Times New Roman" w:hAnsi="Times New Roman"/>
          <w:b w:val="0"/>
        </w:rPr>
        <w:t xml:space="preserve">Art. 9º Constituem recursos da ASSOCIAÇÃO: I — as contribuições ordinárias mensais, rateadas </w:t>
      </w:r>
      <w:r>
        <w:rPr>
          <w:rFonts w:ascii="Times New Roman" w:hAnsi="Times New Roman"/>
          <w:b/>
        </w:rPr>
        <w:t xml:space="preserve">igualmente por unidade</w:t>
      </w:r>
      <w:r>
        <w:rPr>
          <w:rFonts w:ascii="Times New Roman" w:hAnsi="Times New Roman"/>
          <w:b w:val="0"/>
        </w:rPr>
        <w:t xml:space="preserve"> (cada chácara paga o mesmo valor, qualquer que seja a sua área), fixadas inicialmente em R$ </w:t>
      </w:r>
      <w:r>
        <w:rPr>
          <w:rFonts w:ascii="Times New Roman" w:hAnsi="Times New Roman"/>
          <w:b/>
          <w:color w:val="1F4E9A"/>
        </w:rPr>
        <w:t xml:space="preserve">{{emp_contribuicao_mensal}}</w:t>
      </w:r>
      <w:r>
        <w:rPr>
          <w:rFonts w:ascii="Times New Roman" w:hAnsi="Times New Roman"/>
          <w:b w:val="0"/>
        </w:rPr>
        <w:t xml:space="preserve"> por chácara; II — as contribuições extraordinárias aprovadas em Assembleia; III — a tarifa de água pelo consumo medido em hidrômetro individual, calculada pela média aritmética, faixa a faixa, das tarifas residenciais da CAEMA e do SAAE de Açailândia; IV — a taxa de reimpressão de carteirinhas; V — multas, doações, rendimentos e receitas de serviços.</w:t>
      </w:r>
    </w:p>
    <w:p>
      <w:pPr>
        <w:jc w:val="both"/>
      </w:pPr>
      <w:r>
        <w:rPr>
          <w:rFonts w:ascii="Times New Roman" w:hAnsi="Times New Roman"/>
          <w:b w:val="0"/>
        </w:rPr>
        <w:t xml:space="preserve">Art. 10. </w:t>
      </w:r>
      <w:r>
        <w:rPr>
          <w:rFonts w:ascii="Times New Roman" w:hAnsi="Times New Roman"/>
          <w:b/>
        </w:rPr>
        <w:t>Não incide fundo de reserva sobre as contribuições das chácaras.</w:t>
      </w:r>
      <w:r>
        <w:rPr>
          <w:rFonts w:ascii="Times New Roman" w:hAnsi="Times New Roman"/>
          <w:b w:val="0"/>
        </w:rPr>
        <w:t xml:space="preserve"> A reserva financeira da ASSOCIAÇÃO é constituída exclusivamente pelas receitas da área de recreação coletiva (Quadra F) — uso de quiosques, eventos de associados e similares —, aplicadas na manutenção e em emergências da própria área, conforme orçamento aprovado em Assembleia.</w:t>
      </w:r>
    </w:p>
    <w:p>
      <w:pPr>
        <w:jc w:val="both"/>
      </w:pPr>
      <w:r>
        <w:rPr>
          <w:rFonts w:ascii="Times New Roman" w:hAnsi="Times New Roman"/>
          <w:b w:val="0"/>
        </w:rPr>
        <w:t>Art. 11. O atraso sujeita o débito a correção pelo IPCA/IBGE, juros de 1% (um por cento) ao mês e multa de 2% (dois por cento), além das despesas de cobrança. A obrigação acompanha o lote e transmite-se ao adquirente (obrigação propter rem, na forma do contrato de aquisição registrado).</w:t>
      </w:r>
    </w:p>
    <w:p>
      <w:pPr>
        <w:keepNext/>
        <w:spacing w:before="180"/>
        <w:pBdr>
          <w:bottom w:val="single" w:sz="6" w:space="1" w:color="C9A84C"/>
        </w:pBdr>
      </w:pPr>
      <w:r>
        <w:rPr>
          <w:rFonts w:ascii="Times New Roman" w:hAnsi="Times New Roman"/>
          <w:b/>
          <w:color w:val="0C3320"/>
          <w:sz w:val="22"/>
        </w:rPr>
        <w:t>CAPÍTULO V — DOS ÓRGÃOS DA ASSOCIAÇÃO</w:t>
      </w:r>
    </w:p>
    <w:p>
      <w:pPr>
        <w:jc w:val="both"/>
      </w:pPr>
      <w:r>
        <w:rPr>
          <w:rFonts w:ascii="Times New Roman" w:hAnsi="Times New Roman"/>
          <w:b w:val="0"/>
        </w:rPr>
        <w:t>Art. 12. São órgãos da ASSOCIAÇÃO: I — a Assembleia Geral; II — a Diretoria (Presidente, Vice-Presidente, Secretário e Tesoureiro); III — o Conselho Deliberativo (3 membros); IV — o Conselho Fiscal (3 membros e 1 suplente). Os mandatos são de 2 (dois) anos, permitida uma reeleição consecutiva, e não são remunerados, admitida a contratação de administradora profissional.</w:t>
      </w:r>
    </w:p>
    <w:p>
      <w:pPr>
        <w:jc w:val="both"/>
      </w:pPr>
      <w:r>
        <w:rPr>
          <w:rFonts w:ascii="Times New Roman" w:hAnsi="Times New Roman"/>
          <w:b w:val="0"/>
        </w:rPr>
        <w:t>Art. 13. Compete privativamente à Assembleia Geral (Código Civil, art. 59): I — eleger e destituir os administradores; II — alterar o Estatuto; III — aprovar o orçamento anual, as contribuições e as contas; IV — aprovar o Regimento Interno e as Diretrizes de Uso e suas alterações; V — deliberar sobre a dissolução.</w:t>
      </w:r>
    </w:p>
    <w:p>
      <w:pPr>
        <w:jc w:val="both"/>
      </w:pPr>
      <w:r>
        <w:rPr>
          <w:rFonts w:ascii="Times New Roman" w:hAnsi="Times New Roman"/>
          <w:b w:val="0"/>
        </w:rPr>
        <w:t>Art. 14. A Assembleia Geral Ordinária reúne-se anualmente, até o mês de março, para aprovar as contas do exercício anterior e o orçamento; as Extraordinárias, sempre que necessário. Admite-se a realização em formato virtual ou híbrido, com identificação dos participantes e registro dos votos.</w:t>
      </w:r>
    </w:p>
    <w:p>
      <w:pPr>
        <w:jc w:val="both"/>
      </w:pPr>
      <w:r>
        <w:rPr>
          <w:rFonts w:ascii="Times New Roman" w:hAnsi="Times New Roman"/>
          <w:b w:val="0"/>
        </w:rPr>
        <w:t>Art. 15. A convocação é feita pelo Presidente, ou por 1/5 (um quinto) dos associados quites (Código Civil, art. 60), com antecedência mínima de 8 (oito) dias, por edital afixado na sede e enviado por e-mail ou WhatsApp, com a pauta.</w:t>
      </w:r>
    </w:p>
    <w:p>
      <w:pPr>
        <w:jc w:val="both"/>
      </w:pPr>
      <w:r>
        <w:rPr>
          <w:rFonts w:ascii="Times New Roman" w:hAnsi="Times New Roman"/>
          <w:b w:val="0"/>
        </w:rPr>
        <w:t>Art. 16. Quóruns: I — alteração do Estatuto, das Diretrizes de Uso e destituição de administradores: 2/3 (dois terços) dos presentes em assembleia especialmente convocada, com a presença mínima de 1/3 (um terço) dos associados em primeira convocação; II — obras voluptuárias: 2/3 (dois terços) dos associados; III — demais matérias: maioria simples dos presentes. Cada lote corresponde a um voto.</w:t>
      </w:r>
    </w:p>
    <w:p>
      <w:pPr>
        <w:jc w:val="both"/>
      </w:pPr>
      <w:r>
        <w:rPr>
          <w:rFonts w:ascii="Times New Roman" w:hAnsi="Times New Roman"/>
          <w:b w:val="0"/>
        </w:rPr>
        <w:t>Art. 17. Compete à Diretoria administrar a ASSOCIAÇÃO, executar o orçamento, contratar e demitir empregados e prestadores, representar a ASSOCIAÇÃO judicial e extrajudicialmente (pelo Presidente) e movimentar contas sempre com 2 (duas) assinaturas (Presidente e Tesoureiro).</w:t>
      </w:r>
    </w:p>
    <w:p>
      <w:pPr>
        <w:jc w:val="both"/>
      </w:pPr>
      <w:r>
        <w:rPr>
          <w:rFonts w:ascii="Times New Roman" w:hAnsi="Times New Roman"/>
          <w:b w:val="0"/>
        </w:rPr>
        <w:t>Art. 18. Compete ao Conselho Deliberativo aprovar projetos de edificação, aplicar penalidades e interpretar as Diretrizes de Uso; ao Conselho Fiscal, examinar as contas e emitir parecer prévio à Assembleia.</w:t>
      </w:r>
    </w:p>
    <w:p>
      <w:pPr>
        <w:keepNext/>
        <w:spacing w:before="180"/>
        <w:pBdr>
          <w:bottom w:val="single" w:sz="6" w:space="1" w:color="C9A84C"/>
        </w:pBdr>
      </w:pPr>
      <w:r>
        <w:rPr>
          <w:rFonts w:ascii="Times New Roman" w:hAnsi="Times New Roman"/>
          <w:b/>
          <w:color w:val="0C3320"/>
          <w:sz w:val="22"/>
        </w:rPr>
        <w:t>CAPÍTULO VI — DAS PENALIDADES</w:t>
      </w:r>
    </w:p>
    <w:p>
      <w:pPr>
        <w:jc w:val="both"/>
      </w:pPr>
      <w:r>
        <w:rPr>
          <w:rFonts w:ascii="Times New Roman" w:hAnsi="Times New Roman"/>
          <w:b w:val="0"/>
        </w:rPr>
        <w:t>Art. 19. A infração ao Estatuto, ao Regimento ou às Diretrizes de Uso sujeita o infrator, após notificação escrita com prazo para correção e direito de defesa, a: I — advertência; II — multa de até 5 (cinco) contribuições mensais; III — multa de até 10 (dez) contribuições mensais em caso de reincidência ou de conduta que comprometa a segurança, o sossego, a saúde ou o meio ambiente; sem prejuízo das perdas e danos e da exclusão do art. 6º. Cabe recurso à Assembleia em 15 (quinze) dias.</w:t>
      </w:r>
    </w:p>
    <w:p>
      <w:pPr>
        <w:keepNext/>
        <w:spacing w:before="180"/>
        <w:pBdr>
          <w:bottom w:val="single" w:sz="6" w:space="1" w:color="C9A84C"/>
        </w:pBdr>
      </w:pPr>
      <w:r>
        <w:rPr>
          <w:rFonts w:ascii="Times New Roman" w:hAnsi="Times New Roman"/>
          <w:b/>
          <w:color w:val="0C3320"/>
          <w:sz w:val="22"/>
        </w:rPr>
        <w:t>CAPÍTULO VII — DA GESTÃO, DAS CONTAS E DA TRANSPARÊNCIA</w:t>
      </w:r>
    </w:p>
    <w:p>
      <w:pPr>
        <w:jc w:val="both"/>
      </w:pPr>
      <w:r>
        <w:rPr>
          <w:rFonts w:ascii="Times New Roman" w:hAnsi="Times New Roman"/>
          <w:b w:val="0"/>
        </w:rPr>
        <w:t>Art. 20. O exercício social coincide com o ano civil. A Diretoria divulgará balancete mensal aos associados e submeterá as contas anuais, com parecer do Conselho Fiscal, à Assembleia Geral Ordinária.</w:t>
      </w:r>
    </w:p>
    <w:p>
      <w:pPr>
        <w:keepNext/>
        <w:spacing w:before="180"/>
        <w:pBdr>
          <w:bottom w:val="single" w:sz="6" w:space="1" w:color="C9A84C"/>
        </w:pBdr>
      </w:pPr>
      <w:r>
        <w:rPr>
          <w:rFonts w:ascii="Times New Roman" w:hAnsi="Times New Roman"/>
          <w:b/>
          <w:color w:val="0C3320"/>
          <w:sz w:val="22"/>
        </w:rPr>
        <w:t>CAPÍTULO VIII — DA ALTERAÇÃO, DA DISSOLUÇÃO E DAS DISPOSIÇÕES TRANSITÓRIAS</w:t>
      </w:r>
    </w:p>
    <w:p>
      <w:pPr>
        <w:jc w:val="both"/>
      </w:pPr>
      <w:r>
        <w:rPr>
          <w:rFonts w:ascii="Times New Roman" w:hAnsi="Times New Roman"/>
          <w:b w:val="0"/>
        </w:rPr>
        <w:t>Art. 21. A dissolução depende de deliberação de 2/3 (dois terços) dos associados em Assembleia especialmente convocada. O patrimônio líquido remanescente será destinado a entidade sem fins econômicos de finalidade idêntica ou semelhante, ou ao Município, mediante aceitação (Código Civil, art. 61).</w:t>
      </w:r>
    </w:p>
    <w:p>
      <w:pPr>
        <w:jc w:val="both"/>
      </w:pPr>
      <w:r>
        <w:rPr>
          <w:rFonts w:ascii="Times New Roman" w:hAnsi="Times New Roman"/>
          <w:b w:val="0"/>
        </w:rPr>
        <w:t xml:space="preserve">Art. 22. Até a alienação de </w:t>
      </w:r>
      <w:r>
        <w:rPr>
          <w:rFonts w:ascii="Times New Roman" w:hAnsi="Times New Roman"/>
          <w:b w:val="0"/>
          <w:color w:val="1F4E9A"/>
        </w:rPr>
        <w:t>{{est_percentual_transicao}}</w:t>
      </w:r>
      <w:r>
        <w:rPr>
          <w:rFonts w:ascii="Times New Roman" w:hAnsi="Times New Roman"/>
          <w:b w:val="0"/>
        </w:rPr>
        <w:t xml:space="preserve"> dos lotes ou a primeira Assembleia de instalação, o que ocorrer primeiro, a administração cabe à instituidora ou à administradora por ela indicada, que prestará contas na Assembleia de instalação.</w:t>
      </w:r>
    </w:p>
    <w:p>
      <w:pPr>
        <w:jc w:val="both"/>
      </w:pPr>
      <w:r>
        <w:rPr>
          <w:rFonts w:ascii="Times New Roman" w:hAnsi="Times New Roman"/>
          <w:b w:val="0"/>
        </w:rPr>
        <w:t xml:space="preserve">Art. 23. A Quadra F (área de vivência) tem o seguinte regime: </w:t>
      </w:r>
      <w:r>
        <w:rPr>
          <w:rFonts w:ascii="Times New Roman" w:hAnsi="Times New Roman"/>
          <w:b/>
          <w:color w:val="1F4E9A"/>
        </w:rPr>
        <w:t xml:space="preserve">{{emp_quadra_f_regime}}</w:t>
      </w:r>
      <w:r>
        <w:rPr>
          <w:rFonts w:ascii="Times New Roman" w:hAnsi="Times New Roman"/>
          <w:b w:val="0"/>
        </w:rPr>
        <w:t xml:space="preserve">. O uso da APP limita-se à trilha, aos pontos de banho e ao núcleo de apoio autorizados pelo órgão ambiental (Lei n.º 12.651/2012).</w:t>
      </w:r>
    </w:p>
    <w:p>
      <w:pPr>
        <w:jc w:val="both"/>
      </w:pPr>
      <w:r>
        <w:rPr>
          <w:rFonts w:ascii="Times New Roman" w:hAnsi="Times New Roman"/>
          <w:b w:val="0"/>
        </w:rPr>
        <w:t xml:space="preserve">§ 1º </w:t>
      </w:r>
      <w:r>
        <w:rPr>
          <w:rFonts w:ascii="Times New Roman" w:hAnsi="Times New Roman"/>
          <w:b/>
        </w:rPr>
        <w:t xml:space="preserve">Espaços de uso exclusivo.</w:t>
      </w:r>
      <w:r>
        <w:rPr>
          <w:rFonts w:ascii="Times New Roman" w:hAnsi="Times New Roman"/>
          <w:b w:val="0"/>
        </w:rPr>
        <w:t xml:space="preserve"> Fora da APP e somente em área já aberta, sem supressão de vegetação nativa, cada chácara tem direito a um espaço de uso exclusivo de </w:t>
      </w:r>
      <w:r>
        <w:rPr>
          <w:rFonts w:ascii="Times New Roman" w:hAnsi="Times New Roman"/>
          <w:b/>
          <w:color w:val="1F4E9A"/>
        </w:rPr>
        <w:t xml:space="preserve">{{emp_area_recreacao_m2}}</w:t>
      </w:r>
      <w:r>
        <w:rPr>
          <w:rFonts w:ascii="Times New Roman" w:hAnsi="Times New Roman"/>
          <w:b w:val="0"/>
        </w:rPr>
        <w:t xml:space="preserve"> m² na Quadra F, identificado e numerado em planta aprovada pela ASSOCIAÇÃO, vinculado à unidade e transmitido com ela. A ASSOCIAÇÃO disponibiliza em cada espaço uma tenda e uma churrasqueira; outras benfeitorias limitam-se a estruturas leves e removíveis (cabana ou quiosque de madeira, sem fundação de alvenaria), às expensas do associado e mediante aprovação prévia do Conselho Deliberativo; banheiro, somente com fossa séptica e sumidouro a no mínimo 15,00 m do córrego. São vedadas edificações permanentes (casa, chalé ou similar). As benfeitorias não geram direito de propriedade sobre a área nem de indenização.</w:t>
      </w:r>
    </w:p>
    <w:p>
      <w:pPr>
        <w:jc w:val="both"/>
      </w:pPr>
      <w:r>
        <w:rPr>
          <w:rFonts w:ascii="Times New Roman" w:hAnsi="Times New Roman"/>
          <w:b w:val="0"/>
        </w:rPr>
        <w:t xml:space="preserve">§ 2º </w:t>
      </w:r>
      <w:r>
        <w:rPr>
          <w:rFonts w:ascii="Times New Roman" w:hAnsi="Times New Roman"/>
          <w:b/>
        </w:rPr>
        <w:t xml:space="preserve">Reserva de preservação.</w:t>
      </w:r>
      <w:r>
        <w:rPr>
          <w:rFonts w:ascii="Times New Roman" w:hAnsi="Times New Roman"/>
          <w:b w:val="0"/>
        </w:rPr>
        <w:t xml:space="preserve"> A Quadra F, incluída a APP do córrego, destina-se à preservação da flora e da fauna nativas e ao lazer de baixo impacto, sendo proibidos: I — desmatar, cortar, podar de forma drástica ou danificar a vegetação nativa, ou impedir sua regeneração; II — caçar, capturar, perseguir ou molestar animais silvestres, soltar animais e retirar plantas, sementes ou minerais; III — pescar de forma predatória ou com redes, explosivos ou substâncias tóxicas; IV — fazer fogo fora das churrasqueiras disponibilizadas, que manterão aceiro ao redor; V — usar sabão, xampu ou qualquer produto no córrego, lançar lixo, efluentes ou resíduos e alterar o leito ou as margens; VI — abrir trilhas, acessos ou clareiras sem autorização da ASSOCIAÇÃO e, quando exigido, do órgão ambiental; VII — produzir som em volume que perturbe a fauna e os demais usuários. O uso do córrego limita-se ao banho e à recreação de baixo impacto (Lei n.º 12.651/2012, arts. 3º, X, 8º e 9º).</w:t>
      </w:r>
    </w:p>
    <w:p>
      <w:pPr>
        <w:jc w:val="both"/>
      </w:pPr>
      <w:r>
        <w:rPr>
          <w:rFonts w:ascii="Times New Roman" w:hAnsi="Times New Roman"/>
          <w:b w:val="0"/>
        </w:rPr>
        <w:t xml:space="preserve">§ 3º A infração ao § 2º é considerada conduta que compromete o meio ambiente (art. 19, III) e obriga o infrator, além da multa, a recompor o dano às suas expensas, sem prejuízo das sanções administrativas e penais (Lei n.º 9.605/1998). O regime deste artigo constitui restrição convencional averbada nas matrículas e só pode ser alterado por 2/3 (dois terços) dos associados, preservada sempre a proteção ambiental.</w:t>
      </w:r>
    </w:p>
    <w:p>
      <w:pPr>
        <w:jc w:val="both"/>
      </w:pPr>
      <w:r>
        <w:rPr>
          <w:rFonts w:ascii="Times New Roman" w:hAnsi="Times New Roman"/>
          <w:b w:val="0"/>
        </w:rPr>
        <w:t>Art. 24. Este Estatuto será registrado no Cartório de Registro Civil das Pessoas Jurídicas e averbado na matrícula do empreendimento, para os fins do art. 36-A, parágrafo único, da Lei n.º 6.766/1979.</w:t>
      </w:r>
    </w:p>
    <w:p>
      <w:r>
        <w:br w:type="page"/>
      </w:r>
    </w:p>
    <w:p>
      <w:pPr>
        <w:spacing w:before="120"/>
        <w:jc w:val="center"/>
      </w:pPr>
      <w:r>
        <w:rPr>
          <w:rFonts w:ascii="Times New Roman" w:hAnsi="Times New Roman"/>
          <w:b/>
          <w:color w:val="0C3320"/>
          <w:sz w:val="26"/>
        </w:rPr>
        <w:t>REGIMENTO INTERNO</w:t>
      </w:r>
    </w:p>
    <w:p>
      <w:pPr>
        <w:jc w:val="center"/>
      </w:pPr>
      <w:r>
        <w:rPr>
          <w:rFonts w:ascii="Times New Roman" w:hAnsi="Times New Roman"/>
          <w:b w:val="0"/>
          <w:color w:val="555555"/>
          <w:sz w:val="20"/>
        </w:rPr>
        <w:t>Normas de convivência, obras, saneamento e meio ambiente — complementado pelas Diretrizes de Uso (checklist assinado pela instituidora)</w:t>
      </w:r>
    </w:p>
    <w:p>
      <w:pPr>
        <w:keepNext/>
        <w:spacing w:before="180"/>
        <w:pBdr>
          <w:bottom w:val="single" w:sz="6" w:space="1" w:color="C9A84C"/>
        </w:pBdr>
      </w:pPr>
      <w:r>
        <w:rPr>
          <w:rFonts w:ascii="Times New Roman" w:hAnsi="Times New Roman"/>
          <w:b/>
          <w:color w:val="0C3320"/>
          <w:sz w:val="22"/>
        </w:rPr>
        <w:t>I — DO USO DAS CHÁCARAS</w:t>
      </w:r>
    </w:p>
    <w:p>
      <w:pPr>
        <w:jc w:val="both"/>
      </w:pPr>
      <w:r>
        <w:rPr>
          <w:rFonts w:ascii="Times New Roman" w:hAnsi="Times New Roman"/>
          <w:b w:val="0"/>
        </w:rPr>
        <w:t>0. Cercas, muros, edificações, criações e plantios só são permitidos após a liberação de uso pela administração (quitação da entrada e pagamento da 3ª parcela do saldo, conforme o contrato de aquisição).</w:t>
      </w:r>
    </w:p>
    <w:p>
      <w:pPr>
        <w:jc w:val="both"/>
      </w:pPr>
      <w:r>
        <w:rPr>
          <w:rFonts w:ascii="Times New Roman" w:hAnsi="Times New Roman"/>
          <w:b w:val="0"/>
        </w:rPr>
        <w:t>1. As chácaras destinam-se a uso residencial e de recreio, admitidas as atividades rurais de pequeno porte autorizadas nas Diretrizes de Uso. É vedado: indústria, depósito de materiais perigosos, ferro-velho, matadouro, atividade incômoda, insalubre ou perigosa; desmembramento ou desdobro; uso de fogo para limpeza ou queima de lixo; lançamento de efluentes ou resíduos em vias, áreas comuns, APP ou terrenos vizinhos.</w:t>
      </w:r>
    </w:p>
    <w:p>
      <w:pPr>
        <w:keepNext/>
        <w:spacing w:before="180"/>
        <w:pBdr>
          <w:bottom w:val="single" w:sz="6" w:space="1" w:color="C9A84C"/>
        </w:pBdr>
      </w:pPr>
      <w:r>
        <w:rPr>
          <w:rFonts w:ascii="Times New Roman" w:hAnsi="Times New Roman"/>
          <w:b/>
          <w:color w:val="0C3320"/>
          <w:sz w:val="22"/>
        </w:rPr>
        <w:t>II — DAS EDIFICAÇÕES E OBRAS</w:t>
      </w:r>
    </w:p>
    <w:p>
      <w:pPr>
        <w:jc w:val="both"/>
      </w:pPr>
      <w:r>
        <w:rPr>
          <w:rFonts w:ascii="Times New Roman" w:hAnsi="Times New Roman"/>
          <w:b w:val="0"/>
        </w:rPr>
        <w:t xml:space="preserve">2. Toda construção depende de aprovação prévia do projeto pelo Conselho Deliberativo (prazo de 30 dias) e de alvará municipal. Parâmetros (padrão usual de condomínios de chácaras): </w:t>
      </w:r>
      <w:r>
        <w:rPr>
          <w:rFonts w:ascii="Times New Roman" w:hAnsi="Times New Roman"/>
          <w:b/>
        </w:rPr>
        <w:t>recuo frontal mínimo de 10,00 m; recuos laterais e de fundos mínimos de 5,00 m; taxa de ocupação máxima de 30%; coeficiente de aproveitamento máximo de 0,60; taxa de permeabilidade mínima de 50%; até 2 pavimentos, com altura máxima de 9,00 m</w:t>
      </w:r>
      <w:r>
        <w:rPr>
          <w:rFonts w:ascii="Times New Roman" w:hAnsi="Times New Roman"/>
          <w:b w:val="0"/>
        </w:rPr>
        <w:t>; edícula/casa de caseiro e galpão observam os mesmos recuos; pocilgas, aviários e baias a, no mínimo, 30,00 m das divisas e 50,00 m de residências vizinhas. Fechamento frontal em mureta com alambrado ou mourões de madeira tratada, altura máxima de 2,00 m.</w:t>
      </w:r>
    </w:p>
    <w:p>
      <w:pPr>
        <w:jc w:val="both"/>
      </w:pPr>
      <w:r>
        <w:rPr>
          <w:rFonts w:ascii="Times New Roman" w:hAnsi="Times New Roman"/>
          <w:b w:val="0"/>
        </w:rPr>
        <w:t>3. Obras de segunda a sexta-feira, das 7h às 17h, e aos sábados, das 7h às 12h. Entulho removido pelo proprietário; vedado depositar material nas vias por mais de 48 horas (PGRCC da licença ambiental).</w:t>
      </w:r>
    </w:p>
    <w:p>
      <w:pPr>
        <w:keepNext/>
        <w:spacing w:before="180"/>
        <w:pBdr>
          <w:bottom w:val="single" w:sz="6" w:space="1" w:color="C9A84C"/>
        </w:pBdr>
      </w:pPr>
      <w:r>
        <w:rPr>
          <w:rFonts w:ascii="Times New Roman" w:hAnsi="Times New Roman"/>
          <w:b/>
          <w:color w:val="0C3320"/>
          <w:sz w:val="22"/>
        </w:rPr>
        <w:t>III — DO SANEAMENTO E DA ÁGUA</w:t>
      </w:r>
    </w:p>
    <w:p>
      <w:pPr>
        <w:jc w:val="both"/>
      </w:pPr>
      <w:r>
        <w:rPr>
          <w:rFonts w:ascii="Times New Roman" w:hAnsi="Times New Roman"/>
          <w:b w:val="0"/>
        </w:rPr>
        <w:t>4. Toda edificação terá fossa séptica e sumidouro (ABNT NBR 7229 e NBR 13969), implantados antes da ocupação, com afastamento mínimo de 15 m de poços e de 30 m do córrego, com caixas de inspeção, gordura e sifonadas pré-fabricadas. É proibido lançar esgoto em vias, sarjetas ou áreas comuns.</w:t>
      </w:r>
    </w:p>
    <w:p>
      <w:pPr>
        <w:jc w:val="both"/>
      </w:pPr>
      <w:r>
        <w:rPr>
          <w:rFonts w:ascii="Times New Roman" w:hAnsi="Times New Roman"/>
          <w:b w:val="0"/>
        </w:rPr>
        <w:t xml:space="preserve">5. O abastecimento é feito pela rede coletiva, com ponto de alimentação na frente de cada chácara. O hidrômetro e o cavalete são adquiridos e instalados pelo associado, que solicita a ligação à ASSOCIAÇÃO; o consumo é faturado mensalmente, em fatura impressa, pela média das tarifas residenciais da CAEMA e do SAAE de Açailândia. Poço individual depende de autorização da ASSOCIAÇÃO e de outorga estadual; é proibida a interligação de fontes próprias à rede.</w:t>
      </w:r>
    </w:p>
    <w:p>
      <w:pPr>
        <w:keepNext/>
        <w:spacing w:before="180"/>
        <w:pBdr>
          <w:bottom w:val="single" w:sz="6" w:space="1" w:color="C9A84C"/>
        </w:pBdr>
      </w:pPr>
      <w:r>
        <w:rPr>
          <w:rFonts w:ascii="Times New Roman" w:hAnsi="Times New Roman"/>
          <w:b/>
          <w:color w:val="0C3320"/>
          <w:sz w:val="22"/>
        </w:rPr>
        <w:t>IV — DOS ANIMAIS</w:t>
      </w:r>
    </w:p>
    <w:p>
      <w:pPr>
        <w:jc w:val="both"/>
      </w:pPr>
      <w:r>
        <w:rPr>
          <w:rFonts w:ascii="Times New Roman" w:hAnsi="Times New Roman"/>
          <w:b w:val="0"/>
        </w:rPr>
        <w:t>6. A criação de animais observa as espécies, quantidades, instalações e afastamentos das Diretrizes de Uso, com animais confinados ou em piquetes cercados, dejetos tratados e controle sanitário em dia. Cães nas vias somente com guia e recolhimento de dejetos.</w:t>
      </w:r>
    </w:p>
    <w:p>
      <w:pPr>
        <w:keepNext/>
        <w:spacing w:before="180"/>
        <w:pBdr>
          <w:bottom w:val="single" w:sz="6" w:space="1" w:color="C9A84C"/>
        </w:pBdr>
      </w:pPr>
      <w:r>
        <w:rPr>
          <w:rFonts w:ascii="Times New Roman" w:hAnsi="Times New Roman"/>
          <w:b/>
          <w:color w:val="0C3320"/>
          <w:sz w:val="22"/>
        </w:rPr>
        <w:t>V — DO SOSSEGO, DA SEGURANÇA E DA CIRCULAÇÃO</w:t>
      </w:r>
    </w:p>
    <w:p>
      <w:pPr>
        <w:jc w:val="both"/>
      </w:pPr>
      <w:r>
        <w:rPr>
          <w:rFonts w:ascii="Times New Roman" w:hAnsi="Times New Roman"/>
          <w:b w:val="0"/>
        </w:rPr>
        <w:t>7. Respeito aos limites de ruído da ABNT NBR 10151; silêncio das 22h às 7h. Velocidade máxima de 20 km/h nas vias. Visitantes e prestadores são identificados na portaria; o controle de acesso não impede a entrada de pessoas identificadas (Lei n.º 6.766/1979, art. 2º, § 8º).</w:t>
      </w:r>
    </w:p>
    <w:p>
      <w:pPr>
        <w:jc w:val="both"/>
      </w:pPr>
      <w:r>
        <w:rPr>
          <w:rFonts w:ascii="Times New Roman" w:hAnsi="Times New Roman"/>
          <w:b w:val="0"/>
        </w:rPr>
        <w:t xml:space="preserve">7.1. </w:t>
      </w:r>
      <w:r>
        <w:rPr>
          <w:rFonts w:ascii="Times New Roman" w:hAnsi="Times New Roman"/>
          <w:b/>
        </w:rPr>
        <w:t>Carteira de chacreiro.</w:t>
      </w:r>
      <w:r>
        <w:rPr>
          <w:rFonts w:ascii="Times New Roman" w:hAnsi="Times New Roman"/>
          <w:b w:val="0"/>
        </w:rPr>
        <w:t xml:space="preserve"> Cada chácara tem direito à carteira do titular e de </w:t>
      </w:r>
      <w:r>
        <w:rPr>
          <w:rFonts w:ascii="Times New Roman" w:hAnsi="Times New Roman"/>
          <w:b/>
        </w:rPr>
        <w:t>até 6 (seis) dependentes</w:t>
      </w:r>
      <w:r>
        <w:rPr>
          <w:rFonts w:ascii="Times New Roman" w:hAnsi="Times New Roman"/>
          <w:b w:val="0"/>
        </w:rPr>
        <w:t>, por ele indicados no cadastro (nome, parentesco, documento e foto), emitidas pela administração. A carteira dá acesso às áreas comuns e à área de vivência (Quadra F) e deve ser apresentada na portaria. Cada chácara pode cadastrar na portaria até 3 (três) veículos.</w:t>
      </w:r>
      <w:r>
        <w:rPr>
          <w:rFonts w:ascii="Times New Roman" w:hAnsi="Times New Roman"/>
          <w:b w:val="0"/>
        </w:rPr>
        <w:t xml:space="preserve"> A primeira via das carteiras é gratuita; a reimpressão por perda, extravio, dano ou inclusão posterior de dependente custa R$ </w:t>
      </w:r>
      <w:r>
        <w:rPr>
          <w:rFonts w:ascii="Times New Roman" w:hAnsi="Times New Roman"/>
          <w:b/>
          <w:color w:val="1F4E9A"/>
        </w:rPr>
        <w:t xml:space="preserve">{{emp_taxa_carteirinha}}</w:t>
      </w:r>
      <w:r>
        <w:rPr>
          <w:rFonts w:ascii="Times New Roman" w:hAnsi="Times New Roman"/>
          <w:b w:val="0"/>
        </w:rPr>
        <w:t xml:space="preserve"> por carteira.</w:t>
      </w:r>
    </w:p>
    <w:p>
      <w:pPr>
        <w:jc w:val="both"/>
      </w:pPr>
      <w:r>
        <w:rPr>
          <w:rFonts w:ascii="Times New Roman" w:hAnsi="Times New Roman"/>
          <w:b w:val="0"/>
        </w:rPr>
        <w:t xml:space="preserve">7.2. </w:t>
      </w:r>
      <w:r>
        <w:rPr>
          <w:rFonts w:ascii="Times New Roman" w:hAnsi="Times New Roman"/>
          <w:b/>
        </w:rPr>
        <w:t>Visitantes e eventos.</w:t>
      </w:r>
      <w:r>
        <w:rPr>
          <w:rFonts w:ascii="Times New Roman" w:hAnsi="Times New Roman"/>
          <w:b w:val="0"/>
        </w:rPr>
        <w:t xml:space="preserve"> O acesso de convidados às áreas comuns e à área de vivência, e a realização de eventos na chácara ou nas áreas comuns, dependem de </w:t>
      </w:r>
      <w:r>
        <w:rPr>
          <w:rFonts w:ascii="Times New Roman" w:hAnsi="Times New Roman"/>
          <w:b/>
        </w:rPr>
        <w:t>autorização prévia da administração</w:t>
      </w:r>
      <w:r>
        <w:rPr>
          <w:rFonts w:ascii="Times New Roman" w:hAnsi="Times New Roman"/>
          <w:b w:val="0"/>
        </w:rPr>
        <w:t>, solicitada pelo associado com antecedência mínima de 48 horas, indicando data, horário e lista nominal de convidados, observado o limite de convidados por evento fixado pela administração ou pela Assembleia. Cada convidado recebe crachá de visitante numerado, devolvido na saída, e o associado responde pelos atos de seus convidados.</w:t>
      </w:r>
    </w:p>
    <w:p>
      <w:pPr>
        <w:jc w:val="both"/>
      </w:pPr>
      <w:r>
        <w:rPr>
          <w:rFonts w:ascii="Times New Roman" w:hAnsi="Times New Roman"/>
          <w:b w:val="0"/>
        </w:rPr>
        <w:t>7.3. A carteira e o crachá são pessoais e intransferíveis. O uso indevido sujeita o associado às penalidades do Estatuto e ao recolhimento das carteiras.</w:t>
      </w:r>
    </w:p>
    <w:p>
      <w:pPr>
        <w:keepNext/>
        <w:spacing w:before="180"/>
        <w:pBdr>
          <w:bottom w:val="single" w:sz="6" w:space="1" w:color="C9A84C"/>
        </w:pBdr>
      </w:pPr>
      <w:r>
        <w:rPr>
          <w:rFonts w:ascii="Times New Roman" w:hAnsi="Times New Roman"/>
          <w:b/>
          <w:color w:val="0C3320"/>
          <w:sz w:val="22"/>
        </w:rPr>
        <w:t>VI — DO MEIO AMBIENTE</w:t>
      </w:r>
    </w:p>
    <w:p>
      <w:pPr>
        <w:jc w:val="both"/>
      </w:pPr>
      <w:r>
        <w:rPr>
          <w:rFonts w:ascii="Times New Roman" w:hAnsi="Times New Roman"/>
          <w:b w:val="0"/>
        </w:rPr>
        <w:t xml:space="preserve">8. É vedada a supressão de vegetação nativa na APP e na Quadra F, a caça, a pesca predatória, o uso de fogos com estampido e o despejo de resíduos; na Quadra F valem ainda as proibições do art. 23, § 2º (reserva de preservação). Agrotóxicos somente com receituário agronômico e a mais de 30 m do córrego.</w:t>
      </w:r>
    </w:p>
    <w:p>
      <w:pPr>
        <w:jc w:val="center"/>
      </w:pPr>
      <w:r>
        <w:rPr>
          <w:rFonts w:ascii="Times New Roman" w:hAnsi="Times New Roman"/>
          <w:b w:val="0"/>
        </w:rPr>
        <w:t xml:space="preserve">Açailândia/MA, </w:t>
      </w:r>
      <w:r>
        <w:rPr>
          <w:rFonts w:ascii="Times New Roman" w:hAnsi="Times New Roman"/>
          <w:b w:val="0"/>
          <w:color w:val="1F4E9A"/>
        </w:rPr>
        <w:t>{{est_data_extenso}}</w:t>
      </w:r>
      <w:r>
        <w:rPr>
          <w:rFonts w:ascii="Times New Roman" w:hAnsi="Times New Roman"/>
          <w:b w:val="0"/>
        </w:rPr>
        <w:t>.</w:t>
      </w:r>
    </w:p>
    <w:p>
      <w:pPr>
        <w:keepNext/>
        <w:spacing w:before="400"/>
        <w:jc w:val="center"/>
      </w:pPr>
      <w:r>
        <w:t>__________________________________________________________</w:t>
      </w:r>
    </w:p>
    <w:p>
      <w:pPr>
        <w:keepNext/>
        <w:spacing w:after="0"/>
        <w:jc w:val="center"/>
      </w:pPr>
      <w:r>
        <w:rPr>
          <w:rFonts w:ascii="Times New Roman" w:hAnsi="Times New Roman"/>
          <w:b/>
          <w:color w:val="1F4E9A"/>
          <w:sz w:val="22"/>
        </w:rPr>
        <w:t>{{inst_nome}}</w:t>
      </w:r>
    </w:p>
    <w:p>
      <w:pPr>
        <w:spacing w:after="0"/>
        <w:jc w:val="center"/>
      </w:pPr>
      <w:r>
        <w:rPr>
          <w:rFonts w:ascii="Times New Roman" w:hAnsi="Times New Roman"/>
          <w:b w:val="0"/>
          <w:sz w:val="18"/>
        </w:rPr>
        <w:t xml:space="preserve">INSTITUIDORA — </w:t>
      </w:r>
      <w:r>
        <w:rPr>
          <w:rFonts w:ascii="Times New Roman" w:hAnsi="Times New Roman"/>
          <w:b w:val="0"/>
          <w:color w:val="1F4E9A"/>
          <w:sz w:val="18"/>
        </w:rPr>
        <w:t>{{inst_documento}}</w:t>
      </w:r>
    </w:p>
    <w:p>
      <w:pPr>
        <w:keepNext/>
        <w:spacing w:before="400"/>
        <w:jc w:val="center"/>
      </w:pPr>
      <w:r>
        <w:t>__________________________________________________________</w:t>
      </w:r>
    </w:p>
    <w:p>
      <w:pPr>
        <w:keepNext/>
        <w:spacing w:after="0"/>
        <w:jc w:val="center"/>
      </w:pPr>
      <w:r>
        <w:rPr>
          <w:rFonts w:ascii="Times New Roman" w:hAnsi="Times New Roman"/>
          <w:b/>
          <w:color w:val="0C3320"/>
          <w:sz w:val="22"/>
        </w:rPr>
        <w:t>JOSÉ ROMÁRIO PINTO BEZERRA</w:t>
      </w:r>
    </w:p>
    <w:p>
      <w:pPr>
        <w:keepNext/>
        <w:spacing w:after="0"/>
        <w:jc w:val="center"/>
      </w:pPr>
      <w:r>
        <w:rPr>
          <w:rFonts w:ascii="Times New Roman" w:hAnsi="Times New Roman"/>
          <w:b w:val="0"/>
          <w:sz w:val="18"/>
        </w:rPr>
        <w:t>Elaboração técnica — Romatec Consultoria Total, CNPJ 17.261.987/0001-09</w:t>
      </w:r>
    </w:p>
    <w:p>
      <w:pPr>
        <w:spacing w:after="0"/>
        <w:jc w:val="center"/>
      </w:pPr>
      <w:r>
        <w:rPr>
          <w:rFonts w:ascii="Times New Roman" w:hAnsi="Times New Roman"/>
          <w:b w:val="0"/>
          <w:sz w:val="18"/>
        </w:rPr>
        <w:t>CFT/MA 01209185369 · INCRA FQNS · CNAI 031161 · CRECI/MA 4.705</w:t>
      </w:r>
    </w:p>
    <w:p>
      <w:pPr>
        <w:jc w:val="left"/>
      </w:pPr>
      <w:r>
        <w:rPr>
          <w:rFonts w:ascii="Times New Roman" w:hAnsi="Times New Roman"/>
          <w:b w:val="0"/>
          <w:sz w:val="19"/>
        </w:rPr>
        <w:t xml:space="preserve">Visto do(a) advogado(a) (Lei n.º 8.906/1994, art. 1º, § 2º): ______________________ OAB/MA n.º </w:t>
      </w:r>
      <w:r>
        <w:rPr>
          <w:rFonts w:ascii="Times New Roman" w:hAnsi="Times New Roman"/>
          <w:b w:val="0"/>
          <w:color w:val="1F4E9A"/>
          <w:sz w:val="19"/>
        </w:rPr>
        <w:t>{{est_oab_advogado}}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928" w:right="1134" w:bottom="1361" w:left="1417" w:header="454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20"/>
      <w:jc w:val="center"/>
    </w:pPr>
    <w:r>
      <w:drawing>
        <wp:inline xmlns:a="http://schemas.openxmlformats.org/drawingml/2006/main" xmlns:pic="http://schemas.openxmlformats.org/drawingml/2006/picture">
          <wp:extent cx="5940000" cy="27324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rodape_bom_jardims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0000" cy="273240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center"/>
    </w:pPr>
    <w:r>
      <w:rPr>
        <w:rFonts w:ascii="Times New Roman" w:hAnsi="Times New Roman"/>
        <w:sz w:val="15"/>
      </w:rPr>
      <w:t xml:space="preserve">Estatuto da Associação — Condomínio de Chácaras Bom Jardims · Página </w:t>
    </w:r>
    <w:fldSimple w:instr="PAGE">
      <w:r>
        <w:rPr>
          <w:sz w:val="15"/>
        </w:rPr>
        <w:t>1</w:t>
      </w:r>
    </w:fldSimple>
    <w:r>
      <w:rPr>
        <w:sz w:val="15"/>
      </w:rPr>
      <w:t xml:space="preserve"> de </w:t>
    </w:r>
    <w:fldSimple w:instr="NUMPAGES">
      <w:r>
        <w:rPr>
          <w:sz w:val="15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center"/>
    </w:pPr>
    <w:r>
      <w:drawing>
        <wp:inline xmlns:a="http://schemas.openxmlformats.org/drawingml/2006/main" xmlns:pic="http://schemas.openxmlformats.org/drawingml/2006/picture">
          <wp:extent cx="5940000" cy="891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cabecalho_bom_jardims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0000" cy="891000"/>
                  </a:xfrm>
                  <a:prstGeom prst="rect"/>
                </pic:spPr>
              </pic:pic>
            </a:graphicData>
          </a:graphic>
        </wp:inline>
      </w:drawing>
    </w:r>
  </w:p>
  <w:p>
    <w:r>
      <w:drawing>
        <wp:anchor distT="0" distB="0" distL="0" distR="0" simplePos="0" relativeHeight="0" behindDoc="1" locked="1" layoutInCell="1" allowOverlap="1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5220000" cy="2936250"/>
          <wp:effectExtent l="0" t="0" r="0" b="0"/>
          <wp:wrapNone/>
          <wp:docPr id="2" name="Picture 2"/>
          <wp:cNvGraphicFramePr xmlns:a="http://schemas.openxmlformats.org/drawingml/2006/main">
            <a:graphicFrameLocks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marca_dagua_bom_jardims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5220000" cy="2932691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