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spacing w:after="0"/>
        <w:jc w:val="center"/>
      </w:pPr>
      <w:r w:rsidRPr="00E6159E">
        <w:t>Дніпро</w:t>
      </w:r>
    </w:p>
    <w:p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:rsidR="00182E86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DC18C7">
            <w:fldChar w:fldCharType="begin"/>
          </w:r>
          <w:r w:rsidRPr="00DC18C7">
            <w:instrText xml:space="preserve"> TOC \o "1-3" \h \z \u </w:instrText>
          </w:r>
          <w:r w:rsidRPr="00DC18C7">
            <w:fldChar w:fldCharType="separate"/>
          </w:r>
          <w:bookmarkStart w:id="1" w:name="_GoBack"/>
          <w:bookmarkEnd w:id="1"/>
          <w:r w:rsidR="00182E86" w:rsidRPr="002E41B8">
            <w:rPr>
              <w:rStyle w:val="ad"/>
              <w:noProof/>
            </w:rPr>
            <w:fldChar w:fldCharType="begin"/>
          </w:r>
          <w:r w:rsidR="00182E86" w:rsidRPr="002E41B8">
            <w:rPr>
              <w:rStyle w:val="ad"/>
              <w:noProof/>
            </w:rPr>
            <w:instrText xml:space="preserve"> </w:instrText>
          </w:r>
          <w:r w:rsidR="00182E86">
            <w:rPr>
              <w:noProof/>
            </w:rPr>
            <w:instrText>HYPERLINK \l "_Toc166846778"</w:instrText>
          </w:r>
          <w:r w:rsidR="00182E86" w:rsidRPr="002E41B8">
            <w:rPr>
              <w:rStyle w:val="ad"/>
              <w:noProof/>
            </w:rPr>
            <w:instrText xml:space="preserve"> </w:instrText>
          </w:r>
          <w:r w:rsidR="00182E86" w:rsidRPr="002E41B8">
            <w:rPr>
              <w:rStyle w:val="ad"/>
              <w:noProof/>
            </w:rPr>
          </w:r>
          <w:r w:rsidR="00182E86" w:rsidRPr="002E41B8">
            <w:rPr>
              <w:rStyle w:val="ad"/>
              <w:noProof/>
            </w:rPr>
            <w:fldChar w:fldCharType="separate"/>
          </w:r>
          <w:r w:rsidR="00182E86" w:rsidRPr="002E41B8">
            <w:rPr>
              <w:rStyle w:val="ad"/>
              <w:noProof/>
            </w:rPr>
            <w:t>ВСТУП</w:t>
          </w:r>
          <w:r w:rsidR="00182E86">
            <w:rPr>
              <w:noProof/>
              <w:webHidden/>
            </w:rPr>
            <w:tab/>
          </w:r>
          <w:r w:rsidR="00182E86">
            <w:rPr>
              <w:noProof/>
              <w:webHidden/>
            </w:rPr>
            <w:fldChar w:fldCharType="begin"/>
          </w:r>
          <w:r w:rsidR="00182E86">
            <w:rPr>
              <w:noProof/>
              <w:webHidden/>
            </w:rPr>
            <w:instrText xml:space="preserve"> PAGEREF _Toc166846778 \h </w:instrText>
          </w:r>
          <w:r w:rsidR="00182E86">
            <w:rPr>
              <w:noProof/>
              <w:webHidden/>
            </w:rPr>
          </w:r>
          <w:r w:rsidR="00182E86">
            <w:rPr>
              <w:noProof/>
              <w:webHidden/>
            </w:rPr>
            <w:fldChar w:fldCharType="separate"/>
          </w:r>
          <w:r w:rsidR="00182E86">
            <w:rPr>
              <w:noProof/>
              <w:webHidden/>
            </w:rPr>
            <w:t>3</w:t>
          </w:r>
          <w:r w:rsidR="00182E86">
            <w:rPr>
              <w:noProof/>
              <w:webHidden/>
            </w:rPr>
            <w:fldChar w:fldCharType="end"/>
          </w:r>
          <w:r w:rsidR="00182E86" w:rsidRPr="002E41B8">
            <w:rPr>
              <w:rStyle w:val="ad"/>
              <w:noProof/>
            </w:rPr>
            <w:fldChar w:fldCharType="end"/>
          </w:r>
        </w:p>
        <w:p w:rsidR="00182E86" w:rsidRDefault="00182E8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79" w:history="1">
            <w:r w:rsidRPr="002E41B8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0" w:history="1">
            <w:r w:rsidRPr="002E41B8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1" w:history="1">
            <w:r w:rsidRPr="002E41B8">
              <w:rPr>
                <w:rStyle w:val="ad"/>
                <w:noProof/>
              </w:rPr>
              <w:t>РОЗДІЛ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2" w:history="1">
            <w:r w:rsidRPr="002E41B8">
              <w:rPr>
                <w:rStyle w:val="ad"/>
                <w:rFonts w:eastAsiaTheme="majorEastAsia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3" w:history="1">
            <w:r w:rsidRPr="002E41B8">
              <w:rPr>
                <w:rStyle w:val="ad"/>
                <w:rFonts w:eastAsiaTheme="majorEastAsia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4" w:history="1">
            <w:r w:rsidRPr="002E41B8">
              <w:rPr>
                <w:rStyle w:val="ad"/>
                <w:rFonts w:eastAsiaTheme="majorEastAsia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5" w:history="1">
            <w:r w:rsidRPr="002E41B8">
              <w:rPr>
                <w:rStyle w:val="ad"/>
                <w:rFonts w:eastAsiaTheme="majorEastAsia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6" w:history="1">
            <w:r w:rsidRPr="002E41B8">
              <w:rPr>
                <w:rStyle w:val="ad"/>
                <w:noProof/>
              </w:rPr>
              <w:t>РОЗДІЛ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7" w:history="1">
            <w:r w:rsidRPr="002E41B8">
              <w:rPr>
                <w:rStyle w:val="ad"/>
                <w:rFonts w:eastAsiaTheme="majorEastAsia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8" w:history="1">
            <w:r w:rsidRPr="002E41B8">
              <w:rPr>
                <w:rStyle w:val="ad"/>
                <w:rFonts w:eastAsiaTheme="majorEastAsia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Опис методу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89" w:history="1">
            <w:r w:rsidRPr="002E41B8">
              <w:rPr>
                <w:rStyle w:val="ad"/>
                <w:rFonts w:eastAsiaTheme="majorEastAsia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E41B8">
              <w:rPr>
                <w:rStyle w:val="ad"/>
                <w:rFonts w:eastAsiaTheme="majorEastAsia"/>
                <w:b/>
                <w:noProof/>
              </w:rPr>
              <w:t>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90" w:history="1">
            <w:r w:rsidRPr="002E41B8">
              <w:rPr>
                <w:rStyle w:val="ad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91" w:history="1">
            <w:r w:rsidRPr="002E41B8">
              <w:rPr>
                <w:rStyle w:val="ad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E86" w:rsidRDefault="00182E8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846792" w:history="1">
            <w:r w:rsidRPr="002E41B8">
              <w:rPr>
                <w:rStyle w:val="ad"/>
                <w:noProof/>
              </w:rPr>
              <w:t xml:space="preserve">ДОДАТОК А. Код програми мовою </w:t>
            </w:r>
            <w:r w:rsidRPr="002E41B8">
              <w:rPr>
                <w:rStyle w:val="ad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DC18C7">
            <w:fldChar w:fldCharType="end"/>
          </w:r>
        </w:p>
      </w:sdtContent>
    </w:sdt>
    <w:p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B2124E" w:rsidRPr="00B2124E" w:rsidRDefault="00B2124E" w:rsidP="005200E9">
      <w:pPr>
        <w:pStyle w:val="1"/>
        <w:numPr>
          <w:ilvl w:val="0"/>
          <w:numId w:val="0"/>
        </w:numPr>
        <w:spacing w:after="0"/>
        <w:ind w:left="720"/>
      </w:pPr>
      <w:bookmarkStart w:id="2" w:name="_Toc166846778"/>
      <w:r w:rsidRPr="00E953CC">
        <w:lastRenderedPageBreak/>
        <w:t>ВСТУП</w:t>
      </w:r>
      <w:bookmarkEnd w:id="0"/>
      <w:bookmarkEnd w:id="2"/>
    </w:p>
    <w:p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6846779"/>
      <w:r w:rsidRPr="00182E86">
        <w:rPr>
          <w:rFonts w:eastAsiaTheme="majorEastAsia"/>
          <w:b/>
        </w:rPr>
        <w:t>Актуальність теми дослідження</w:t>
      </w:r>
      <w:bookmarkEnd w:id="3"/>
    </w:p>
    <w:p w:rsidR="00631FC3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</w:p>
    <w:p w:rsidR="00C169B3" w:rsidRPr="00E6159E" w:rsidRDefault="00C169B3" w:rsidP="005200E9">
      <w:pPr>
        <w:spacing w:after="0"/>
      </w:pPr>
      <w:r w:rsidRPr="00E6159E">
        <w:t xml:space="preserve">У роботі розглянуто </w:t>
      </w:r>
    </w:p>
    <w:p w:rsidR="00C169B3" w:rsidRPr="00E6159E" w:rsidRDefault="00C169B3" w:rsidP="005200E9">
      <w:pPr>
        <w:spacing w:after="0"/>
      </w:pPr>
      <w:r w:rsidRPr="00E6159E">
        <w:t>Об'єкт дослідження –.</w:t>
      </w:r>
    </w:p>
    <w:p w:rsidR="00C169B3" w:rsidRPr="00E6159E" w:rsidRDefault="00C169B3" w:rsidP="005200E9">
      <w:pPr>
        <w:spacing w:after="0"/>
      </w:pPr>
      <w:r w:rsidRPr="00E6159E">
        <w:t>Предмет дослідження –.</w:t>
      </w:r>
    </w:p>
    <w:p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Pr="00E6159E">
        <w:t>.</w:t>
      </w:r>
    </w:p>
    <w:p w:rsidR="00E953CC" w:rsidRDefault="00E953CC" w:rsidP="005200E9">
      <w:pPr>
        <w:spacing w:after="0"/>
      </w:pPr>
    </w:p>
    <w:p w:rsidR="00E953CC" w:rsidRDefault="007812CD" w:rsidP="005200E9">
      <w:pPr>
        <w:spacing w:after="0"/>
        <w:rPr>
          <w:rFonts w:eastAsiaTheme="minorHAnsi"/>
          <w:b/>
        </w:rPr>
      </w:pPr>
      <w:r w:rsidRPr="00C169B3">
        <w:rPr>
          <w:rFonts w:eastAsiaTheme="minorHAnsi"/>
          <w:b/>
        </w:rPr>
        <w:t>Огляд літератури</w:t>
      </w:r>
    </w:p>
    <w:p w:rsidR="00313EC6" w:rsidRDefault="00313EC6" w:rsidP="005200E9">
      <w:pPr>
        <w:spacing w:after="0"/>
        <w:rPr>
          <w:rFonts w:eastAsiaTheme="minorHAnsi"/>
          <w:b/>
        </w:rPr>
      </w:pPr>
    </w:p>
    <w:p w:rsidR="00313EC6" w:rsidRPr="00C169B3" w:rsidRDefault="00313EC6" w:rsidP="005200E9">
      <w:pPr>
        <w:spacing w:after="0"/>
        <w:rPr>
          <w:rFonts w:eastAsiaTheme="minorHAnsi"/>
          <w:b/>
        </w:rPr>
      </w:pPr>
    </w:p>
    <w:p w:rsidR="00E6159E" w:rsidRPr="00182E86" w:rsidRDefault="006E24F8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6846780"/>
      <w:r w:rsidRPr="00182E86">
        <w:rPr>
          <w:rFonts w:eastAsiaTheme="majorEastAsia"/>
          <w:b/>
        </w:rPr>
        <w:t>Завдання роботи</w:t>
      </w:r>
      <w:bookmarkEnd w:id="4"/>
    </w:p>
    <w:p w:rsidR="00E6159E" w:rsidRPr="00E6159E" w:rsidRDefault="00E6159E" w:rsidP="005200E9">
      <w:pPr>
        <w:pStyle w:val="a0"/>
        <w:numPr>
          <w:ilvl w:val="0"/>
          <w:numId w:val="4"/>
        </w:numPr>
        <w:spacing w:after="0"/>
      </w:pPr>
      <w:r w:rsidRPr="00E6159E">
        <w:t>.</w:t>
      </w:r>
    </w:p>
    <w:p w:rsidR="00E6159E" w:rsidRPr="00E6159E" w:rsidRDefault="00E6159E" w:rsidP="005200E9">
      <w:pPr>
        <w:pStyle w:val="a0"/>
        <w:numPr>
          <w:ilvl w:val="0"/>
          <w:numId w:val="4"/>
        </w:numPr>
        <w:spacing w:after="0"/>
      </w:pPr>
      <w:r w:rsidRPr="00E6159E">
        <w:t>.</w:t>
      </w:r>
    </w:p>
    <w:p w:rsidR="00E6159E" w:rsidRPr="00E6159E" w:rsidRDefault="00E6159E" w:rsidP="005200E9">
      <w:pPr>
        <w:pStyle w:val="a0"/>
        <w:numPr>
          <w:ilvl w:val="0"/>
          <w:numId w:val="4"/>
        </w:numPr>
        <w:spacing w:after="0"/>
      </w:pPr>
      <w:r w:rsidRPr="00E6159E">
        <w:t>.</w:t>
      </w:r>
    </w:p>
    <w:p w:rsidR="00E6159E" w:rsidRPr="00E6159E" w:rsidRDefault="00E6159E" w:rsidP="005200E9">
      <w:pPr>
        <w:pStyle w:val="a0"/>
        <w:numPr>
          <w:ilvl w:val="0"/>
          <w:numId w:val="4"/>
        </w:numPr>
        <w:spacing w:after="0"/>
      </w:pPr>
      <w:r w:rsidRPr="00E6159E">
        <w:t>.</w:t>
      </w:r>
    </w:p>
    <w:p w:rsidR="00E6159E" w:rsidRPr="00E6159E" w:rsidRDefault="00E6159E" w:rsidP="005200E9">
      <w:pPr>
        <w:pStyle w:val="a0"/>
        <w:numPr>
          <w:ilvl w:val="0"/>
          <w:numId w:val="4"/>
        </w:numPr>
        <w:spacing w:after="0"/>
      </w:pPr>
      <w:r w:rsidRPr="00E6159E">
        <w:t>.</w:t>
      </w:r>
    </w:p>
    <w:p w:rsidR="00E6159E" w:rsidRPr="00E6159E" w:rsidRDefault="00E6159E" w:rsidP="005200E9">
      <w:pPr>
        <w:spacing w:after="0"/>
      </w:pPr>
      <w:r w:rsidRPr="00E6159E">
        <w:t>Курсова робота складається з таких частин: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t>вступу, який обґрунтовує актуальність роботи; визначає цілі проведення наукового дослідження;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t>аналітичного огляду літературних джерел, який містить постановку задачі та</w:t>
      </w:r>
      <w:r w:rsidR="005230F9">
        <w:t xml:space="preserve"> …</w:t>
      </w:r>
      <w:r w:rsidRPr="00E6159E">
        <w:t>;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t>програмної реалізації;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lastRenderedPageBreak/>
        <w:t>висновків;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t>списку використаної літератури;</w:t>
      </w:r>
    </w:p>
    <w:p w:rsidR="00E6159E" w:rsidRPr="00E6159E" w:rsidRDefault="00E6159E" w:rsidP="005200E9">
      <w:pPr>
        <w:pStyle w:val="a0"/>
        <w:numPr>
          <w:ilvl w:val="0"/>
          <w:numId w:val="5"/>
        </w:numPr>
        <w:spacing w:after="0"/>
      </w:pPr>
      <w:r w:rsidRPr="00E6159E">
        <w:t xml:space="preserve">додатку А. Код програми мовою </w:t>
      </w:r>
      <w:r w:rsidR="00ED15D6">
        <w:t>R</w:t>
      </w:r>
      <w:r w:rsidRPr="00E6159E">
        <w:t>.</w:t>
      </w:r>
    </w:p>
    <w:p w:rsidR="00E6159E" w:rsidRPr="00E6159E" w:rsidRDefault="00E6159E" w:rsidP="005200E9">
      <w:pPr>
        <w:spacing w:after="0"/>
      </w:pPr>
    </w:p>
    <w:p w:rsidR="00B2124E" w:rsidRPr="00E6159E" w:rsidRDefault="00B2124E" w:rsidP="005200E9">
      <w:pPr>
        <w:spacing w:after="0"/>
      </w:pPr>
      <w:r w:rsidRPr="00E6159E">
        <w:br w:type="page"/>
      </w:r>
    </w:p>
    <w:p w:rsidR="009E103A" w:rsidRPr="00697BFB" w:rsidRDefault="00160BBB" w:rsidP="00C77EC1">
      <w:pPr>
        <w:pStyle w:val="1"/>
      </w:pPr>
      <w:bookmarkStart w:id="5" w:name="_Toc166846781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:rsidR="00CE6D30" w:rsidRPr="001963B3" w:rsidRDefault="0084304D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6" w:name="_Toc166846782"/>
      <w:r w:rsidRPr="001963B3">
        <w:rPr>
          <w:rFonts w:eastAsiaTheme="majorEastAsia"/>
          <w:b/>
        </w:rPr>
        <w:t>Постановка задачі</w:t>
      </w:r>
      <w:bookmarkEnd w:id="6"/>
    </w:p>
    <w:p w:rsidR="00A71795" w:rsidRPr="00130238" w:rsidRDefault="006E24F8" w:rsidP="005200E9">
      <w:pPr>
        <w:spacing w:after="0"/>
        <w:rPr>
          <w:lang w:val="en-US"/>
        </w:rPr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лейкемій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84226" w:rsidRPr="00184226" w:rsidRDefault="00184226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7" w:name="_Toc166846783"/>
      <w:r>
        <w:rPr>
          <w:rFonts w:eastAsiaTheme="majorEastAsia"/>
          <w:b/>
        </w:rPr>
        <w:t>Лейкемії та їх типи</w:t>
      </w:r>
      <w:bookmarkEnd w:id="7"/>
    </w:p>
    <w:p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:rsidR="00847257" w:rsidRPr="001407E3" w:rsidRDefault="0043538C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8" w:name="_Toc166846784"/>
      <w:r>
        <w:rPr>
          <w:rFonts w:eastAsiaTheme="majorEastAsia"/>
          <w:b/>
        </w:rPr>
        <w:t>Гени та рівень їх експресії</w:t>
      </w:r>
      <w:bookmarkEnd w:id="8"/>
    </w:p>
    <w:p w:rsidR="0014374E" w:rsidRDefault="0014374E" w:rsidP="005200E9">
      <w:pPr>
        <w:spacing w:after="0"/>
      </w:pPr>
      <w:r>
        <w:t xml:space="preserve">Для відбору релевантних генів було застосовано процедуру, запропоновану </w:t>
      </w:r>
      <w:r>
        <w:rPr>
          <w:lang w:val="en-US"/>
        </w:rPr>
        <w:t>Gentleman</w:t>
      </w:r>
      <w:r w:rsidRPr="0014374E">
        <w:t xml:space="preserve"> </w:t>
      </w:r>
      <w:r>
        <w:rPr>
          <w:lang w:val="en-US"/>
        </w:rPr>
        <w:t>et</w:t>
      </w:r>
      <w:r w:rsidRPr="0014374E">
        <w:t xml:space="preserve"> </w:t>
      </w:r>
      <w:r>
        <w:rPr>
          <w:lang w:val="en-US"/>
        </w:rPr>
        <w:t>al</w:t>
      </w:r>
      <w:r w:rsidRPr="0014374E">
        <w:t>.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</w:t>
      </w:r>
      <w:r>
        <w:lastRenderedPageBreak/>
        <w:t>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4129F2" w:rsidRPr="00EC5CEC" w:rsidRDefault="004129F2" w:rsidP="004129F2">
      <w:r w:rsidRPr="004129F2">
        <w:t xml:space="preserve">За </w:t>
      </w:r>
      <w:proofErr w:type="spellStart"/>
      <w:r w:rsidRPr="004129F2">
        <w:t>Kellis</w:t>
      </w:r>
      <w:proofErr w:type="spellEnd"/>
      <w:r w:rsidRPr="004129F2">
        <w:t xml:space="preserve"> </w:t>
      </w:r>
      <w:proofErr w:type="spellStart"/>
      <w:r w:rsidRPr="004129F2">
        <w:t>et</w:t>
      </w:r>
      <w:proofErr w:type="spellEnd"/>
      <w:r w:rsidRPr="004129F2">
        <w:t xml:space="preserve"> </w:t>
      </w:r>
      <w:proofErr w:type="spellStart"/>
      <w:r w:rsidRPr="004129F2">
        <w:t>al</w:t>
      </w:r>
      <w:proofErr w:type="spellEnd"/>
      <w:r w:rsidRPr="004129F2">
        <w:t>.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</w:t>
      </w:r>
      <w:r w:rsidR="007B0E34">
        <w:lastRenderedPageBreak/>
        <w:t xml:space="preserve">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</w:t>
      </w:r>
      <w:r w:rsidR="00A82AE8">
        <w:t xml:space="preserve">Це дозволяє відкрити приховану 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</w:t>
      </w:r>
      <w:r w:rsidR="00A82AE8">
        <w:t>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r w:rsidR="00821DFF">
        <w:rPr>
          <w:color w:val="000000" w:themeColor="text1"/>
          <w:lang w:val="en-US"/>
        </w:rPr>
        <w:t>Chiaretti</w:t>
      </w:r>
      <w:r w:rsidR="00821DFF" w:rsidRPr="00103EC0">
        <w:rPr>
          <w:color w:val="000000" w:themeColor="text1"/>
        </w:rPr>
        <w:t xml:space="preserve"> </w:t>
      </w:r>
      <w:r w:rsidR="00821DFF">
        <w:rPr>
          <w:color w:val="000000" w:themeColor="text1"/>
          <w:lang w:val="en-US"/>
        </w:rPr>
        <w:t>et</w:t>
      </w:r>
      <w:r w:rsidR="00821DFF" w:rsidRPr="00103EC0">
        <w:rPr>
          <w:color w:val="000000" w:themeColor="text1"/>
        </w:rPr>
        <w:t xml:space="preserve"> </w:t>
      </w:r>
      <w:r w:rsidR="00821DFF">
        <w:rPr>
          <w:color w:val="000000" w:themeColor="text1"/>
          <w:lang w:val="en-US"/>
        </w:rPr>
        <w:t>al</w:t>
      </w:r>
      <w:r w:rsidR="00F970E2" w:rsidRPr="00F970E2">
        <w:rPr>
          <w:color w:val="000000" w:themeColor="text1"/>
        </w:rPr>
        <w:t xml:space="preserve"> [3]</w:t>
      </w:r>
      <w:r w:rsidR="00821DFF" w:rsidRPr="00103EC0">
        <w:rPr>
          <w:color w:val="000000" w:themeColor="text1"/>
        </w:rPr>
        <w:t>.</w:t>
      </w:r>
    </w:p>
    <w:p w:rsidR="00CD5741" w:rsidRPr="00CD5741" w:rsidRDefault="00CD5741" w:rsidP="00CD5741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9" w:name="_Toc166846785"/>
      <w:r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>
        <w:rPr>
          <w:rFonts w:eastAsiaTheme="majorEastAsia"/>
          <w:b/>
        </w:rPr>
        <w:t xml:space="preserve"> середніх</w:t>
      </w:r>
      <w:bookmarkEnd w:id="9"/>
    </w:p>
    <w:p w:rsidR="00CA4474" w:rsidRPr="0046242F" w:rsidRDefault="0071745D" w:rsidP="005200E9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1E7B62">
        <w:rPr>
          <w:lang w:val="en-US"/>
        </w:rPr>
        <w:t>Bai</w:t>
      </w:r>
      <w:r w:rsidR="001E7B62" w:rsidRPr="00F04A31">
        <w:t xml:space="preserve"> </w:t>
      </w:r>
      <w:r w:rsidR="00F04A31">
        <w:rPr>
          <w:lang w:val="en-US"/>
        </w:rPr>
        <w:t>and</w:t>
      </w:r>
      <w:r w:rsidR="00F04A31" w:rsidRPr="00F04A31">
        <w:t xml:space="preserve"> </w:t>
      </w:r>
      <w:proofErr w:type="spellStart"/>
      <w:r w:rsidR="00F04A31">
        <w:rPr>
          <w:lang w:val="en-US"/>
        </w:rPr>
        <w:t>Sarandasa</w:t>
      </w:r>
      <w:proofErr w:type="spellEnd"/>
      <w:r w:rsidR="00CA4474" w:rsidRPr="00C2660B">
        <w:t xml:space="preserve"> 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r w:rsidR="00CA4474">
        <w:rPr>
          <w:lang w:val="en-US"/>
        </w:rPr>
        <w:t>Yin</w:t>
      </w:r>
      <w:r w:rsidR="00CA4474" w:rsidRPr="00CA4474">
        <w:t xml:space="preserve">, </w:t>
      </w:r>
      <w:r w:rsidR="00CA4474">
        <w:rPr>
          <w:lang w:val="en-US"/>
        </w:rPr>
        <w:t>Bai</w:t>
      </w:r>
      <w:r w:rsidR="00CA4474" w:rsidRPr="00C2660B">
        <w:t xml:space="preserve"> </w:t>
      </w:r>
      <w:r w:rsidR="00CA4474">
        <w:t xml:space="preserve">та </w:t>
      </w:r>
      <w:proofErr w:type="spellStart"/>
      <w:r w:rsidR="00CA4474">
        <w:rPr>
          <w:lang w:val="en-US"/>
        </w:rPr>
        <w:t>Krishnaiah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:rsidR="001B5B55" w:rsidRDefault="002355DC" w:rsidP="005200E9">
      <w:pPr>
        <w:spacing w:after="0"/>
      </w:pPr>
      <w:r>
        <w:rPr>
          <w:lang w:val="en-US"/>
        </w:rPr>
        <w:t>Bai</w:t>
      </w:r>
      <w:r w:rsidRPr="002355DC">
        <w:t xml:space="preserve"> </w:t>
      </w:r>
      <w:r>
        <w:rPr>
          <w:lang w:val="en-US"/>
        </w:rPr>
        <w:t>and</w:t>
      </w:r>
      <w:r w:rsidRPr="002355DC">
        <w:t xml:space="preserve"> </w:t>
      </w:r>
      <w:proofErr w:type="spellStart"/>
      <w:r>
        <w:rPr>
          <w:lang w:val="en-US"/>
        </w:rPr>
        <w:t>Sarandasa</w:t>
      </w:r>
      <w:proofErr w:type="spellEnd"/>
      <w:r w:rsidRPr="002355DC"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 w:rsidR="00F04A31">
        <w:rPr>
          <w:lang w:val="en-US"/>
        </w:rPr>
        <w:t>Chen</w:t>
      </w:r>
      <w:r w:rsidR="00F04A31" w:rsidRPr="00F04A31">
        <w:t xml:space="preserve"> </w:t>
      </w:r>
      <w:r w:rsidR="00F04A31">
        <w:t xml:space="preserve">та </w:t>
      </w:r>
      <w:r w:rsidR="00F04A31">
        <w:rPr>
          <w:lang w:val="en-US"/>
        </w:rPr>
        <w:t>Qin</w:t>
      </w:r>
      <w:r w:rsidR="00C2660B" w:rsidRPr="00F03855">
        <w:t xml:space="preserve"> 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022249" w:rsidRDefault="00022249" w:rsidP="00022249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:rsidR="0090692D" w:rsidRDefault="0090692D" w:rsidP="00AE1609">
      <w:pPr>
        <w:tabs>
          <w:tab w:val="left" w:pos="7088"/>
        </w:tabs>
        <w:spacing w:after="0"/>
        <w:jc w:val="center"/>
      </w:pP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  <w:color w:val="FF0000"/>
          </w:rPr>
          <m:t xml:space="preserve">~i.i.d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Pr="0090692D">
        <w:t>,</w:t>
      </w:r>
      <w:r w:rsidR="006A7345">
        <w:tab/>
      </w:r>
      <w:r w:rsidR="008D7B54" w:rsidRPr="0084240F">
        <w:rPr>
          <w:color w:val="FF0000"/>
        </w:rPr>
        <w:t>(1.1)</w:t>
      </w:r>
    </w:p>
    <w:p w:rsidR="0090692D" w:rsidRDefault="00AE72E6" w:rsidP="0002042D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:rsidR="005E4776" w:rsidRDefault="00AA1386" w:rsidP="002973DD">
      <w:pPr>
        <w:spacing w:after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:rsidR="002973DD" w:rsidRDefault="002973DD" w:rsidP="008371F7">
      <w:pPr>
        <w:spacing w:after="0"/>
        <w:jc w:val="left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:rsidR="008B2BBB" w:rsidRDefault="008131ED" w:rsidP="008371F7">
      <w:pPr>
        <w:spacing w:after="0"/>
        <w:jc w:val="left"/>
      </w:pPr>
      <w:r>
        <w:lastRenderedPageBreak/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>
        <w:rPr>
          <w:lang w:val="en-US"/>
        </w:rPr>
        <w:t>Bai</w:t>
      </w:r>
      <w:r w:rsidRPr="008131ED">
        <w:t xml:space="preserve"> </w:t>
      </w:r>
      <w:r>
        <w:rPr>
          <w:lang w:val="en-US"/>
        </w:rPr>
        <w:t>and</w:t>
      </w:r>
      <w:r w:rsidRPr="008131ED">
        <w:t xml:space="preserve"> </w:t>
      </w:r>
      <w:proofErr w:type="spellStart"/>
      <w:r>
        <w:rPr>
          <w:lang w:val="en-US"/>
        </w:rPr>
        <w:t>Sarandasa</w:t>
      </w:r>
      <w:proofErr w:type="spellEnd"/>
      <w:r w:rsidRPr="008131ED">
        <w:t xml:space="preserve"> </w:t>
      </w:r>
      <w:r>
        <w:t>базується на:</w:t>
      </w:r>
    </w:p>
    <w:p w:rsidR="008131ED" w:rsidRPr="00060555" w:rsidRDefault="00AA1386" w:rsidP="00621E0D">
      <w:pPr>
        <w:tabs>
          <w:tab w:val="left" w:pos="7088"/>
        </w:tabs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4E75E0" w:rsidRPr="00060555">
        <w:t>,</w:t>
      </w:r>
      <w:r w:rsidR="00AE1609">
        <w:tab/>
        <w:t>(1.2)</w:t>
      </w:r>
    </w:p>
    <w:p w:rsidR="004E75E0" w:rsidRDefault="0002042D" w:rsidP="0002042D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117FC5">
        <w:rPr>
          <w:lang w:val="en-US"/>
        </w:rPr>
        <w:t>Bai</w:t>
      </w:r>
      <w:r w:rsidR="00117FC5" w:rsidRPr="00427D2A">
        <w:t xml:space="preserve"> </w:t>
      </w:r>
      <w:r w:rsidR="00117FC5">
        <w:rPr>
          <w:lang w:val="en-US"/>
        </w:rPr>
        <w:t>and</w:t>
      </w:r>
      <w:r w:rsidR="00117FC5" w:rsidRPr="00427D2A">
        <w:t xml:space="preserve"> </w:t>
      </w:r>
      <w:proofErr w:type="spellStart"/>
      <w:r w:rsidR="00117FC5">
        <w:rPr>
          <w:lang w:val="en-US"/>
        </w:rPr>
        <w:t>Sarandasa</w:t>
      </w:r>
      <w:proofErr w:type="spellEnd"/>
      <w:r w:rsidR="00117FC5" w:rsidRPr="00427D2A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:rsidR="007F6992" w:rsidRPr="00621E0D" w:rsidRDefault="00DA6F7E" w:rsidP="00F33894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</m:t>
        </m:r>
        <m:r>
          <m:rPr>
            <m:nor/>
          </m:rPr>
          <w:rPr>
            <w:rFonts w:ascii="Cambria Math" w:hAnsi="Cambria Math"/>
          </w:rPr>
          <m:t xml:space="preserve">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:rsidR="00DA6F7E" w:rsidRPr="00B14766" w:rsidRDefault="00AA1386" w:rsidP="00EF21F0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</m:t>
        </m:r>
        <m:r>
          <m:rPr>
            <m:nor/>
          </m:rPr>
          <w:rPr>
            <w:rFonts w:ascii="Cambria Math" w:hAnsi="Cambria Math"/>
          </w:rPr>
          <m:t>та</m:t>
        </m:r>
        <m:r>
          <m:rPr>
            <m:nor/>
          </m:rPr>
          <w:rPr>
            <w:rFonts w:ascii="Cambria Math" w:hAnsi="Cambria Math"/>
          </w:rPr>
          <m:t xml:space="preserve">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:rsidR="00016288" w:rsidRPr="00B14766" w:rsidRDefault="00016288" w:rsidP="00016288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:rsidR="0084177E" w:rsidRDefault="00F452B4" w:rsidP="00F452B4">
      <w:pPr>
        <w:spacing w:after="0"/>
        <w:ind w:left="0" w:firstLine="709"/>
        <w:jc w:val="left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:rsidR="0006180E" w:rsidRPr="0006180E" w:rsidRDefault="00AA1386" w:rsidP="00392775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:rsidR="0006180E" w:rsidRDefault="0006180E" w:rsidP="0006180E">
      <w:pPr>
        <w:spacing w:after="0"/>
        <w:ind w:left="0" w:firstLine="0"/>
        <w:jc w:val="left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:rsidR="00B34E6C" w:rsidRPr="00B14766" w:rsidRDefault="00060555" w:rsidP="0070193F">
      <w:pPr>
        <w:spacing w:after="0"/>
        <w:ind w:left="0" w:firstLine="0"/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:rsidR="00186155" w:rsidRDefault="00186155" w:rsidP="00186155">
      <w:pPr>
        <w:spacing w:after="0"/>
        <w:ind w:left="0" w:firstLine="709"/>
        <w:jc w:val="left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:rsidR="00B74766" w:rsidRPr="00060555" w:rsidRDefault="00060555" w:rsidP="003C6E06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:rsidR="00060555" w:rsidRPr="00060555" w:rsidRDefault="00060555" w:rsidP="00060555">
      <w:pPr>
        <w:spacing w:after="0"/>
        <w:ind w:left="0" w:firstLine="0"/>
        <w:jc w:val="left"/>
      </w:pPr>
      <w:r>
        <w:t>маємо:</w:t>
      </w:r>
    </w:p>
    <w:p w:rsidR="001E6A73" w:rsidRDefault="001A4397" w:rsidP="00EE1368">
      <w:pPr>
        <w:spacing w:after="0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:rsidR="001A4397" w:rsidRDefault="002E0D9A" w:rsidP="002E0D9A">
      <w:pPr>
        <w:spacing w:after="0"/>
        <w:ind w:left="0" w:firstLine="0"/>
        <w:jc w:val="left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:rsidR="00E9535B" w:rsidRPr="00E9535B" w:rsidRDefault="00E9535B" w:rsidP="00E9535B">
      <w:pPr>
        <w:spacing w:after="0"/>
        <w:ind w:left="0" w:firstLine="709"/>
        <w:jc w:val="left"/>
      </w:pPr>
      <w:r>
        <w:t>Н</w:t>
      </w:r>
      <w:r w:rsidR="00DA0221">
        <w:t>е</w:t>
      </w:r>
      <w:r>
        <w:t>хай</w:t>
      </w:r>
    </w:p>
    <w:p w:rsidR="004B27CC" w:rsidRDefault="00F15C9D" w:rsidP="003A5DAA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:rsidR="004D381E" w:rsidRDefault="004D381E" w:rsidP="004D381E">
      <w:pPr>
        <w:spacing w:after="0"/>
        <w:ind w:left="0" w:firstLine="0"/>
        <w:jc w:val="left"/>
      </w:pPr>
      <w:r>
        <w:lastRenderedPageBreak/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:rsidR="003A5DAA" w:rsidRDefault="00A970F8" w:rsidP="00A970F8">
      <w:pPr>
        <w:spacing w:after="0"/>
        <w:ind w:left="0" w:firstLine="709"/>
        <w:jc w:val="left"/>
      </w:pPr>
      <w:r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:rsidR="0030617C" w:rsidRPr="005B5DAB" w:rsidRDefault="00F4786E" w:rsidP="005B5DAB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Pr="00F4786E">
        <w:tab/>
        <w:t>(1.8</w:t>
      </w:r>
      <w:r w:rsidRPr="005B5DAB">
        <w:t>)</w:t>
      </w:r>
    </w:p>
    <w:p w:rsidR="00BB4C46" w:rsidRDefault="00BB4C46" w:rsidP="00BB4C46">
      <w:pPr>
        <w:spacing w:after="0"/>
        <w:ind w:left="0" w:firstLine="0"/>
        <w:jc w:val="left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:rsidR="00A0391C" w:rsidRDefault="00791F1B" w:rsidP="00AC168F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:rsidR="003E4794" w:rsidRDefault="003E4794" w:rsidP="003E4794">
      <w:pPr>
        <w:tabs>
          <w:tab w:val="left" w:pos="7088"/>
        </w:tabs>
        <w:spacing w:after="0"/>
        <w:ind w:left="0" w:firstLine="709"/>
        <w:jc w:val="left"/>
      </w:pPr>
      <w:r>
        <w:t>Якщо (1.6) не дійсна</w:t>
      </w:r>
      <w:r w:rsidR="00E46BC2">
        <w:t>, то використовуємо</w:t>
      </w:r>
    </w:p>
    <w:p w:rsidR="00E46BC2" w:rsidRDefault="00E82480" w:rsidP="003E4794">
      <w:pPr>
        <w:tabs>
          <w:tab w:val="left" w:pos="7088"/>
        </w:tabs>
        <w:spacing w:after="0"/>
        <w:ind w:left="0" w:firstLine="709"/>
        <w:jc w:val="lef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</m:t>
        </m:r>
        <m:r>
          <m:rPr>
            <m:nor/>
          </m:rPr>
          <w:rPr>
            <w:rFonts w:ascii="Cambria Math" w:hAnsi="Cambria Math"/>
          </w:rPr>
          <m:t xml:space="preserve">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або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</m:oMath>
      <w:r w:rsidR="00752D42">
        <w:rPr>
          <w:i/>
        </w:rPr>
        <w:tab/>
      </w:r>
      <w:r w:rsidR="00752D42" w:rsidRPr="006973F3">
        <w:t>(1.10)</w:t>
      </w:r>
    </w:p>
    <w:p w:rsidR="009A4EC2" w:rsidRDefault="00F92235" w:rsidP="007A252E">
      <w:pPr>
        <w:tabs>
          <w:tab w:val="left" w:pos="7088"/>
        </w:tabs>
        <w:spacing w:after="0"/>
        <w:ind w:left="0" w:firstLine="709"/>
        <w:jc w:val="left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:rsidR="00F92235" w:rsidRDefault="0071432A" w:rsidP="0072165E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Pr="000E6880">
        <w:t>(1.11)</w:t>
      </w:r>
    </w:p>
    <w:p w:rsidR="00FE74B9" w:rsidRPr="00427D2A" w:rsidRDefault="00FE74B9" w:rsidP="00FE74B9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:rsidR="00842606" w:rsidRDefault="00842606" w:rsidP="00842606">
      <w:pPr>
        <w:tabs>
          <w:tab w:val="left" w:pos="7088"/>
        </w:tabs>
        <w:spacing w:after="0"/>
        <w:ind w:left="0" w:firstLine="709"/>
        <w:jc w:val="left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:rsidR="00FC0D2F" w:rsidRPr="005708D1" w:rsidRDefault="004D7A25" w:rsidP="00842606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</w:p>
    <w:p w:rsidR="006B6110" w:rsidRPr="00226DE7" w:rsidRDefault="001C3F85" w:rsidP="005708D1">
      <w:pPr>
        <w:tabs>
          <w:tab w:val="left" w:pos="7088"/>
        </w:tabs>
        <w:spacing w:after="0"/>
        <w:ind w:left="0" w:firstLine="709"/>
        <w:jc w:val="lef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→</m:t>
          </m:r>
          <m:r>
            <w:rPr>
              <w:rFonts w:ascii="Cambria Math" w:hAnsi="Cambria Math"/>
              <w:color w:val="FF0000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 xml:space="preserve"> 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226DE7" w:rsidRPr="00851767" w:rsidRDefault="00226DE7" w:rsidP="00226DE7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</m:oMath>
      <w:r w:rsidR="00B67873">
        <w:rPr>
          <w:lang w:val="en-US"/>
        </w:rPr>
        <w:t>.</w:t>
      </w:r>
      <w:r w:rsidR="007B5B6F">
        <w:rPr>
          <w:lang w:val="en-US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>
        <w:rPr>
          <w:lang w:val="en-US"/>
        </w:rPr>
        <w:t xml:space="preserve"> </w:t>
      </w:r>
      <w:r w:rsidR="007B5B6F">
        <w:t>та</w:t>
      </w:r>
      <w:r w:rsidR="009A4E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>
        <w:rPr>
          <w:lang w:val="en-US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:rsidR="002F4F48" w:rsidRPr="00171926" w:rsidRDefault="00383B45" w:rsidP="00171926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:rsidR="00171926" w:rsidRDefault="00171926" w:rsidP="00171926">
      <w:pPr>
        <w:tabs>
          <w:tab w:val="left" w:pos="7088"/>
        </w:tabs>
        <w:spacing w:after="0"/>
        <w:ind w:left="0" w:firstLine="0"/>
        <w:jc w:val="left"/>
      </w:pPr>
      <w:r>
        <w:t xml:space="preserve">де </w:t>
      </w:r>
      <w:r w:rsidR="00766552">
        <w:t>за</w:t>
      </w:r>
      <w:r w:rsidR="00195A13">
        <w:t xml:space="preserve"> (1.6)</w:t>
      </w:r>
    </w:p>
    <w:p w:rsidR="003B72C6" w:rsidRDefault="00383B45" w:rsidP="00F47C49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:rsidR="0093523D" w:rsidRDefault="00B77B9D" w:rsidP="0093523D">
      <w:pPr>
        <w:tabs>
          <w:tab w:val="left" w:pos="7088"/>
        </w:tabs>
        <w:spacing w:after="0"/>
        <w:ind w:left="0" w:firstLine="0"/>
        <w:jc w:val="left"/>
      </w:pPr>
      <w:r>
        <w:t>та за (1.10):</w:t>
      </w:r>
    </w:p>
    <w:p w:rsidR="00B77B9D" w:rsidRDefault="00E11C0C" w:rsidP="00145B62">
      <w:pPr>
        <w:tabs>
          <w:tab w:val="left" w:pos="6946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w:tab/>
        </m:r>
      </m:oMath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:rsidR="00145B62" w:rsidRDefault="00145B62" w:rsidP="00145B62">
      <w:pPr>
        <w:tabs>
          <w:tab w:val="left" w:pos="6946"/>
        </w:tabs>
        <w:spacing w:after="0"/>
        <w:ind w:left="0" w:firstLine="709"/>
        <w:jc w:val="left"/>
      </w:pPr>
      <w:r>
        <w:lastRenderedPageBreak/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:rsidR="00C715E8" w:rsidRDefault="00C715E8" w:rsidP="00145B62">
      <w:pPr>
        <w:tabs>
          <w:tab w:val="left" w:pos="6946"/>
        </w:tabs>
        <w:spacing w:after="0"/>
        <w:ind w:left="0" w:firstLine="709"/>
        <w:jc w:val="left"/>
      </w:pPr>
      <w:r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041D3D">
        <w:rPr>
          <w:lang w:val="en-US"/>
        </w:rPr>
        <w:t>Chen</w:t>
      </w:r>
      <w:r w:rsidR="00041D3D" w:rsidRPr="00F04A31">
        <w:t xml:space="preserve"> </w:t>
      </w:r>
      <w:r w:rsidR="00041D3D">
        <w:t xml:space="preserve">та </w:t>
      </w:r>
      <w:r w:rsidR="00041D3D">
        <w:rPr>
          <w:lang w:val="en-US"/>
        </w:rPr>
        <w:t>Qin</w:t>
      </w:r>
      <w:r w:rsidR="00041D3D" w:rsidRPr="00041D3D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EC54AD" w:rsidRPr="00EC54AD">
        <w:t>:</w:t>
      </w:r>
    </w:p>
    <w:p w:rsidR="00EC54AD" w:rsidRPr="00CE5B63" w:rsidRDefault="00351864" w:rsidP="00145B62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A219ED" w:rsidRDefault="00A219ED" w:rsidP="00145B62">
      <w:pPr>
        <w:tabs>
          <w:tab w:val="left" w:pos="6946"/>
        </w:tabs>
        <w:spacing w:after="0"/>
        <w:ind w:left="0" w:firstLine="709"/>
        <w:jc w:val="left"/>
      </w:pPr>
      <w:r w:rsidRPr="00A219ED">
        <w:t>та</w:t>
      </w:r>
    </w:p>
    <w:p w:rsidR="00A219ED" w:rsidRDefault="00E0565C" w:rsidP="00427D2A">
      <w:pPr>
        <w:tabs>
          <w:tab w:val="left" w:pos="6946"/>
        </w:tabs>
        <w:spacing w:after="0"/>
        <w:ind w:left="0" w:firstLine="709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:rsidR="00E0565C" w:rsidRDefault="00E0565C" w:rsidP="00E0565C">
      <w:pPr>
        <w:tabs>
          <w:tab w:val="left" w:pos="6946"/>
        </w:tabs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:rsidR="00446484" w:rsidRDefault="008A1729" w:rsidP="00E0565C">
      <w:pPr>
        <w:tabs>
          <w:tab w:val="left" w:pos="6946"/>
        </w:tabs>
        <w:spacing w:after="0"/>
        <w:ind w:left="0" w:firstLine="0"/>
        <w:jc w:val="left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574403">
        <w:rPr>
          <w:color w:val="FF0000"/>
        </w:rPr>
        <w:t>спроможними за співвідн</w:t>
      </w:r>
      <w:r w:rsidR="00D812F6" w:rsidRPr="00574403">
        <w:rPr>
          <w:color w:val="FF0000"/>
        </w:rPr>
        <w:t>ош</w:t>
      </w:r>
      <w:r w:rsidRPr="00574403">
        <w:rPr>
          <w:color w:val="FF0000"/>
        </w:rPr>
        <w:t>енням</w:t>
      </w:r>
      <w:r w:rsidR="00FE4B98">
        <w:rPr>
          <w:color w:val="FF0000"/>
        </w:rPr>
        <w:t xml:space="preserve"> </w:t>
      </w:r>
      <w:r w:rsidR="00FE4B98" w:rsidRPr="00E13599">
        <w:t xml:space="preserve">за такою </w:t>
      </w:r>
      <w:r w:rsidR="002E3203" w:rsidRPr="00E13599">
        <w:t>теоремою</w:t>
      </w:r>
      <w:r w:rsidR="00446484">
        <w:t>:</w:t>
      </w:r>
    </w:p>
    <w:p w:rsidR="00A65B16" w:rsidRPr="00CD7473" w:rsidRDefault="00A65B16" w:rsidP="00CD7473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Pr="005708D1">
        <w:rPr>
          <w:i/>
        </w:rPr>
        <w:t xml:space="preserve"> </w:t>
      </w:r>
      <w:r>
        <w:rPr>
          <w:i/>
        </w:rPr>
        <w:t>2</w:t>
      </w:r>
    </w:p>
    <w:p w:rsidR="00446484" w:rsidRDefault="000D46EE" w:rsidP="00DF5D72">
      <w:pPr>
        <w:tabs>
          <w:tab w:val="left" w:pos="694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BA165F" w:rsidRPr="00BA165F">
        <w:rPr>
          <w:i/>
        </w:rPr>
        <w:t>.</w:t>
      </w:r>
    </w:p>
    <w:p w:rsidR="00563CF5" w:rsidRDefault="00563CF5" w:rsidP="00563CF5">
      <w:pPr>
        <w:tabs>
          <w:tab w:val="left" w:pos="6946"/>
        </w:tabs>
        <w:spacing w:after="0"/>
        <w:ind w:left="0" w:firstLine="709"/>
        <w:jc w:val="left"/>
        <w:rPr>
          <w:color w:val="FF0000"/>
        </w:rPr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971369">
        <w:t xml:space="preserve"> </w:t>
      </w:r>
      <w:r w:rsidR="00971369">
        <w:t xml:space="preserve">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>
        <w:t xml:space="preserve">, </w:t>
      </w:r>
      <w:r w:rsidR="00971369" w:rsidRPr="00574403">
        <w:rPr>
          <w:color w:val="FF0000"/>
        </w:rPr>
        <w:t>спроможн</w:t>
      </w:r>
      <w:r w:rsidR="006C1721">
        <w:rPr>
          <w:color w:val="FF0000"/>
        </w:rPr>
        <w:t>а</w:t>
      </w:r>
      <w:r w:rsidR="00971369" w:rsidRPr="00574403">
        <w:rPr>
          <w:color w:val="FF0000"/>
        </w:rPr>
        <w:t xml:space="preserve"> за співвідношенням</w:t>
      </w:r>
      <w:r w:rsidR="003F2BEF">
        <w:rPr>
          <w:color w:val="FF0000"/>
        </w:rPr>
        <w:t>:</w:t>
      </w:r>
    </w:p>
    <w:p w:rsidR="003F2BEF" w:rsidRPr="00950A0B" w:rsidRDefault="009F62E2" w:rsidP="00585E42">
      <w:pPr>
        <w:tabs>
          <w:tab w:val="left" w:pos="7088"/>
        </w:tabs>
        <w:spacing w:after="0"/>
        <w:ind w:left="0" w:firstLine="709"/>
        <w:jc w:val="center"/>
        <w:rPr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>
        <w:rPr>
          <w:i/>
        </w:rPr>
        <w:tab/>
      </w:r>
      <w:r w:rsidR="00950A0B" w:rsidRPr="00F91F4D">
        <w:rPr>
          <w:lang w:val="en-US"/>
        </w:rPr>
        <w:t>(1.1</w:t>
      </w:r>
      <w:r w:rsidR="0049085B">
        <w:t>4</w:t>
      </w:r>
      <w:r w:rsidR="00950A0B" w:rsidRPr="00F91F4D">
        <w:rPr>
          <w:lang w:val="en-US"/>
        </w:rPr>
        <w:t>)</w:t>
      </w:r>
    </w:p>
    <w:p w:rsidR="00FC0D2F" w:rsidRDefault="00FC0D2F" w:rsidP="00FC0D2F">
      <w:pPr>
        <w:tabs>
          <w:tab w:val="left" w:pos="6946"/>
        </w:tabs>
        <w:spacing w:after="0"/>
        <w:ind w:left="0" w:firstLine="709"/>
        <w:jc w:val="left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>
        <w:rPr>
          <w:lang w:val="en-US"/>
        </w:rPr>
        <w:t xml:space="preserve"> </w:t>
      </w:r>
      <w:r w:rsidR="00D35821">
        <w:t>дає тестову статистику:</w:t>
      </w:r>
    </w:p>
    <w:p w:rsidR="00D35821" w:rsidRPr="00817992" w:rsidRDefault="00817992" w:rsidP="00FC0D2F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FF0000"/>
            </w:rPr>
            <m:t>→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:rsidR="00817992" w:rsidRPr="003A2305" w:rsidRDefault="00817992" w:rsidP="00B51FB3">
      <w:pPr>
        <w:tabs>
          <w:tab w:val="left" w:pos="6946"/>
        </w:tabs>
        <w:spacing w:after="0"/>
        <w:ind w:left="0" w:firstLine="0"/>
        <w:jc w:val="left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значущости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r w:rsidR="003F2F28">
        <w:t xml:space="preserve">квантиль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:rsidR="00FF054F" w:rsidRPr="009C047E" w:rsidRDefault="00397738" w:rsidP="001458E2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r w:rsidRPr="009C047E">
        <w:rPr>
          <w:color w:val="000000" w:themeColor="text1"/>
          <w:lang w:val="en-US"/>
        </w:rPr>
        <w:t>Manly</w:t>
      </w:r>
      <w:r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визначення дійсности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</w:t>
      </w:r>
      <w:r w:rsidR="00ED0B67" w:rsidRPr="009C047E">
        <w:rPr>
          <w:color w:val="000000" w:themeColor="text1"/>
        </w:rPr>
        <w:lastRenderedPageBreak/>
        <w:t xml:space="preserve">даних наявний шуканий ефект.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порівнюють із розподілом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, отриманим із випадкових перестановок даних. У випадку, 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пропорцію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:rsidR="0022041A" w:rsidRPr="00E6159E" w:rsidRDefault="0022041A" w:rsidP="005200E9">
      <w:pPr>
        <w:spacing w:after="0"/>
      </w:pPr>
      <w:r w:rsidRPr="00E6159E">
        <w:br w:type="page"/>
      </w:r>
    </w:p>
    <w:p w:rsidR="00C43425" w:rsidRDefault="0022041A" w:rsidP="005200E9">
      <w:pPr>
        <w:pStyle w:val="1"/>
        <w:spacing w:after="0"/>
      </w:pPr>
      <w:bookmarkStart w:id="10" w:name="_Toc166846786"/>
      <w:r w:rsidRPr="00E6159E">
        <w:lastRenderedPageBreak/>
        <w:t>Практична частина</w:t>
      </w:r>
      <w:bookmarkEnd w:id="10"/>
    </w:p>
    <w:p w:rsidR="00C30941" w:rsidRPr="00CA6008" w:rsidRDefault="00284146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1" w:name="_Toc166846787"/>
      <w:r w:rsidRPr="00CA6008">
        <w:rPr>
          <w:rFonts w:eastAsiaTheme="majorEastAsia"/>
          <w:b/>
        </w:rPr>
        <w:t>Аналіз даних</w:t>
      </w:r>
      <w:bookmarkEnd w:id="11"/>
    </w:p>
    <w:p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r>
        <w:rPr>
          <w:lang w:val="en-US"/>
        </w:rPr>
        <w:t>Gentleman</w:t>
      </w:r>
      <w:r w:rsidRPr="0014374E">
        <w:t xml:space="preserve"> </w:t>
      </w:r>
      <w:r>
        <w:rPr>
          <w:lang w:val="en-US"/>
        </w:rPr>
        <w:t>et</w:t>
      </w:r>
      <w:r w:rsidRPr="0014374E">
        <w:t xml:space="preserve"> </w:t>
      </w:r>
      <w:r>
        <w:rPr>
          <w:lang w:val="en-US"/>
        </w:rPr>
        <w:t>al</w:t>
      </w:r>
      <w:r>
        <w:t xml:space="preserve">. було знайдено 2391 ген, релевантний для розгляду в цій задачі. </w:t>
      </w:r>
    </w:p>
    <w:p w:rsidR="00C30941" w:rsidRP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r>
        <w:rPr>
          <w:lang w:val="en-US"/>
        </w:rPr>
        <w:t>Gentleman</w:t>
      </w:r>
      <w:r w:rsidRPr="0014374E">
        <w:t xml:space="preserve"> </w:t>
      </w:r>
      <w:r>
        <w:rPr>
          <w:lang w:val="en-US"/>
        </w:rPr>
        <w:t>et</w:t>
      </w:r>
      <w:r w:rsidRPr="0014374E">
        <w:t xml:space="preserve"> </w:t>
      </w:r>
      <w:r>
        <w:rPr>
          <w:lang w:val="en-US"/>
        </w:rPr>
        <w:t>al</w:t>
      </w:r>
      <w:r>
        <w:t xml:space="preserve">. 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:rsidR="00C0614F" w:rsidRPr="00C0614F" w:rsidRDefault="00C0614F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2" w:name="_Toc166846788"/>
      <w:r w:rsidRPr="00C0614F">
        <w:rPr>
          <w:rFonts w:eastAsiaTheme="majorEastAsia"/>
          <w:b/>
        </w:rPr>
        <w:t>Опис методу</w:t>
      </w:r>
      <w:bookmarkEnd w:id="12"/>
    </w:p>
    <w:p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proofErr w:type="spellStart"/>
      <w:r>
        <w:rPr>
          <w:lang w:val="en-US"/>
        </w:rPr>
        <w:t>fot</w:t>
      </w:r>
      <w:proofErr w:type="spellEnd"/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>та для обох векторів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:rsidR="004923C2" w:rsidRDefault="00303434" w:rsidP="005200E9">
      <w:pPr>
        <w:spacing w:after="0"/>
        <w:ind w:left="0" w:firstLine="709"/>
      </w:pPr>
      <w:r>
        <w:t xml:space="preserve">Наступним кроком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обох векторів, після чого три отримані значення множаться на відповіді 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:rsidR="00027E37" w:rsidRPr="002D4655" w:rsidRDefault="00027E37" w:rsidP="002D4655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3" w:name="_Toc166846789"/>
      <w:r w:rsidRPr="002D4655">
        <w:rPr>
          <w:rFonts w:eastAsiaTheme="majorEastAsia"/>
          <w:b/>
        </w:rPr>
        <w:lastRenderedPageBreak/>
        <w:t>Результат роботи програми</w:t>
      </w:r>
      <w:bookmarkEnd w:id="13"/>
    </w:p>
    <w:p w:rsidR="00027E37" w:rsidRDefault="000A3A0A" w:rsidP="00F54003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не дозволяє відкидати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</w:p>
    <w:p w:rsidR="00B5796D" w:rsidRDefault="00B5796D" w:rsidP="00027E37">
      <w:pPr>
        <w:spacing w:after="0"/>
        <w:ind w:left="0" w:firstLine="709"/>
      </w:pPr>
      <w:r>
        <w:br w:type="page"/>
      </w:r>
    </w:p>
    <w:p w:rsidR="000B4D53" w:rsidRDefault="00B5796D" w:rsidP="000B4D53">
      <w:pPr>
        <w:pStyle w:val="1"/>
        <w:numPr>
          <w:ilvl w:val="0"/>
          <w:numId w:val="0"/>
        </w:numPr>
        <w:ind w:left="360"/>
      </w:pPr>
      <w:bookmarkStart w:id="14" w:name="_Toc166846790"/>
      <w:r>
        <w:lastRenderedPageBreak/>
        <w:t>ВИСНОВКИ</w:t>
      </w:r>
      <w:bookmarkEnd w:id="14"/>
    </w:p>
    <w:p w:rsidR="00B5796D" w:rsidRDefault="00B5796D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EB035E" w:rsidRDefault="00D16F26" w:rsidP="00BA63B3">
      <w:pPr>
        <w:pStyle w:val="1"/>
        <w:numPr>
          <w:ilvl w:val="0"/>
          <w:numId w:val="0"/>
        </w:numPr>
        <w:ind w:left="360"/>
      </w:pPr>
      <w:bookmarkStart w:id="15" w:name="_Toc166846791"/>
      <w:r>
        <w:lastRenderedPageBreak/>
        <w:t>СПИСОК ВИКОРИСТАНИХ ДЖЕРЕЛ</w:t>
      </w:r>
      <w:bookmarkEnd w:id="15"/>
    </w:p>
    <w:p w:rsidR="00803374" w:rsidRPr="00C25CC8" w:rsidRDefault="009068BE" w:rsidP="00803374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C25CC8">
        <w:rPr>
          <w:color w:val="FF0000"/>
          <w:lang w:val="en-US"/>
        </w:rPr>
        <w:t>Using R</w:t>
      </w:r>
      <w:r w:rsidR="005E34E7" w:rsidRPr="00C25CC8">
        <w:rPr>
          <w:color w:val="FF0000"/>
          <w:lang w:val="en-US"/>
        </w:rPr>
        <w:t xml:space="preserve"> </w:t>
      </w:r>
      <w:r w:rsidR="00D97953" w:rsidRPr="00C25CC8">
        <w:rPr>
          <w:color w:val="FF0000"/>
          <w:lang w:val="en-US"/>
        </w:rPr>
        <w:t>and Bioconductor</w:t>
      </w:r>
      <w:r w:rsidR="005E34E7" w:rsidRPr="00C25CC8">
        <w:rPr>
          <w:color w:val="FF0000"/>
          <w:lang w:val="en-US"/>
        </w:rPr>
        <w:t>.</w:t>
      </w:r>
      <w:r w:rsidR="00D97953" w:rsidRPr="00C25CC8">
        <w:rPr>
          <w:color w:val="FF0000"/>
          <w:lang w:val="en-US"/>
        </w:rPr>
        <w:t xml:space="preserve"> </w:t>
      </w:r>
      <w:r w:rsidR="00E34CBF" w:rsidRPr="00C25CC8">
        <w:rPr>
          <w:color w:val="FF0000"/>
          <w:lang w:val="en-US"/>
        </w:rPr>
        <w:t xml:space="preserve">Springer </w:t>
      </w:r>
      <w:proofErr w:type="spellStart"/>
      <w:r w:rsidR="00E34CBF" w:rsidRPr="00C25CC8">
        <w:rPr>
          <w:color w:val="FF0000"/>
          <w:lang w:val="en-US"/>
        </w:rPr>
        <w:t>Science+Business</w:t>
      </w:r>
      <w:proofErr w:type="spellEnd"/>
      <w:r w:rsidR="00E34CBF" w:rsidRPr="00C25CC8">
        <w:rPr>
          <w:color w:val="FF0000"/>
          <w:lang w:val="en-US"/>
        </w:rPr>
        <w:t xml:space="preserve"> Media, 2005. </w:t>
      </w:r>
      <w:r w:rsidR="00A8481F" w:rsidRPr="00C25CC8">
        <w:rPr>
          <w:color w:val="FF0000"/>
          <w:lang w:val="en-US"/>
        </w:rPr>
        <w:t>473 p.</w:t>
      </w:r>
    </w:p>
    <w:p w:rsidR="00FA5B78" w:rsidRPr="00C25CC8" w:rsidRDefault="009068BE" w:rsidP="005B0D9C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Manolis </w:t>
      </w:r>
      <w:r w:rsidR="00852D6E" w:rsidRPr="00C25CC8">
        <w:rPr>
          <w:color w:val="FF0000"/>
        </w:rPr>
        <w:t xml:space="preserve">Kellis </w:t>
      </w:r>
      <w:proofErr w:type="spellStart"/>
      <w:r w:rsidR="00852D6E" w:rsidRPr="00C25CC8">
        <w:rPr>
          <w:color w:val="FF0000"/>
        </w:rPr>
        <w:t>et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al</w:t>
      </w:r>
      <w:proofErr w:type="spellEnd"/>
      <w:r w:rsidR="00852D6E" w:rsidRPr="00C25CC8">
        <w:rPr>
          <w:color w:val="FF0000"/>
        </w:rPr>
        <w:t>.</w:t>
      </w:r>
      <w:r w:rsidR="00FA5B78" w:rsidRPr="00C25CC8">
        <w:rPr>
          <w:color w:val="FF0000"/>
          <w:lang w:val="en-US"/>
        </w:rPr>
        <w:t xml:space="preserve"> Computational Biology - Genomes, Networks, and Evolution. </w:t>
      </w:r>
      <w:r w:rsidR="0008022A" w:rsidRPr="00C25CC8">
        <w:rPr>
          <w:color w:val="FF0000"/>
          <w:lang w:val="pl-PL"/>
        </w:rPr>
        <w:t>URL:</w:t>
      </w:r>
      <w:r w:rsidR="003B1751" w:rsidRPr="00C25CC8">
        <w:rPr>
          <w:color w:val="FF0000"/>
          <w:lang w:val="pl-PL"/>
        </w:rPr>
        <w:t xml:space="preserve"> https://bio.libretexts.org/Bookshelves/Computational_Biology/Book%3A_Computational_Biology_-_Genomes_Networks_and_Evolution_(Kellis_et_al.)</w:t>
      </w:r>
    </w:p>
    <w:p w:rsidR="005C2C1F" w:rsidRPr="00C25CC8" w:rsidRDefault="002D5227" w:rsidP="005B0D9C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Sabina </w:t>
      </w:r>
      <w:proofErr w:type="spellStart"/>
      <w:r w:rsidR="005C2C1F" w:rsidRPr="00C25CC8">
        <w:rPr>
          <w:color w:val="FF0000"/>
          <w:lang w:val="en-US"/>
        </w:rPr>
        <w:t>Chiaretti</w:t>
      </w:r>
      <w:proofErr w:type="spellEnd"/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et</w:t>
      </w:r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al</w:t>
      </w:r>
      <w:r w:rsidR="005C2C1F" w:rsidRPr="00C25CC8">
        <w:rPr>
          <w:color w:val="FF0000"/>
          <w:lang w:val="en-US"/>
        </w:rPr>
        <w:t>.</w:t>
      </w:r>
      <w:r w:rsidR="003479A2" w:rsidRPr="00C25CC8">
        <w:rPr>
          <w:color w:val="FF0000"/>
          <w:lang w:val="en-US"/>
        </w:rPr>
        <w:t xml:space="preserve"> </w:t>
      </w:r>
      <w:r w:rsidR="003479A2" w:rsidRPr="00C25CC8">
        <w:rPr>
          <w:color w:val="FF0000"/>
          <w:lang w:val="en-US"/>
        </w:rPr>
        <w:t>Gene expression profile of adult T-cell acute lymphocytic leukemia identifies distinct subsets of patients with different response to therapy and survival</w:t>
      </w:r>
    </w:p>
    <w:p w:rsidR="00AD7B25" w:rsidRPr="00AD7B25" w:rsidRDefault="00AD7B25" w:rsidP="00926195">
      <w:pPr>
        <w:pStyle w:val="a0"/>
        <w:numPr>
          <w:ilvl w:val="0"/>
          <w:numId w:val="8"/>
        </w:numPr>
        <w:ind w:left="851" w:hanging="425"/>
        <w:jc w:val="left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:rsidR="007E15FA" w:rsidRPr="007E15FA" w:rsidRDefault="00AB7920" w:rsidP="007E15FA">
      <w:pPr>
        <w:pStyle w:val="a0"/>
        <w:numPr>
          <w:ilvl w:val="0"/>
          <w:numId w:val="8"/>
        </w:numPr>
        <w:ind w:left="851" w:hanging="425"/>
        <w:jc w:val="left"/>
      </w:pPr>
      <w:r w:rsidRPr="0031074B">
        <w:rPr>
          <w:lang w:val="en-US"/>
        </w:rPr>
        <w:t>Y. Yin, Z</w:t>
      </w:r>
      <w:r w:rsidRPr="0031074B">
        <w:rPr>
          <w:lang w:val="en-US"/>
        </w:rPr>
        <w:t xml:space="preserve">. </w:t>
      </w:r>
      <w:r w:rsidRPr="0031074B">
        <w:rPr>
          <w:lang w:val="en-US"/>
        </w:rPr>
        <w:t>Bai</w:t>
      </w:r>
      <w:r w:rsidRPr="0031074B">
        <w:rPr>
          <w:lang w:val="en-US"/>
        </w:rPr>
        <w:t xml:space="preserve">, </w:t>
      </w:r>
      <w:r w:rsidRPr="0031074B">
        <w:rPr>
          <w:lang w:val="en-US"/>
        </w:rPr>
        <w:t>P. R</w:t>
      </w:r>
      <w:r w:rsidRPr="0031074B">
        <w:rPr>
          <w:lang w:val="en-US"/>
        </w:rPr>
        <w:t xml:space="preserve">. </w:t>
      </w:r>
      <w:proofErr w:type="spellStart"/>
      <w:r w:rsidRPr="0031074B">
        <w:rPr>
          <w:lang w:val="en-US"/>
        </w:rPr>
        <w:t>Krishnaiah</w:t>
      </w:r>
      <w:proofErr w:type="spellEnd"/>
      <w:r w:rsidRPr="0031074B">
        <w:rPr>
          <w:lang w:val="en-US"/>
        </w:rPr>
        <w:t xml:space="preserve">. </w:t>
      </w:r>
      <w:r w:rsidRPr="00AB7920">
        <w:rPr>
          <w:lang w:val="en-US"/>
        </w:rPr>
        <w:t>On the limit of the largest eigenvalue</w:t>
      </w:r>
      <w:r w:rsidRPr="00AB7920">
        <w:rPr>
          <w:lang w:val="en-US"/>
        </w:rPr>
        <w:t xml:space="preserve"> </w:t>
      </w:r>
      <w:r w:rsidRPr="00AB7920">
        <w:rPr>
          <w:lang w:val="en-US"/>
        </w:rPr>
        <w:t xml:space="preserve">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:rsidR="0062741D" w:rsidRDefault="00606BE5" w:rsidP="0062741D">
      <w:pPr>
        <w:pStyle w:val="a0"/>
        <w:numPr>
          <w:ilvl w:val="0"/>
          <w:numId w:val="8"/>
        </w:numPr>
        <w:ind w:left="851" w:hanging="425"/>
        <w:jc w:val="left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>Chen</w:t>
      </w:r>
      <w:r w:rsidR="00F000A6" w:rsidRPr="0062741D">
        <w:rPr>
          <w:lang w:val="en-US"/>
        </w:rPr>
        <w:t xml:space="preserve">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</w:t>
      </w:r>
      <w:r w:rsidR="00E313F1" w:rsidRPr="0062741D">
        <w:rPr>
          <w:lang w:val="en-US"/>
        </w:rPr>
        <w:t>Vol. 38, No. 2</w:t>
      </w:r>
      <w:r w:rsidR="00E313F1" w:rsidRPr="0062741D">
        <w:rPr>
          <w:lang w:val="en-US"/>
        </w:rPr>
        <w:t>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:rsidR="00357BAD" w:rsidRPr="007F7301" w:rsidRDefault="0062741D" w:rsidP="00B802C0">
      <w:pPr>
        <w:pStyle w:val="a0"/>
        <w:numPr>
          <w:ilvl w:val="0"/>
          <w:numId w:val="8"/>
        </w:numPr>
        <w:ind w:left="709" w:hanging="283"/>
        <w:jc w:val="left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:rsidR="00747E31" w:rsidRPr="00747E31" w:rsidRDefault="00154C6D" w:rsidP="00747E31">
      <w:pPr>
        <w:pStyle w:val="1"/>
        <w:ind w:left="0" w:firstLine="0"/>
        <w:jc w:val="left"/>
      </w:pPr>
      <w:r>
        <w:br w:type="page"/>
      </w:r>
    </w:p>
    <w:p w:rsidR="00EB035E" w:rsidRDefault="00154C6D" w:rsidP="00EC2679">
      <w:pPr>
        <w:pStyle w:val="1"/>
        <w:numPr>
          <w:ilvl w:val="0"/>
          <w:numId w:val="0"/>
        </w:numPr>
        <w:ind w:left="360"/>
      </w:pPr>
      <w:bookmarkStart w:id="16" w:name="_Toc166846792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6"/>
    </w:p>
    <w:p w:rsidR="00EB035E" w:rsidRPr="00B47B24" w:rsidRDefault="00EB035E" w:rsidP="005200E9">
      <w:pPr>
        <w:spacing w:after="0"/>
        <w:ind w:left="0" w:firstLine="709"/>
      </w:pPr>
    </w:p>
    <w:sectPr w:rsidR="00EB035E" w:rsidRPr="00B4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8932B986"/>
    <w:lvl w:ilvl="0" w:tplc="2D1E4A3C">
      <w:start w:val="1"/>
      <w:numFmt w:val="decimal"/>
      <w:lvlText w:val="%1."/>
      <w:lvlJc w:val="left"/>
      <w:pPr>
        <w:ind w:left="1995" w:hanging="360"/>
      </w:pPr>
      <w:rPr>
        <w:rFonts w:hint="default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55B10DD"/>
    <w:multiLevelType w:val="multilevel"/>
    <w:tmpl w:val="1DF21A1E"/>
    <w:lvl w:ilvl="0">
      <w:start w:val="1"/>
      <w:numFmt w:val="decimal"/>
      <w:pStyle w:val="1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768A"/>
    <w:rsid w:val="00040749"/>
    <w:rsid w:val="00041935"/>
    <w:rsid w:val="00041D3D"/>
    <w:rsid w:val="0004310E"/>
    <w:rsid w:val="00060555"/>
    <w:rsid w:val="0006180E"/>
    <w:rsid w:val="00062271"/>
    <w:rsid w:val="0006486C"/>
    <w:rsid w:val="00064D19"/>
    <w:rsid w:val="000662AE"/>
    <w:rsid w:val="0007789E"/>
    <w:rsid w:val="0008022A"/>
    <w:rsid w:val="00090E9A"/>
    <w:rsid w:val="00092060"/>
    <w:rsid w:val="000A13B4"/>
    <w:rsid w:val="000A3A0A"/>
    <w:rsid w:val="000B1681"/>
    <w:rsid w:val="000B3AB4"/>
    <w:rsid w:val="000B4D53"/>
    <w:rsid w:val="000B711B"/>
    <w:rsid w:val="000C0279"/>
    <w:rsid w:val="000C3CBD"/>
    <w:rsid w:val="000C69FC"/>
    <w:rsid w:val="000D002B"/>
    <w:rsid w:val="000D0919"/>
    <w:rsid w:val="000D46EE"/>
    <w:rsid w:val="000E6880"/>
    <w:rsid w:val="000F02BD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30238"/>
    <w:rsid w:val="00136918"/>
    <w:rsid w:val="00140713"/>
    <w:rsid w:val="001407E3"/>
    <w:rsid w:val="0014294A"/>
    <w:rsid w:val="0014374E"/>
    <w:rsid w:val="001458E2"/>
    <w:rsid w:val="00145B62"/>
    <w:rsid w:val="00154C6D"/>
    <w:rsid w:val="00160BBB"/>
    <w:rsid w:val="00162989"/>
    <w:rsid w:val="00171926"/>
    <w:rsid w:val="00175CC1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4397"/>
    <w:rsid w:val="001A4D6D"/>
    <w:rsid w:val="001A4F1C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DE7"/>
    <w:rsid w:val="00227A56"/>
    <w:rsid w:val="00235470"/>
    <w:rsid w:val="002355DC"/>
    <w:rsid w:val="00235CC9"/>
    <w:rsid w:val="00245B9F"/>
    <w:rsid w:val="00246704"/>
    <w:rsid w:val="002527F4"/>
    <w:rsid w:val="00252F6F"/>
    <w:rsid w:val="0025754F"/>
    <w:rsid w:val="00264DE9"/>
    <w:rsid w:val="00267E97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35D5"/>
    <w:rsid w:val="002D4655"/>
    <w:rsid w:val="002D5227"/>
    <w:rsid w:val="002E0D9A"/>
    <w:rsid w:val="002E3203"/>
    <w:rsid w:val="002E601E"/>
    <w:rsid w:val="002F10FE"/>
    <w:rsid w:val="002F4F48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7C99"/>
    <w:rsid w:val="00383B45"/>
    <w:rsid w:val="00386BD1"/>
    <w:rsid w:val="00392775"/>
    <w:rsid w:val="00397738"/>
    <w:rsid w:val="003A2305"/>
    <w:rsid w:val="003A517D"/>
    <w:rsid w:val="003A5DAA"/>
    <w:rsid w:val="003B1751"/>
    <w:rsid w:val="003B72C6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29DE"/>
    <w:rsid w:val="0046242F"/>
    <w:rsid w:val="004672B5"/>
    <w:rsid w:val="00475175"/>
    <w:rsid w:val="00475C29"/>
    <w:rsid w:val="0049085B"/>
    <w:rsid w:val="004923C2"/>
    <w:rsid w:val="00492606"/>
    <w:rsid w:val="00494E9A"/>
    <w:rsid w:val="004A32D2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57BD"/>
    <w:rsid w:val="004F7BCC"/>
    <w:rsid w:val="005004D4"/>
    <w:rsid w:val="00505228"/>
    <w:rsid w:val="00516F69"/>
    <w:rsid w:val="005200E9"/>
    <w:rsid w:val="00520AC6"/>
    <w:rsid w:val="005230F9"/>
    <w:rsid w:val="00533688"/>
    <w:rsid w:val="0053436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A1A4C"/>
    <w:rsid w:val="005A77C1"/>
    <w:rsid w:val="005B1EE8"/>
    <w:rsid w:val="005B5DAB"/>
    <w:rsid w:val="005C2C1F"/>
    <w:rsid w:val="005C4B5D"/>
    <w:rsid w:val="005D3CA3"/>
    <w:rsid w:val="005D3F1D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22EA"/>
    <w:rsid w:val="00664DCC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60DC"/>
    <w:rsid w:val="006D0589"/>
    <w:rsid w:val="006D3C24"/>
    <w:rsid w:val="006E24F8"/>
    <w:rsid w:val="006E2A66"/>
    <w:rsid w:val="006E7599"/>
    <w:rsid w:val="0070193F"/>
    <w:rsid w:val="00702E1D"/>
    <w:rsid w:val="00703452"/>
    <w:rsid w:val="0071432A"/>
    <w:rsid w:val="0071745D"/>
    <w:rsid w:val="0072165E"/>
    <w:rsid w:val="00732C97"/>
    <w:rsid w:val="00747E31"/>
    <w:rsid w:val="00751561"/>
    <w:rsid w:val="00752D42"/>
    <w:rsid w:val="0075317C"/>
    <w:rsid w:val="00755DBA"/>
    <w:rsid w:val="00766552"/>
    <w:rsid w:val="00771631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D323A"/>
    <w:rsid w:val="007D412C"/>
    <w:rsid w:val="007D63A5"/>
    <w:rsid w:val="007E15FA"/>
    <w:rsid w:val="007F6992"/>
    <w:rsid w:val="007F7301"/>
    <w:rsid w:val="00803374"/>
    <w:rsid w:val="0080558C"/>
    <w:rsid w:val="00807A7B"/>
    <w:rsid w:val="008131ED"/>
    <w:rsid w:val="0081702E"/>
    <w:rsid w:val="00817992"/>
    <w:rsid w:val="00817F85"/>
    <w:rsid w:val="00821DFF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D7B54"/>
    <w:rsid w:val="008E2C56"/>
    <w:rsid w:val="008F3170"/>
    <w:rsid w:val="008F4745"/>
    <w:rsid w:val="00901E30"/>
    <w:rsid w:val="009068BE"/>
    <w:rsid w:val="0090692D"/>
    <w:rsid w:val="00907A31"/>
    <w:rsid w:val="00910692"/>
    <w:rsid w:val="0091369C"/>
    <w:rsid w:val="009171DF"/>
    <w:rsid w:val="00917EBD"/>
    <w:rsid w:val="00923172"/>
    <w:rsid w:val="00926195"/>
    <w:rsid w:val="00933C6B"/>
    <w:rsid w:val="0093523D"/>
    <w:rsid w:val="00942B81"/>
    <w:rsid w:val="00945911"/>
    <w:rsid w:val="00950A0B"/>
    <w:rsid w:val="00955D48"/>
    <w:rsid w:val="00965500"/>
    <w:rsid w:val="0096589C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5AB4"/>
    <w:rsid w:val="009D2165"/>
    <w:rsid w:val="009E0D28"/>
    <w:rsid w:val="009E103A"/>
    <w:rsid w:val="009E3047"/>
    <w:rsid w:val="009E3BA0"/>
    <w:rsid w:val="009E43FD"/>
    <w:rsid w:val="009F62E2"/>
    <w:rsid w:val="009F6DC0"/>
    <w:rsid w:val="00A0391C"/>
    <w:rsid w:val="00A0555F"/>
    <w:rsid w:val="00A12A0A"/>
    <w:rsid w:val="00A13465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49EA"/>
    <w:rsid w:val="00AA57A1"/>
    <w:rsid w:val="00AB1DD7"/>
    <w:rsid w:val="00AB5F6A"/>
    <w:rsid w:val="00AB7920"/>
    <w:rsid w:val="00AC070A"/>
    <w:rsid w:val="00AC168F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90DAD"/>
    <w:rsid w:val="00B91AAC"/>
    <w:rsid w:val="00B946CF"/>
    <w:rsid w:val="00B964EF"/>
    <w:rsid w:val="00BA1555"/>
    <w:rsid w:val="00BA165F"/>
    <w:rsid w:val="00BA32FB"/>
    <w:rsid w:val="00BA63B3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380D"/>
    <w:rsid w:val="00C43425"/>
    <w:rsid w:val="00C461D9"/>
    <w:rsid w:val="00C53769"/>
    <w:rsid w:val="00C5440A"/>
    <w:rsid w:val="00C558A5"/>
    <w:rsid w:val="00C61611"/>
    <w:rsid w:val="00C70AE3"/>
    <w:rsid w:val="00C715E8"/>
    <w:rsid w:val="00C72302"/>
    <w:rsid w:val="00C723B3"/>
    <w:rsid w:val="00C735A3"/>
    <w:rsid w:val="00C77EC1"/>
    <w:rsid w:val="00C82C9D"/>
    <w:rsid w:val="00C83805"/>
    <w:rsid w:val="00C95D16"/>
    <w:rsid w:val="00CA4474"/>
    <w:rsid w:val="00CA6008"/>
    <w:rsid w:val="00CB652A"/>
    <w:rsid w:val="00CC00F4"/>
    <w:rsid w:val="00CC1CC6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707A7"/>
    <w:rsid w:val="00D76F0E"/>
    <w:rsid w:val="00D806FA"/>
    <w:rsid w:val="00D812F6"/>
    <w:rsid w:val="00D90C76"/>
    <w:rsid w:val="00D92152"/>
    <w:rsid w:val="00D97953"/>
    <w:rsid w:val="00D97F3B"/>
    <w:rsid w:val="00DA0221"/>
    <w:rsid w:val="00DA58AC"/>
    <w:rsid w:val="00DA6F7E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7CE8"/>
    <w:rsid w:val="00E22883"/>
    <w:rsid w:val="00E2717C"/>
    <w:rsid w:val="00E313F1"/>
    <w:rsid w:val="00E32904"/>
    <w:rsid w:val="00E34CBF"/>
    <w:rsid w:val="00E4445B"/>
    <w:rsid w:val="00E45E10"/>
    <w:rsid w:val="00E46BC2"/>
    <w:rsid w:val="00E50DA5"/>
    <w:rsid w:val="00E56BCD"/>
    <w:rsid w:val="00E6159E"/>
    <w:rsid w:val="00E67089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54AD"/>
    <w:rsid w:val="00EC5CEC"/>
    <w:rsid w:val="00EC6156"/>
    <w:rsid w:val="00EC728C"/>
    <w:rsid w:val="00ED0B67"/>
    <w:rsid w:val="00ED156C"/>
    <w:rsid w:val="00ED15D6"/>
    <w:rsid w:val="00ED2A70"/>
    <w:rsid w:val="00ED5E05"/>
    <w:rsid w:val="00EE10EE"/>
    <w:rsid w:val="00EE1368"/>
    <w:rsid w:val="00EE3B66"/>
    <w:rsid w:val="00EF21F0"/>
    <w:rsid w:val="00EF26ED"/>
    <w:rsid w:val="00F000A6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52B4"/>
    <w:rsid w:val="00F4786E"/>
    <w:rsid w:val="00F47C49"/>
    <w:rsid w:val="00F505B7"/>
    <w:rsid w:val="00F50E67"/>
    <w:rsid w:val="00F530C8"/>
    <w:rsid w:val="00F54003"/>
    <w:rsid w:val="00F5652E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D0919"/>
    <w:rsid w:val="00FD6BC9"/>
    <w:rsid w:val="00FE0AAC"/>
    <w:rsid w:val="00FE4B98"/>
    <w:rsid w:val="00FE74B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66A7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26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E953CC"/>
    <w:pPr>
      <w:numPr>
        <w:numId w:val="1"/>
      </w:num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953CC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D933-B2E6-4980-B1F0-0F292690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14587</TotalTime>
  <Pages>16</Pages>
  <Words>10758</Words>
  <Characters>6133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562</cp:revision>
  <dcterms:created xsi:type="dcterms:W3CDTF">2024-04-22T12:54:00Z</dcterms:created>
  <dcterms:modified xsi:type="dcterms:W3CDTF">2024-05-17T10:59:00Z</dcterms:modified>
</cp:coreProperties>
</file>