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Especificación de Requisitos</w:t>
      </w:r>
    </w:p>
    <w:p>
      <w:r>
        <w:t>Fecha: 2026-05-01 22:49:53</w:t>
      </w:r>
    </w:p>
    <w:p>
      <w:r>
        <w:t>Generado por: Sistema Multi-Agente de Ingeniería de Requisitos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 del Documento</w:t>
      </w:r>
    </w:p>
    <w:p>
      <w:r>
        <w:t>Este documento especifica los requisitos del sistema de software desarrollado.</w:t>
      </w:r>
    </w:p>
    <w:p>
      <w:pPr>
        <w:pStyle w:val="Heading2"/>
      </w:pPr>
      <w:r>
        <w:t>1.2 Alcance del Sistema</w:t>
      </w:r>
    </w:p>
    <w:p>
      <w:r>
        <w:t>El sistema abarca las funcionalidades descritas en los requisitos listados a continuación.</w:t>
      </w:r>
    </w:p>
    <w:p>
      <w:pPr>
        <w:pStyle w:val="Heading2"/>
      </w:pPr>
      <w:r>
        <w:t>1.3 Definiciones y Acrónimos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Acrónimo</w:t>
            </w:r>
          </w:p>
        </w:tc>
        <w:tc>
          <w:tcPr>
            <w:tcW w:type="dxa" w:w="4320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RF</w:t>
            </w:r>
          </w:p>
        </w:tc>
        <w:tc>
          <w:tcPr>
            <w:tcW w:type="dxa" w:w="4320"/>
          </w:tcPr>
          <w:p>
            <w:r>
              <w:t>Requisito Funcional</w:t>
            </w:r>
          </w:p>
        </w:tc>
      </w:tr>
      <w:tr>
        <w:tc>
          <w:tcPr>
            <w:tcW w:type="dxa" w:w="4320"/>
          </w:tcPr>
          <w:p>
            <w:r>
              <w:t>RNF</w:t>
            </w:r>
          </w:p>
        </w:tc>
        <w:tc>
          <w:tcPr>
            <w:tcW w:type="dxa" w:w="4320"/>
          </w:tcPr>
          <w:p>
            <w:r>
              <w:t>Requisito No Funcional</w:t>
            </w:r>
          </w:p>
        </w:tc>
      </w:tr>
      <w:tr>
        <w:tc>
          <w:tcPr>
            <w:tcW w:type="dxa" w:w="4320"/>
          </w:tcPr>
          <w:p>
            <w:r>
              <w:t>RD</w:t>
            </w:r>
          </w:p>
        </w:tc>
        <w:tc>
          <w:tcPr>
            <w:tcW w:type="dxa" w:w="4320"/>
          </w:tcPr>
          <w:p>
            <w:r>
              <w:t>Requisito de Dominio</w:t>
            </w:r>
          </w:p>
        </w:tc>
      </w:tr>
      <w:tr>
        <w:tc>
          <w:tcPr>
            <w:tcW w:type="dxa" w:w="4320"/>
          </w:tcPr>
          <w:p>
            <w:r>
              <w:t>MoSCoW</w:t>
            </w:r>
          </w:p>
        </w:tc>
        <w:tc>
          <w:tcPr>
            <w:tcW w:type="dxa" w:w="4320"/>
          </w:tcPr>
          <w:p>
            <w:r>
              <w:t>Must Have / Should Have / Could Have / Won't Have</w:t>
            </w:r>
          </w:p>
        </w:tc>
      </w:tr>
      <w:tr>
        <w:tc>
          <w:tcPr>
            <w:tcW w:type="dxa" w:w="4320"/>
          </w:tcPr>
          <w:p>
            <w:r>
              <w:t>ISO 29148</w:t>
            </w:r>
          </w:p>
        </w:tc>
        <w:tc>
          <w:tcPr>
            <w:tcW w:type="dxa" w:w="4320"/>
          </w:tcPr>
          <w:p>
            <w:r>
              <w:t>Estándar internacional para ingeniería de requisitos</w:t>
            </w:r>
          </w:p>
        </w:tc>
      </w:tr>
    </w:tbl>
    <w:p>
      <w:pPr>
        <w:pStyle w:val="Heading1"/>
      </w:pPr>
      <w:r>
        <w:t>2. Descripción General</w:t>
      </w:r>
    </w:p>
    <w:p>
      <w:r>
        <w:t>El sistema ha sido diseñado para satisfacer las necesidades identificadas durante el proceso de ingeniería de requisitos.</w:t>
      </w:r>
    </w:p>
    <w:p>
      <w:pPr>
        <w:pStyle w:val="Heading1"/>
      </w:pPr>
      <w:r>
        <w:t>3. Requisitos Funcionales (RF)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Criterio de Aceptación</w:t>
            </w:r>
          </w:p>
        </w:tc>
      </w:tr>
      <w:tr>
        <w:tc>
          <w:tcPr>
            <w:tcW w:type="dxa" w:w="2160"/>
          </w:tcPr>
          <w:p>
            <w:r>
              <w:t>RF-01</w:t>
            </w:r>
          </w:p>
        </w:tc>
        <w:tc>
          <w:tcPr>
            <w:tcW w:type="dxa" w:w="2160"/>
          </w:tcPr>
          <w:p>
            <w:r>
              <w:t>El sistema debe realizar una búsqueda de perfumes en función de la intensidad y el olor, devolviendo los resultados ordenados por relevancia.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La búsqueda devuelve un conjunto de resultados con al menos 90% de coincidencia con la intensidad y el olor especificados en la consulta.</w:t>
            </w:r>
          </w:p>
        </w:tc>
      </w:tr>
    </w:tbl>
    <w:p>
      <w:pPr>
        <w:pStyle w:val="Heading1"/>
      </w:pPr>
      <w:r>
        <w:t>4. Requisitos No Funcionales (RNF)</w:t>
      </w:r>
    </w:p>
    <w:p>
      <w:r>
        <w:t>No se registraron requisitos en esta categoría.</w:t>
      </w:r>
    </w:p>
    <w:p>
      <w:pPr>
        <w:pStyle w:val="Heading1"/>
      </w:pPr>
      <w:r>
        <w:t>5. Restricciones de Dominio (RD)</w:t>
      </w:r>
    </w:p>
    <w:p>
      <w:r>
        <w:t>No se registraron requisitos en esta categoría.</w:t>
      </w:r>
    </w:p>
    <w:p>
      <w:pPr>
        <w:pStyle w:val="Heading1"/>
      </w:pPr>
      <w:r>
        <w:t>6. Tabla de Priorización MoSCoW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Categoría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Justificación</w:t>
            </w:r>
          </w:p>
        </w:tc>
      </w:tr>
      <w:tr>
        <w:tc>
          <w:tcPr>
            <w:tcW w:type="dxa" w:w="1728"/>
          </w:tcPr>
          <w:p>
            <w:r>
              <w:t>RF-01</w:t>
            </w:r>
          </w:p>
        </w:tc>
        <w:tc>
          <w:tcPr>
            <w:tcW w:type="dxa" w:w="1728"/>
          </w:tcPr>
          <w:p>
            <w:r>
              <w:t xml:space="preserve">El sistema debe realizar una búsqueda de perfumes en función de la intensidad y 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Must Have — score 3.8/5: alto impacto de negocio (5/5). Requisito crítico para el MVP.</w:t>
            </w:r>
          </w:p>
        </w:tc>
      </w:tr>
    </w:tbl>
    <w:p>
      <w:r>
        <w:br w:type="page"/>
      </w:r>
    </w:p>
    <w:p>
      <w:pPr>
        <w:pStyle w:val="Heading1"/>
      </w:pPr>
      <w:r>
        <w:t>ANEXO B — Razonamiento de Clasificación</w:t>
      </w:r>
    </w:p>
    <w:p>
      <w:pPr>
        <w:pStyle w:val="Heading2"/>
      </w:pPr>
      <w:r>
        <w:t>B.1 — RF-01</w:t>
      </w:r>
    </w:p>
    <w:p>
      <w:r>
        <w:t>Descripción: El sistema debe realizar una búsqueda de perfumes en función de la intensidad y el olor, devolviendo los resultados ordenados por relevancia.</w:t>
      </w:r>
    </w:p>
    <w:p>
      <w:r>
        <w:t>Tipo: Funcional</w:t>
      </w:r>
    </w:p>
    <w:p>
      <w:r>
        <w:t>Prioridad: Alta</w:t>
      </w:r>
    </w:p>
    <w:p>
      <w:r>
        <w:t>Criterio de Aceptación: La búsqueda devuelve un conjunto de resultados con al menos 90% de coincidencia con la intensidad y el olor especificados en la consulta.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