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Arial" w:hAnsi="Arial"/>
          <w:b/>
          <w:color w:val="006C49"/>
          <w:sz w:val="28"/>
        </w:rPr>
        <w:t>INSTITUTO SUPERIOR VILLA DEL ROSARIO</w:t>
      </w:r>
    </w:p>
    <w:p>
      <w:pPr>
        <w:spacing w:after="400"/>
        <w:jc w:val="center"/>
      </w:pPr>
      <w:r>
        <w:rPr>
          <w:rFonts w:ascii="Arial" w:hAnsi="Arial"/>
          <w:b/>
          <w:color w:val="46554E"/>
          <w:sz w:val="22"/>
        </w:rPr>
        <w:t>Tecnicatura Superior en Desarrollo de Software</w:t>
        <w:br/>
        <w:t>Práctica Profesionalizante I y II — Ciclo Lectivo 2026</w:t>
      </w:r>
    </w:p>
    <w:p>
      <w:pPr>
        <w:spacing w:after="400"/>
        <w:jc w:val="center"/>
      </w:pPr>
      <w:r>
        <w:drawing>
          <wp:inline xmlns:a="http://schemas.openxmlformats.org/drawingml/2006/main" xmlns:pic="http://schemas.openxmlformats.org/drawingml/2006/picture">
            <wp:extent cx="2926080" cy="16002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926080" cy="1600200"/>
                    </a:xfrm>
                    <a:prstGeom prst="rect"/>
                  </pic:spPr>
                </pic:pic>
              </a:graphicData>
            </a:graphic>
          </wp:inline>
        </w:drawing>
      </w:r>
    </w:p>
    <w:p>
      <w:pPr>
        <w:spacing w:after="120"/>
        <w:jc w:val="center"/>
      </w:pPr>
      <w:r>
        <w:rPr>
          <w:rFonts w:ascii="Arial" w:hAnsi="Arial"/>
          <w:b/>
          <w:color w:val="005AC2"/>
          <w:sz w:val="26"/>
        </w:rPr>
        <w:t>PROYECTO FINAL INTEGRADOR (PIN)</w:t>
      </w:r>
    </w:p>
    <w:p>
      <w:pPr>
        <w:spacing w:after="160"/>
        <w:jc w:val="center"/>
      </w:pPr>
      <w:r>
        <w:rPr>
          <w:rFonts w:ascii="Arial" w:hAnsi="Arial"/>
          <w:b/>
          <w:color w:val="006C49"/>
          <w:sz w:val="40"/>
        </w:rPr>
        <w:t>EcoMapa Suite V2.1:</w:t>
        <w:br/>
        <w:t>Ecosistema Integral de Gestión Territorial, Reciclaje Inteligente &amp; Economía Circular</w:t>
      </w:r>
    </w:p>
    <w:p>
      <w:pPr>
        <w:spacing w:after="600"/>
        <w:jc w:val="center"/>
      </w:pPr>
      <w:r>
        <w:rPr>
          <w:rFonts w:ascii="Arial" w:hAnsi="Arial"/>
          <w:i/>
          <w:color w:val="46554E"/>
          <w:sz w:val="21"/>
        </w:rPr>
        <w:t>Plataforma SaaS Multi-Jurisdiccional con Inteligencia Artificial Multimodal (Google Gemini), Trazabilidad Geoespacial PostGIS, Escáner Fotográfico y Billetera de Incentivos</w:t>
      </w:r>
    </w:p>
    <w:tbl>
      <w:tblPr>
        <w:tblW w:type="auto" w:w="0"/>
        <w:jc w:val="center"/>
        <w:tblLayout w:type="fixed"/>
        <w:tblLook w:firstColumn="1" w:firstRow="1" w:lastColumn="0" w:lastRow="0" w:noHBand="0" w:noVBand="1" w:val="04A0"/>
      </w:tblPr>
      <w:tblGrid>
        <w:gridCol w:w="4514"/>
        <w:gridCol w:w="4514"/>
      </w:tblGrid>
      <w:tr>
        <w:tc>
          <w:tcPr>
            <w:tcW w:type="dxa" w:w="3168"/>
            <w:shd w:fill="F2F6F3"/>
            <w:tcMar>
              <w:top w:w="80" w:type="dxa"/>
              <w:bottom w:w="80" w:type="dxa"/>
              <w:left w:w="100" w:type="dxa"/>
              <w:right w:w="100" w:type="dxa"/>
            </w:tcMar>
          </w:tcPr>
          <w:p>
            <w:pPr>
              <w:spacing w:after="0"/>
            </w:pPr>
            <w:r>
              <w:rPr>
                <w:rFonts w:ascii="Arial" w:hAnsi="Arial"/>
                <w:b/>
                <w:color w:val="191C1E"/>
                <w:sz w:val="20"/>
              </w:rPr>
              <w:t>Empresa Desarrolladora:</w:t>
            </w:r>
          </w:p>
        </w:tc>
        <w:tc>
          <w:tcPr>
            <w:tcW w:type="dxa" w:w="6192"/>
            <w:shd w:fill="F2F6F3"/>
            <w:tcMar>
              <w:top w:w="80" w:type="dxa"/>
              <w:bottom w:w="80" w:type="dxa"/>
              <w:left w:w="100" w:type="dxa"/>
              <w:right w:w="100" w:type="dxa"/>
            </w:tcMar>
          </w:tcPr>
          <w:p>
            <w:pPr>
              <w:spacing w:after="0"/>
            </w:pPr>
            <w:r>
              <w:rPr>
                <w:rFonts w:ascii="Arial" w:hAnsi="Arial"/>
                <w:color w:val="191C1E"/>
                <w:sz w:val="20"/>
              </w:rPr>
              <w:t>CivicLoop Technologies S.A.</w:t>
            </w:r>
          </w:p>
        </w:tc>
      </w:tr>
      <w:tr>
        <w:tc>
          <w:tcPr>
            <w:tcW w:type="dxa" w:w="3168"/>
            <w:shd w:fill="F2F6F3"/>
            <w:tcMar>
              <w:top w:w="80" w:type="dxa"/>
              <w:bottom w:w="80" w:type="dxa"/>
              <w:left w:w="100" w:type="dxa"/>
              <w:right w:w="100" w:type="dxa"/>
            </w:tcMar>
          </w:tcPr>
          <w:p>
            <w:pPr>
              <w:spacing w:after="0"/>
            </w:pPr>
            <w:r>
              <w:rPr>
                <w:rFonts w:ascii="Arial" w:hAnsi="Arial"/>
                <w:b/>
                <w:color w:val="191C1E"/>
                <w:sz w:val="20"/>
              </w:rPr>
              <w:t>Integrantes del Proyecto:</w:t>
            </w:r>
          </w:p>
        </w:tc>
        <w:tc>
          <w:tcPr>
            <w:tcW w:type="dxa" w:w="6192"/>
            <w:shd w:fill="F2F6F3"/>
            <w:tcMar>
              <w:top w:w="80" w:type="dxa"/>
              <w:bottom w:w="80" w:type="dxa"/>
              <w:left w:w="100" w:type="dxa"/>
              <w:right w:w="100" w:type="dxa"/>
            </w:tcMar>
          </w:tcPr>
          <w:p>
            <w:pPr>
              <w:spacing w:after="0"/>
            </w:pPr>
            <w:r>
              <w:rPr>
                <w:rFonts w:ascii="Arial" w:hAnsi="Arial"/>
                <w:color w:val="191C1E"/>
                <w:sz w:val="20"/>
              </w:rPr>
              <w:t>Naomi Ailín Soria Jofré — Gerardo Jesús Romero</w:t>
            </w:r>
          </w:p>
        </w:tc>
      </w:tr>
      <w:tr>
        <w:tc>
          <w:tcPr>
            <w:tcW w:type="dxa" w:w="3168"/>
            <w:shd w:fill="F2F6F3"/>
            <w:tcMar>
              <w:top w:w="80" w:type="dxa"/>
              <w:bottom w:w="80" w:type="dxa"/>
              <w:left w:w="100" w:type="dxa"/>
              <w:right w:w="100" w:type="dxa"/>
            </w:tcMar>
          </w:tcPr>
          <w:p>
            <w:pPr>
              <w:spacing w:after="0"/>
            </w:pPr>
            <w:r>
              <w:rPr>
                <w:rFonts w:ascii="Arial" w:hAnsi="Arial"/>
                <w:b/>
                <w:color w:val="191C1E"/>
                <w:sz w:val="20"/>
              </w:rPr>
              <w:t>Docente Responsable:</w:t>
            </w:r>
          </w:p>
        </w:tc>
        <w:tc>
          <w:tcPr>
            <w:tcW w:type="dxa" w:w="6192"/>
            <w:shd w:fill="F2F6F3"/>
            <w:tcMar>
              <w:top w:w="80" w:type="dxa"/>
              <w:bottom w:w="80" w:type="dxa"/>
              <w:left w:w="100" w:type="dxa"/>
              <w:right w:w="100" w:type="dxa"/>
            </w:tcMar>
          </w:tcPr>
          <w:p>
            <w:pPr>
              <w:spacing w:after="0"/>
            </w:pPr>
            <w:r>
              <w:rPr>
                <w:rFonts w:ascii="Arial" w:hAnsi="Arial"/>
                <w:color w:val="191C1E"/>
                <w:sz w:val="20"/>
              </w:rPr>
              <w:t>Mgter. Lic. Enzo Varela (Analista de Sistemas, MP: 3215)</w:t>
            </w:r>
          </w:p>
        </w:tc>
      </w:tr>
      <w:tr>
        <w:tc>
          <w:tcPr>
            <w:tcW w:type="dxa" w:w="3168"/>
            <w:shd w:fill="F2F6F3"/>
            <w:tcMar>
              <w:top w:w="80" w:type="dxa"/>
              <w:bottom w:w="80" w:type="dxa"/>
              <w:left w:w="100" w:type="dxa"/>
              <w:right w:w="100" w:type="dxa"/>
            </w:tcMar>
          </w:tcPr>
          <w:p>
            <w:pPr>
              <w:spacing w:after="0"/>
            </w:pPr>
            <w:r>
              <w:rPr>
                <w:rFonts w:ascii="Arial" w:hAnsi="Arial"/>
                <w:b/>
                <w:color w:val="191C1E"/>
                <w:sz w:val="20"/>
              </w:rPr>
              <w:t>Sede y Fecha de Presentación:</w:t>
            </w:r>
          </w:p>
        </w:tc>
        <w:tc>
          <w:tcPr>
            <w:tcW w:type="dxa" w:w="6192"/>
            <w:shd w:fill="F2F6F3"/>
            <w:tcMar>
              <w:top w:w="80" w:type="dxa"/>
              <w:bottom w:w="80" w:type="dxa"/>
              <w:left w:w="100" w:type="dxa"/>
              <w:right w:w="100" w:type="dxa"/>
            </w:tcMar>
          </w:tcPr>
          <w:p>
            <w:pPr>
              <w:spacing w:after="0"/>
            </w:pPr>
            <w:r>
              <w:rPr>
                <w:rFonts w:ascii="Arial" w:hAnsi="Arial"/>
                <w:color w:val="191C1E"/>
                <w:sz w:val="20"/>
              </w:rPr>
              <w:t>Villa del Rosario, Córdoba, Argentina — Octubre de 2026</w:t>
            </w:r>
          </w:p>
        </w:tc>
      </w:tr>
    </w:tbl>
    <w:p>
      <w:r>
        <w:br w:type="page"/>
      </w:r>
    </w:p>
    <w:p>
      <w:pPr>
        <w:keepNext/>
        <w:spacing w:before="320" w:after="160"/>
      </w:pPr>
      <w:r>
        <w:rPr>
          <w:rFonts w:ascii="Arial" w:hAnsi="Arial"/>
          <w:b/>
          <w:color w:val="006C49"/>
          <w:sz w:val="32"/>
        </w:rPr>
        <w:t>ÍNDICE GENERAL DEL PROYECTO</w:t>
      </w:r>
    </w:p>
    <w:tbl>
      <w:tblPr>
        <w:tblW w:type="auto" w:w="0"/>
        <w:jc w:val="center"/>
        <w:tblLayout w:type="fixed"/>
        <w:tblLook w:firstColumn="1" w:firstRow="1" w:lastColumn="0" w:lastRow="0" w:noHBand="0" w:noVBand="1" w:val="04A0"/>
      </w:tblPr>
      <w:tblGrid>
        <w:gridCol w:w="4514"/>
        <w:gridCol w:w="4514"/>
      </w:tblGrid>
      <w:tr>
        <w:tc>
          <w:tcPr>
            <w:tcW w:type="dxa" w:w="8352"/>
            <w:tcMar>
              <w:top w:w="30" w:type="dxa"/>
              <w:bottom w:w="30" w:type="dxa"/>
              <w:left w:w="40" w:type="dxa"/>
              <w:right w:w="40" w:type="dxa"/>
            </w:tcMar>
          </w:tcPr>
          <w:p>
            <w:pPr>
              <w:spacing w:after="40"/>
            </w:pPr>
            <w:r>
              <w:rPr>
                <w:rFonts w:ascii="Arial" w:hAnsi="Arial"/>
                <w:b/>
                <w:color w:val="006C49"/>
                <w:sz w:val="19"/>
              </w:rPr>
              <w:t>1. Resumen Ejecutivo</w:t>
            </w:r>
          </w:p>
        </w:tc>
        <w:tc>
          <w:tcPr>
            <w:tcW w:type="dxa" w:w="1008"/>
            <w:tcMar>
              <w:top w:w="30" w:type="dxa"/>
              <w:bottom w:w="30" w:type="dxa"/>
              <w:left w:w="40" w:type="dxa"/>
              <w:right w:w="40" w:type="dxa"/>
            </w:tcMar>
          </w:tcPr>
          <w:p>
            <w:pPr>
              <w:spacing w:after="40"/>
              <w:jc w:val="right"/>
            </w:pPr>
            <w:r>
              <w:rPr>
                <w:rFonts w:ascii="Arial" w:hAnsi="Arial"/>
                <w:b/>
                <w:color w:val="46554E"/>
                <w:sz w:val="19"/>
              </w:rPr>
              <w:t>3</w:t>
            </w:r>
          </w:p>
        </w:tc>
      </w:tr>
      <w:tr>
        <w:tc>
          <w:tcPr>
            <w:tcW w:type="dxa" w:w="8352"/>
            <w:tcMar>
              <w:top w:w="30" w:type="dxa"/>
              <w:bottom w:w="30" w:type="dxa"/>
              <w:left w:w="40" w:type="dxa"/>
              <w:right w:w="40" w:type="dxa"/>
            </w:tcMar>
          </w:tcPr>
          <w:p>
            <w:pPr>
              <w:spacing w:after="40"/>
            </w:pPr>
            <w:r>
              <w:rPr>
                <w:rFonts w:ascii="Arial" w:hAnsi="Arial"/>
                <w:color w:val="191C1E"/>
                <w:sz w:val="19"/>
              </w:rPr>
              <w:t xml:space="preserve">   1.1. Descripción Breve del Proyecto</w:t>
            </w:r>
          </w:p>
        </w:tc>
        <w:tc>
          <w:tcPr>
            <w:tcW w:type="dxa" w:w="1008"/>
            <w:tcMar>
              <w:top w:w="30" w:type="dxa"/>
              <w:bottom w:w="30" w:type="dxa"/>
              <w:left w:w="40" w:type="dxa"/>
              <w:right w:w="40" w:type="dxa"/>
            </w:tcMar>
          </w:tcPr>
          <w:p>
            <w:pPr>
              <w:spacing w:after="40"/>
              <w:jc w:val="right"/>
            </w:pPr>
            <w:r>
              <w:rPr>
                <w:rFonts w:ascii="Arial" w:hAnsi="Arial"/>
                <w:b/>
                <w:color w:val="46554E"/>
                <w:sz w:val="19"/>
              </w:rPr>
              <w:t>3</w:t>
            </w:r>
          </w:p>
        </w:tc>
      </w:tr>
      <w:tr>
        <w:tc>
          <w:tcPr>
            <w:tcW w:type="dxa" w:w="8352"/>
            <w:tcMar>
              <w:top w:w="30" w:type="dxa"/>
              <w:bottom w:w="30" w:type="dxa"/>
              <w:left w:w="40" w:type="dxa"/>
              <w:right w:w="40" w:type="dxa"/>
            </w:tcMar>
          </w:tcPr>
          <w:p>
            <w:pPr>
              <w:spacing w:after="40"/>
            </w:pPr>
            <w:r>
              <w:rPr>
                <w:rFonts w:ascii="Arial" w:hAnsi="Arial"/>
                <w:color w:val="191C1E"/>
                <w:sz w:val="19"/>
              </w:rPr>
              <w:t xml:space="preserve">   1.2. Problema que se Aborda</w:t>
            </w:r>
          </w:p>
        </w:tc>
        <w:tc>
          <w:tcPr>
            <w:tcW w:type="dxa" w:w="1008"/>
            <w:tcMar>
              <w:top w:w="30" w:type="dxa"/>
              <w:bottom w:w="30" w:type="dxa"/>
              <w:left w:w="40" w:type="dxa"/>
              <w:right w:w="40" w:type="dxa"/>
            </w:tcMar>
          </w:tcPr>
          <w:p>
            <w:pPr>
              <w:spacing w:after="40"/>
              <w:jc w:val="right"/>
            </w:pPr>
            <w:r>
              <w:rPr>
                <w:rFonts w:ascii="Arial" w:hAnsi="Arial"/>
                <w:b/>
                <w:color w:val="46554E"/>
                <w:sz w:val="19"/>
              </w:rPr>
              <w:t>3</w:t>
            </w:r>
          </w:p>
        </w:tc>
      </w:tr>
      <w:tr>
        <w:tc>
          <w:tcPr>
            <w:tcW w:type="dxa" w:w="8352"/>
            <w:tcMar>
              <w:top w:w="30" w:type="dxa"/>
              <w:bottom w:w="30" w:type="dxa"/>
              <w:left w:w="40" w:type="dxa"/>
              <w:right w:w="40" w:type="dxa"/>
            </w:tcMar>
          </w:tcPr>
          <w:p>
            <w:pPr>
              <w:spacing w:after="40"/>
            </w:pPr>
            <w:r>
              <w:rPr>
                <w:rFonts w:ascii="Arial" w:hAnsi="Arial"/>
                <w:color w:val="191C1E"/>
                <w:sz w:val="19"/>
              </w:rPr>
              <w:t xml:space="preserve">   1.3. Solución Propuesta (EcoMapa Suite)</w:t>
            </w:r>
          </w:p>
        </w:tc>
        <w:tc>
          <w:tcPr>
            <w:tcW w:type="dxa" w:w="1008"/>
            <w:tcMar>
              <w:top w:w="30" w:type="dxa"/>
              <w:bottom w:w="30" w:type="dxa"/>
              <w:left w:w="40" w:type="dxa"/>
              <w:right w:w="40" w:type="dxa"/>
            </w:tcMar>
          </w:tcPr>
          <w:p>
            <w:pPr>
              <w:spacing w:after="40"/>
              <w:jc w:val="right"/>
            </w:pPr>
            <w:r>
              <w:rPr>
                <w:rFonts w:ascii="Arial" w:hAnsi="Arial"/>
                <w:b/>
                <w:color w:val="46554E"/>
                <w:sz w:val="19"/>
              </w:rPr>
              <w:t>4</w:t>
            </w:r>
          </w:p>
        </w:tc>
      </w:tr>
      <w:tr>
        <w:tc>
          <w:tcPr>
            <w:tcW w:type="dxa" w:w="8352"/>
            <w:tcMar>
              <w:top w:w="30" w:type="dxa"/>
              <w:bottom w:w="30" w:type="dxa"/>
              <w:left w:w="40" w:type="dxa"/>
              <w:right w:w="40" w:type="dxa"/>
            </w:tcMar>
          </w:tcPr>
          <w:p>
            <w:pPr>
              <w:spacing w:after="40"/>
            </w:pPr>
            <w:r>
              <w:rPr>
                <w:rFonts w:ascii="Arial" w:hAnsi="Arial"/>
                <w:color w:val="191C1E"/>
                <w:sz w:val="19"/>
              </w:rPr>
              <w:t xml:space="preserve">   1.4. Público Objetivo y Segmentación</w:t>
            </w:r>
          </w:p>
        </w:tc>
        <w:tc>
          <w:tcPr>
            <w:tcW w:type="dxa" w:w="1008"/>
            <w:tcMar>
              <w:top w:w="30" w:type="dxa"/>
              <w:bottom w:w="30" w:type="dxa"/>
              <w:left w:w="40" w:type="dxa"/>
              <w:right w:w="40" w:type="dxa"/>
            </w:tcMar>
          </w:tcPr>
          <w:p>
            <w:pPr>
              <w:spacing w:after="40"/>
              <w:jc w:val="right"/>
            </w:pPr>
            <w:r>
              <w:rPr>
                <w:rFonts w:ascii="Arial" w:hAnsi="Arial"/>
                <w:b/>
                <w:color w:val="46554E"/>
                <w:sz w:val="19"/>
              </w:rPr>
              <w:t>4</w:t>
            </w:r>
          </w:p>
        </w:tc>
      </w:tr>
      <w:tr>
        <w:tc>
          <w:tcPr>
            <w:tcW w:type="dxa" w:w="8352"/>
            <w:tcMar>
              <w:top w:w="30" w:type="dxa"/>
              <w:bottom w:w="30" w:type="dxa"/>
              <w:left w:w="40" w:type="dxa"/>
              <w:right w:w="40" w:type="dxa"/>
            </w:tcMar>
          </w:tcPr>
          <w:p>
            <w:pPr>
              <w:spacing w:after="40"/>
            </w:pPr>
            <w:r>
              <w:rPr>
                <w:rFonts w:ascii="Arial" w:hAnsi="Arial"/>
                <w:color w:val="191C1E"/>
                <w:sz w:val="19"/>
              </w:rPr>
              <w:t xml:space="preserve">   1.5. Valor Diferencial y Ventaja Competitiva</w:t>
            </w:r>
          </w:p>
        </w:tc>
        <w:tc>
          <w:tcPr>
            <w:tcW w:type="dxa" w:w="1008"/>
            <w:tcMar>
              <w:top w:w="30" w:type="dxa"/>
              <w:bottom w:w="30" w:type="dxa"/>
              <w:left w:w="40" w:type="dxa"/>
              <w:right w:w="40" w:type="dxa"/>
            </w:tcMar>
          </w:tcPr>
          <w:p>
            <w:pPr>
              <w:spacing w:after="40"/>
              <w:jc w:val="right"/>
            </w:pPr>
            <w:r>
              <w:rPr>
                <w:rFonts w:ascii="Arial" w:hAnsi="Arial"/>
                <w:b/>
                <w:color w:val="46554E"/>
                <w:sz w:val="19"/>
              </w:rPr>
              <w:t>5</w:t>
            </w:r>
          </w:p>
        </w:tc>
      </w:tr>
      <w:tr>
        <w:tc>
          <w:tcPr>
            <w:tcW w:type="dxa" w:w="8352"/>
            <w:tcMar>
              <w:top w:w="30" w:type="dxa"/>
              <w:bottom w:w="30" w:type="dxa"/>
              <w:left w:w="40" w:type="dxa"/>
              <w:right w:w="40" w:type="dxa"/>
            </w:tcMar>
          </w:tcPr>
          <w:p>
            <w:pPr>
              <w:spacing w:after="40"/>
            </w:pPr>
            <w:r>
              <w:rPr>
                <w:rFonts w:ascii="Arial" w:hAnsi="Arial"/>
                <w:b/>
                <w:color w:val="006C49"/>
                <w:sz w:val="19"/>
              </w:rPr>
              <w:t>2. Descripción del Problema y Oportunidad</w:t>
            </w:r>
          </w:p>
        </w:tc>
        <w:tc>
          <w:tcPr>
            <w:tcW w:type="dxa" w:w="1008"/>
            <w:tcMar>
              <w:top w:w="30" w:type="dxa"/>
              <w:bottom w:w="30" w:type="dxa"/>
              <w:left w:w="40" w:type="dxa"/>
              <w:right w:w="40" w:type="dxa"/>
            </w:tcMar>
          </w:tcPr>
          <w:p>
            <w:pPr>
              <w:spacing w:after="40"/>
              <w:jc w:val="right"/>
            </w:pPr>
            <w:r>
              <w:rPr>
                <w:rFonts w:ascii="Arial" w:hAnsi="Arial"/>
                <w:b/>
                <w:color w:val="46554E"/>
                <w:sz w:val="19"/>
              </w:rPr>
              <w:t>6</w:t>
            </w:r>
          </w:p>
        </w:tc>
      </w:tr>
      <w:tr>
        <w:tc>
          <w:tcPr>
            <w:tcW w:type="dxa" w:w="8352"/>
            <w:tcMar>
              <w:top w:w="30" w:type="dxa"/>
              <w:bottom w:w="30" w:type="dxa"/>
              <w:left w:w="40" w:type="dxa"/>
              <w:right w:w="40" w:type="dxa"/>
            </w:tcMar>
          </w:tcPr>
          <w:p>
            <w:pPr>
              <w:spacing w:after="40"/>
            </w:pPr>
            <w:r>
              <w:rPr>
                <w:rFonts w:ascii="Arial" w:hAnsi="Arial"/>
                <w:color w:val="191C1E"/>
                <w:sz w:val="19"/>
              </w:rPr>
              <w:t xml:space="preserve">   2.1. Contexto del Problema Territorial</w:t>
            </w:r>
          </w:p>
        </w:tc>
        <w:tc>
          <w:tcPr>
            <w:tcW w:type="dxa" w:w="1008"/>
            <w:tcMar>
              <w:top w:w="30" w:type="dxa"/>
              <w:bottom w:w="30" w:type="dxa"/>
              <w:left w:w="40" w:type="dxa"/>
              <w:right w:w="40" w:type="dxa"/>
            </w:tcMar>
          </w:tcPr>
          <w:p>
            <w:pPr>
              <w:spacing w:after="40"/>
              <w:jc w:val="right"/>
            </w:pPr>
            <w:r>
              <w:rPr>
                <w:rFonts w:ascii="Arial" w:hAnsi="Arial"/>
                <w:b/>
                <w:color w:val="46554E"/>
                <w:sz w:val="19"/>
              </w:rPr>
              <w:t>6</w:t>
            </w:r>
          </w:p>
        </w:tc>
      </w:tr>
      <w:tr>
        <w:tc>
          <w:tcPr>
            <w:tcW w:type="dxa" w:w="8352"/>
            <w:tcMar>
              <w:top w:w="30" w:type="dxa"/>
              <w:bottom w:w="30" w:type="dxa"/>
              <w:left w:w="40" w:type="dxa"/>
              <w:right w:w="40" w:type="dxa"/>
            </w:tcMar>
          </w:tcPr>
          <w:p>
            <w:pPr>
              <w:spacing w:after="40"/>
            </w:pPr>
            <w:r>
              <w:rPr>
                <w:rFonts w:ascii="Arial" w:hAnsi="Arial"/>
                <w:color w:val="191C1E"/>
                <w:sz w:val="19"/>
              </w:rPr>
              <w:t xml:space="preserve">   2.2. Análisis de la Situación Actual y Fallas de Mercado</w:t>
            </w:r>
          </w:p>
        </w:tc>
        <w:tc>
          <w:tcPr>
            <w:tcW w:type="dxa" w:w="1008"/>
            <w:tcMar>
              <w:top w:w="30" w:type="dxa"/>
              <w:bottom w:w="30" w:type="dxa"/>
              <w:left w:w="40" w:type="dxa"/>
              <w:right w:w="40" w:type="dxa"/>
            </w:tcMar>
          </w:tcPr>
          <w:p>
            <w:pPr>
              <w:spacing w:after="40"/>
              <w:jc w:val="right"/>
            </w:pPr>
            <w:r>
              <w:rPr>
                <w:rFonts w:ascii="Arial" w:hAnsi="Arial"/>
                <w:b/>
                <w:color w:val="46554E"/>
                <w:sz w:val="19"/>
              </w:rPr>
              <w:t>7</w:t>
            </w:r>
          </w:p>
        </w:tc>
      </w:tr>
      <w:tr>
        <w:tc>
          <w:tcPr>
            <w:tcW w:type="dxa" w:w="8352"/>
            <w:tcMar>
              <w:top w:w="30" w:type="dxa"/>
              <w:bottom w:w="30" w:type="dxa"/>
              <w:left w:w="40" w:type="dxa"/>
              <w:right w:w="40" w:type="dxa"/>
            </w:tcMar>
          </w:tcPr>
          <w:p>
            <w:pPr>
              <w:spacing w:after="40"/>
            </w:pPr>
            <w:r>
              <w:rPr>
                <w:rFonts w:ascii="Arial" w:hAnsi="Arial"/>
                <w:color w:val="191C1E"/>
                <w:sz w:val="19"/>
              </w:rPr>
              <w:t xml:space="preserve">   2.3. Justificación del Proyecto</w:t>
            </w:r>
          </w:p>
        </w:tc>
        <w:tc>
          <w:tcPr>
            <w:tcW w:type="dxa" w:w="1008"/>
            <w:tcMar>
              <w:top w:w="30" w:type="dxa"/>
              <w:bottom w:w="30" w:type="dxa"/>
              <w:left w:w="40" w:type="dxa"/>
              <w:right w:w="40" w:type="dxa"/>
            </w:tcMar>
          </w:tcPr>
          <w:p>
            <w:pPr>
              <w:spacing w:after="40"/>
              <w:jc w:val="right"/>
            </w:pPr>
            <w:r>
              <w:rPr>
                <w:rFonts w:ascii="Arial" w:hAnsi="Arial"/>
                <w:b/>
                <w:color w:val="46554E"/>
                <w:sz w:val="19"/>
              </w:rPr>
              <w:t>8</w:t>
            </w:r>
          </w:p>
        </w:tc>
      </w:tr>
      <w:tr>
        <w:tc>
          <w:tcPr>
            <w:tcW w:type="dxa" w:w="8352"/>
            <w:tcMar>
              <w:top w:w="30" w:type="dxa"/>
              <w:bottom w:w="30" w:type="dxa"/>
              <w:left w:w="40" w:type="dxa"/>
              <w:right w:w="40" w:type="dxa"/>
            </w:tcMar>
          </w:tcPr>
          <w:p>
            <w:pPr>
              <w:spacing w:after="40"/>
            </w:pPr>
            <w:r>
              <w:rPr>
                <w:rFonts w:ascii="Arial" w:hAnsi="Arial"/>
                <w:color w:val="191C1E"/>
                <w:sz w:val="19"/>
              </w:rPr>
              <w:t xml:space="preserve">   2.4. Impacto Esperado (Ambiental, Económico y Social)</w:t>
            </w:r>
          </w:p>
        </w:tc>
        <w:tc>
          <w:tcPr>
            <w:tcW w:type="dxa" w:w="1008"/>
            <w:tcMar>
              <w:top w:w="30" w:type="dxa"/>
              <w:bottom w:w="30" w:type="dxa"/>
              <w:left w:w="40" w:type="dxa"/>
              <w:right w:w="40" w:type="dxa"/>
            </w:tcMar>
          </w:tcPr>
          <w:p>
            <w:pPr>
              <w:spacing w:after="40"/>
              <w:jc w:val="right"/>
            </w:pPr>
            <w:r>
              <w:rPr>
                <w:rFonts w:ascii="Arial" w:hAnsi="Arial"/>
                <w:b/>
                <w:color w:val="46554E"/>
                <w:sz w:val="19"/>
              </w:rPr>
              <w:t>9</w:t>
            </w:r>
          </w:p>
        </w:tc>
      </w:tr>
      <w:tr>
        <w:tc>
          <w:tcPr>
            <w:tcW w:type="dxa" w:w="8352"/>
            <w:tcMar>
              <w:top w:w="30" w:type="dxa"/>
              <w:bottom w:w="30" w:type="dxa"/>
              <w:left w:w="40" w:type="dxa"/>
              <w:right w:w="40" w:type="dxa"/>
            </w:tcMar>
          </w:tcPr>
          <w:p>
            <w:pPr>
              <w:spacing w:after="40"/>
            </w:pPr>
            <w:r>
              <w:rPr>
                <w:rFonts w:ascii="Arial" w:hAnsi="Arial"/>
                <w:b/>
                <w:color w:val="006C49"/>
                <w:sz w:val="19"/>
              </w:rPr>
              <w:t>3. Modelo de Negocio (Lienzo Canvas)</w:t>
            </w:r>
          </w:p>
        </w:tc>
        <w:tc>
          <w:tcPr>
            <w:tcW w:type="dxa" w:w="1008"/>
            <w:tcMar>
              <w:top w:w="30" w:type="dxa"/>
              <w:bottom w:w="30" w:type="dxa"/>
              <w:left w:w="40" w:type="dxa"/>
              <w:right w:w="40" w:type="dxa"/>
            </w:tcMar>
          </w:tcPr>
          <w:p>
            <w:pPr>
              <w:spacing w:after="40"/>
              <w:jc w:val="right"/>
            </w:pPr>
            <w:r>
              <w:rPr>
                <w:rFonts w:ascii="Arial" w:hAnsi="Arial"/>
                <w:b/>
                <w:color w:val="46554E"/>
                <w:sz w:val="19"/>
              </w:rPr>
              <w:t>10</w:t>
            </w:r>
          </w:p>
        </w:tc>
      </w:tr>
      <w:tr>
        <w:tc>
          <w:tcPr>
            <w:tcW w:type="dxa" w:w="8352"/>
            <w:tcMar>
              <w:top w:w="30" w:type="dxa"/>
              <w:bottom w:w="30" w:type="dxa"/>
              <w:left w:w="40" w:type="dxa"/>
              <w:right w:w="40" w:type="dxa"/>
            </w:tcMar>
          </w:tcPr>
          <w:p>
            <w:pPr>
              <w:spacing w:after="40"/>
            </w:pPr>
            <w:r>
              <w:rPr>
                <w:rFonts w:ascii="Arial" w:hAnsi="Arial"/>
                <w:color w:val="191C1E"/>
                <w:sz w:val="19"/>
              </w:rPr>
              <w:t xml:space="preserve">   3.1. Segmentos de Clientes</w:t>
            </w:r>
          </w:p>
        </w:tc>
        <w:tc>
          <w:tcPr>
            <w:tcW w:type="dxa" w:w="1008"/>
            <w:tcMar>
              <w:top w:w="30" w:type="dxa"/>
              <w:bottom w:w="30" w:type="dxa"/>
              <w:left w:w="40" w:type="dxa"/>
              <w:right w:w="40" w:type="dxa"/>
            </w:tcMar>
          </w:tcPr>
          <w:p>
            <w:pPr>
              <w:spacing w:after="40"/>
              <w:jc w:val="right"/>
            </w:pPr>
            <w:r>
              <w:rPr>
                <w:rFonts w:ascii="Arial" w:hAnsi="Arial"/>
                <w:b/>
                <w:color w:val="46554E"/>
                <w:sz w:val="19"/>
              </w:rPr>
              <w:t>10</w:t>
            </w:r>
          </w:p>
        </w:tc>
      </w:tr>
      <w:tr>
        <w:tc>
          <w:tcPr>
            <w:tcW w:type="dxa" w:w="8352"/>
            <w:tcMar>
              <w:top w:w="30" w:type="dxa"/>
              <w:bottom w:w="30" w:type="dxa"/>
              <w:left w:w="40" w:type="dxa"/>
              <w:right w:w="40" w:type="dxa"/>
            </w:tcMar>
          </w:tcPr>
          <w:p>
            <w:pPr>
              <w:spacing w:after="40"/>
            </w:pPr>
            <w:r>
              <w:rPr>
                <w:rFonts w:ascii="Arial" w:hAnsi="Arial"/>
                <w:color w:val="191C1E"/>
                <w:sz w:val="19"/>
              </w:rPr>
              <w:t xml:space="preserve">   3.2. Propuesta de Valor</w:t>
            </w:r>
          </w:p>
        </w:tc>
        <w:tc>
          <w:tcPr>
            <w:tcW w:type="dxa" w:w="1008"/>
            <w:tcMar>
              <w:top w:w="30" w:type="dxa"/>
              <w:bottom w:w="30" w:type="dxa"/>
              <w:left w:w="40" w:type="dxa"/>
              <w:right w:w="40" w:type="dxa"/>
            </w:tcMar>
          </w:tcPr>
          <w:p>
            <w:pPr>
              <w:spacing w:after="40"/>
              <w:jc w:val="right"/>
            </w:pPr>
            <w:r>
              <w:rPr>
                <w:rFonts w:ascii="Arial" w:hAnsi="Arial"/>
                <w:b/>
                <w:color w:val="46554E"/>
                <w:sz w:val="19"/>
              </w:rPr>
              <w:t>10</w:t>
            </w:r>
          </w:p>
        </w:tc>
      </w:tr>
      <w:tr>
        <w:tc>
          <w:tcPr>
            <w:tcW w:type="dxa" w:w="8352"/>
            <w:tcMar>
              <w:top w:w="30" w:type="dxa"/>
              <w:bottom w:w="30" w:type="dxa"/>
              <w:left w:w="40" w:type="dxa"/>
              <w:right w:w="40" w:type="dxa"/>
            </w:tcMar>
          </w:tcPr>
          <w:p>
            <w:pPr>
              <w:spacing w:after="40"/>
            </w:pPr>
            <w:r>
              <w:rPr>
                <w:rFonts w:ascii="Arial" w:hAnsi="Arial"/>
                <w:color w:val="191C1E"/>
                <w:sz w:val="19"/>
              </w:rPr>
              <w:t xml:space="preserve">   3.3. Canales de Distribución</w:t>
            </w:r>
          </w:p>
        </w:tc>
        <w:tc>
          <w:tcPr>
            <w:tcW w:type="dxa" w:w="1008"/>
            <w:tcMar>
              <w:top w:w="30" w:type="dxa"/>
              <w:bottom w:w="30" w:type="dxa"/>
              <w:left w:w="40" w:type="dxa"/>
              <w:right w:w="40" w:type="dxa"/>
            </w:tcMar>
          </w:tcPr>
          <w:p>
            <w:pPr>
              <w:spacing w:after="40"/>
              <w:jc w:val="right"/>
            </w:pPr>
            <w:r>
              <w:rPr>
                <w:rFonts w:ascii="Arial" w:hAnsi="Arial"/>
                <w:b/>
                <w:color w:val="46554E"/>
                <w:sz w:val="19"/>
              </w:rPr>
              <w:t>11</w:t>
            </w:r>
          </w:p>
        </w:tc>
      </w:tr>
      <w:tr>
        <w:tc>
          <w:tcPr>
            <w:tcW w:type="dxa" w:w="8352"/>
            <w:tcMar>
              <w:top w:w="30" w:type="dxa"/>
              <w:bottom w:w="30" w:type="dxa"/>
              <w:left w:w="40" w:type="dxa"/>
              <w:right w:w="40" w:type="dxa"/>
            </w:tcMar>
          </w:tcPr>
          <w:p>
            <w:pPr>
              <w:spacing w:after="40"/>
            </w:pPr>
            <w:r>
              <w:rPr>
                <w:rFonts w:ascii="Arial" w:hAnsi="Arial"/>
                <w:color w:val="191C1E"/>
                <w:sz w:val="19"/>
              </w:rPr>
              <w:t xml:space="preserve">   3.4. Relación con los Clientes</w:t>
            </w:r>
          </w:p>
        </w:tc>
        <w:tc>
          <w:tcPr>
            <w:tcW w:type="dxa" w:w="1008"/>
            <w:tcMar>
              <w:top w:w="30" w:type="dxa"/>
              <w:bottom w:w="30" w:type="dxa"/>
              <w:left w:w="40" w:type="dxa"/>
              <w:right w:w="40" w:type="dxa"/>
            </w:tcMar>
          </w:tcPr>
          <w:p>
            <w:pPr>
              <w:spacing w:after="40"/>
              <w:jc w:val="right"/>
            </w:pPr>
            <w:r>
              <w:rPr>
                <w:rFonts w:ascii="Arial" w:hAnsi="Arial"/>
                <w:b/>
                <w:color w:val="46554E"/>
                <w:sz w:val="19"/>
              </w:rPr>
              <w:t>11</w:t>
            </w:r>
          </w:p>
        </w:tc>
      </w:tr>
      <w:tr>
        <w:tc>
          <w:tcPr>
            <w:tcW w:type="dxa" w:w="8352"/>
            <w:tcMar>
              <w:top w:w="30" w:type="dxa"/>
              <w:bottom w:w="30" w:type="dxa"/>
              <w:left w:w="40" w:type="dxa"/>
              <w:right w:w="40" w:type="dxa"/>
            </w:tcMar>
          </w:tcPr>
          <w:p>
            <w:pPr>
              <w:spacing w:after="40"/>
            </w:pPr>
            <w:r>
              <w:rPr>
                <w:rFonts w:ascii="Arial" w:hAnsi="Arial"/>
                <w:color w:val="191C1E"/>
                <w:sz w:val="19"/>
              </w:rPr>
              <w:t xml:space="preserve">   3.5. Fuentes de Ingresos (MRR SaaS B2G y B2B)</w:t>
            </w:r>
          </w:p>
        </w:tc>
        <w:tc>
          <w:tcPr>
            <w:tcW w:type="dxa" w:w="1008"/>
            <w:tcMar>
              <w:top w:w="30" w:type="dxa"/>
              <w:bottom w:w="30" w:type="dxa"/>
              <w:left w:w="40" w:type="dxa"/>
              <w:right w:w="40" w:type="dxa"/>
            </w:tcMar>
          </w:tcPr>
          <w:p>
            <w:pPr>
              <w:spacing w:after="40"/>
              <w:jc w:val="right"/>
            </w:pPr>
            <w:r>
              <w:rPr>
                <w:rFonts w:ascii="Arial" w:hAnsi="Arial"/>
                <w:b/>
                <w:color w:val="46554E"/>
                <w:sz w:val="19"/>
              </w:rPr>
              <w:t>12</w:t>
            </w:r>
          </w:p>
        </w:tc>
      </w:tr>
      <w:tr>
        <w:tc>
          <w:tcPr>
            <w:tcW w:type="dxa" w:w="8352"/>
            <w:tcMar>
              <w:top w:w="30" w:type="dxa"/>
              <w:bottom w:w="30" w:type="dxa"/>
              <w:left w:w="40" w:type="dxa"/>
              <w:right w:w="40" w:type="dxa"/>
            </w:tcMar>
          </w:tcPr>
          <w:p>
            <w:pPr>
              <w:spacing w:after="40"/>
            </w:pPr>
            <w:r>
              <w:rPr>
                <w:rFonts w:ascii="Arial" w:hAnsi="Arial"/>
                <w:color w:val="191C1E"/>
                <w:sz w:val="19"/>
              </w:rPr>
              <w:t xml:space="preserve">   3.6. Recursos Clave</w:t>
            </w:r>
          </w:p>
        </w:tc>
        <w:tc>
          <w:tcPr>
            <w:tcW w:type="dxa" w:w="1008"/>
            <w:tcMar>
              <w:top w:w="30" w:type="dxa"/>
              <w:bottom w:w="30" w:type="dxa"/>
              <w:left w:w="40" w:type="dxa"/>
              <w:right w:w="40" w:type="dxa"/>
            </w:tcMar>
          </w:tcPr>
          <w:p>
            <w:pPr>
              <w:spacing w:after="40"/>
              <w:jc w:val="right"/>
            </w:pPr>
            <w:r>
              <w:rPr>
                <w:rFonts w:ascii="Arial" w:hAnsi="Arial"/>
                <w:b/>
                <w:color w:val="46554E"/>
                <w:sz w:val="19"/>
              </w:rPr>
              <w:t>12</w:t>
            </w:r>
          </w:p>
        </w:tc>
      </w:tr>
      <w:tr>
        <w:tc>
          <w:tcPr>
            <w:tcW w:type="dxa" w:w="8352"/>
            <w:tcMar>
              <w:top w:w="30" w:type="dxa"/>
              <w:bottom w:w="30" w:type="dxa"/>
              <w:left w:w="40" w:type="dxa"/>
              <w:right w:w="40" w:type="dxa"/>
            </w:tcMar>
          </w:tcPr>
          <w:p>
            <w:pPr>
              <w:spacing w:after="40"/>
            </w:pPr>
            <w:r>
              <w:rPr>
                <w:rFonts w:ascii="Arial" w:hAnsi="Arial"/>
                <w:color w:val="191C1E"/>
                <w:sz w:val="19"/>
              </w:rPr>
              <w:t xml:space="preserve">   3.7. Actividades Clave</w:t>
            </w:r>
          </w:p>
        </w:tc>
        <w:tc>
          <w:tcPr>
            <w:tcW w:type="dxa" w:w="1008"/>
            <w:tcMar>
              <w:top w:w="30" w:type="dxa"/>
              <w:bottom w:w="30" w:type="dxa"/>
              <w:left w:w="40" w:type="dxa"/>
              <w:right w:w="40" w:type="dxa"/>
            </w:tcMar>
          </w:tcPr>
          <w:p>
            <w:pPr>
              <w:spacing w:after="40"/>
              <w:jc w:val="right"/>
            </w:pPr>
            <w:r>
              <w:rPr>
                <w:rFonts w:ascii="Arial" w:hAnsi="Arial"/>
                <w:b/>
                <w:color w:val="46554E"/>
                <w:sz w:val="19"/>
              </w:rPr>
              <w:t>13</w:t>
            </w:r>
          </w:p>
        </w:tc>
      </w:tr>
      <w:tr>
        <w:tc>
          <w:tcPr>
            <w:tcW w:type="dxa" w:w="8352"/>
            <w:tcMar>
              <w:top w:w="30" w:type="dxa"/>
              <w:bottom w:w="30" w:type="dxa"/>
              <w:left w:w="40" w:type="dxa"/>
              <w:right w:w="40" w:type="dxa"/>
            </w:tcMar>
          </w:tcPr>
          <w:p>
            <w:pPr>
              <w:spacing w:after="40"/>
            </w:pPr>
            <w:r>
              <w:rPr>
                <w:rFonts w:ascii="Arial" w:hAnsi="Arial"/>
                <w:color w:val="191C1E"/>
                <w:sz w:val="19"/>
              </w:rPr>
              <w:t xml:space="preserve">   3.8. Socios Clave</w:t>
            </w:r>
          </w:p>
        </w:tc>
        <w:tc>
          <w:tcPr>
            <w:tcW w:type="dxa" w:w="1008"/>
            <w:tcMar>
              <w:top w:w="30" w:type="dxa"/>
              <w:bottom w:w="30" w:type="dxa"/>
              <w:left w:w="40" w:type="dxa"/>
              <w:right w:w="40" w:type="dxa"/>
            </w:tcMar>
          </w:tcPr>
          <w:p>
            <w:pPr>
              <w:spacing w:after="40"/>
              <w:jc w:val="right"/>
            </w:pPr>
            <w:r>
              <w:rPr>
                <w:rFonts w:ascii="Arial" w:hAnsi="Arial"/>
                <w:b/>
                <w:color w:val="46554E"/>
                <w:sz w:val="19"/>
              </w:rPr>
              <w:t>13</w:t>
            </w:r>
          </w:p>
        </w:tc>
      </w:tr>
      <w:tr>
        <w:tc>
          <w:tcPr>
            <w:tcW w:type="dxa" w:w="8352"/>
            <w:tcMar>
              <w:top w:w="30" w:type="dxa"/>
              <w:bottom w:w="30" w:type="dxa"/>
              <w:left w:w="40" w:type="dxa"/>
              <w:right w:w="40" w:type="dxa"/>
            </w:tcMar>
          </w:tcPr>
          <w:p>
            <w:pPr>
              <w:spacing w:after="40"/>
            </w:pPr>
            <w:r>
              <w:rPr>
                <w:rFonts w:ascii="Arial" w:hAnsi="Arial"/>
                <w:color w:val="191C1E"/>
                <w:sz w:val="19"/>
              </w:rPr>
              <w:t xml:space="preserve">   3.9. Estructura de Costos Operativos</w:t>
            </w:r>
          </w:p>
        </w:tc>
        <w:tc>
          <w:tcPr>
            <w:tcW w:type="dxa" w:w="1008"/>
            <w:tcMar>
              <w:top w:w="30" w:type="dxa"/>
              <w:bottom w:w="30" w:type="dxa"/>
              <w:left w:w="40" w:type="dxa"/>
              <w:right w:w="40" w:type="dxa"/>
            </w:tcMar>
          </w:tcPr>
          <w:p>
            <w:pPr>
              <w:spacing w:after="40"/>
              <w:jc w:val="right"/>
            </w:pPr>
            <w:r>
              <w:rPr>
                <w:rFonts w:ascii="Arial" w:hAnsi="Arial"/>
                <w:b/>
                <w:color w:val="46554E"/>
                <w:sz w:val="19"/>
              </w:rPr>
              <w:t>14</w:t>
            </w:r>
          </w:p>
        </w:tc>
      </w:tr>
      <w:tr>
        <w:tc>
          <w:tcPr>
            <w:tcW w:type="dxa" w:w="8352"/>
            <w:tcMar>
              <w:top w:w="30" w:type="dxa"/>
              <w:bottom w:w="30" w:type="dxa"/>
              <w:left w:w="40" w:type="dxa"/>
              <w:right w:w="40" w:type="dxa"/>
            </w:tcMar>
          </w:tcPr>
          <w:p>
            <w:pPr>
              <w:spacing w:after="40"/>
            </w:pPr>
            <w:r>
              <w:rPr>
                <w:rFonts w:ascii="Arial" w:hAnsi="Arial"/>
                <w:b/>
                <w:color w:val="006C49"/>
                <w:sz w:val="19"/>
              </w:rPr>
              <w:t>4. Requerimientos del Sistema</w:t>
            </w:r>
          </w:p>
        </w:tc>
        <w:tc>
          <w:tcPr>
            <w:tcW w:type="dxa" w:w="1008"/>
            <w:tcMar>
              <w:top w:w="30" w:type="dxa"/>
              <w:bottom w:w="30" w:type="dxa"/>
              <w:left w:w="40" w:type="dxa"/>
              <w:right w:w="40" w:type="dxa"/>
            </w:tcMar>
          </w:tcPr>
          <w:p>
            <w:pPr>
              <w:spacing w:after="40"/>
              <w:jc w:val="right"/>
            </w:pPr>
            <w:r>
              <w:rPr>
                <w:rFonts w:ascii="Arial" w:hAnsi="Arial"/>
                <w:b/>
                <w:color w:val="46554E"/>
                <w:sz w:val="19"/>
              </w:rPr>
              <w:t>15</w:t>
            </w:r>
          </w:p>
        </w:tc>
      </w:tr>
      <w:tr>
        <w:tc>
          <w:tcPr>
            <w:tcW w:type="dxa" w:w="8352"/>
            <w:tcMar>
              <w:top w:w="30" w:type="dxa"/>
              <w:bottom w:w="30" w:type="dxa"/>
              <w:left w:w="40" w:type="dxa"/>
              <w:right w:w="40" w:type="dxa"/>
            </w:tcMar>
          </w:tcPr>
          <w:p>
            <w:pPr>
              <w:spacing w:after="40"/>
            </w:pPr>
            <w:r>
              <w:rPr>
                <w:rFonts w:ascii="Arial" w:hAnsi="Arial"/>
                <w:color w:val="191C1E"/>
                <w:sz w:val="19"/>
              </w:rPr>
              <w:t xml:space="preserve">   4.1. Requerimientos Funcionales por Módulo</w:t>
            </w:r>
          </w:p>
        </w:tc>
        <w:tc>
          <w:tcPr>
            <w:tcW w:type="dxa" w:w="1008"/>
            <w:tcMar>
              <w:top w:w="30" w:type="dxa"/>
              <w:bottom w:w="30" w:type="dxa"/>
              <w:left w:w="40" w:type="dxa"/>
              <w:right w:w="40" w:type="dxa"/>
            </w:tcMar>
          </w:tcPr>
          <w:p>
            <w:pPr>
              <w:spacing w:after="40"/>
              <w:jc w:val="right"/>
            </w:pPr>
            <w:r>
              <w:rPr>
                <w:rFonts w:ascii="Arial" w:hAnsi="Arial"/>
                <w:b/>
                <w:color w:val="46554E"/>
                <w:sz w:val="19"/>
              </w:rPr>
              <w:t>15</w:t>
            </w:r>
          </w:p>
        </w:tc>
      </w:tr>
      <w:tr>
        <w:tc>
          <w:tcPr>
            <w:tcW w:type="dxa" w:w="8352"/>
            <w:tcMar>
              <w:top w:w="30" w:type="dxa"/>
              <w:bottom w:w="30" w:type="dxa"/>
              <w:left w:w="40" w:type="dxa"/>
              <w:right w:w="40" w:type="dxa"/>
            </w:tcMar>
          </w:tcPr>
          <w:p>
            <w:pPr>
              <w:spacing w:after="40"/>
            </w:pPr>
            <w:r>
              <w:rPr>
                <w:rFonts w:ascii="Arial" w:hAnsi="Arial"/>
                <w:color w:val="191C1E"/>
                <w:sz w:val="19"/>
              </w:rPr>
              <w:t xml:space="preserve">   4.2. Especificación Formal de Casos de Uso Críticos</w:t>
            </w:r>
          </w:p>
        </w:tc>
        <w:tc>
          <w:tcPr>
            <w:tcW w:type="dxa" w:w="1008"/>
            <w:tcMar>
              <w:top w:w="30" w:type="dxa"/>
              <w:bottom w:w="30" w:type="dxa"/>
              <w:left w:w="40" w:type="dxa"/>
              <w:right w:w="40" w:type="dxa"/>
            </w:tcMar>
          </w:tcPr>
          <w:p>
            <w:pPr>
              <w:spacing w:after="40"/>
              <w:jc w:val="right"/>
            </w:pPr>
            <w:r>
              <w:rPr>
                <w:rFonts w:ascii="Arial" w:hAnsi="Arial"/>
                <w:b/>
                <w:color w:val="46554E"/>
                <w:sz w:val="19"/>
              </w:rPr>
              <w:t>17</w:t>
            </w:r>
          </w:p>
        </w:tc>
      </w:tr>
      <w:tr>
        <w:tc>
          <w:tcPr>
            <w:tcW w:type="dxa" w:w="8352"/>
            <w:tcMar>
              <w:top w:w="30" w:type="dxa"/>
              <w:bottom w:w="30" w:type="dxa"/>
              <w:left w:w="40" w:type="dxa"/>
              <w:right w:w="40" w:type="dxa"/>
            </w:tcMar>
          </w:tcPr>
          <w:p>
            <w:pPr>
              <w:spacing w:after="40"/>
            </w:pPr>
            <w:r>
              <w:rPr>
                <w:rFonts w:ascii="Arial" w:hAnsi="Arial"/>
                <w:color w:val="191C1E"/>
                <w:sz w:val="19"/>
              </w:rPr>
              <w:t xml:space="preserve">   4.3. Requerimientos No Funcionales (RNF)</w:t>
            </w:r>
          </w:p>
        </w:tc>
        <w:tc>
          <w:tcPr>
            <w:tcW w:type="dxa" w:w="1008"/>
            <w:tcMar>
              <w:top w:w="30" w:type="dxa"/>
              <w:bottom w:w="30" w:type="dxa"/>
              <w:left w:w="40" w:type="dxa"/>
              <w:right w:w="40" w:type="dxa"/>
            </w:tcMar>
          </w:tcPr>
          <w:p>
            <w:pPr>
              <w:spacing w:after="40"/>
              <w:jc w:val="right"/>
            </w:pPr>
            <w:r>
              <w:rPr>
                <w:rFonts w:ascii="Arial" w:hAnsi="Arial"/>
                <w:b/>
                <w:color w:val="46554E"/>
                <w:sz w:val="19"/>
              </w:rPr>
              <w:t>19</w:t>
            </w:r>
          </w:p>
        </w:tc>
      </w:tr>
      <w:tr>
        <w:tc>
          <w:tcPr>
            <w:tcW w:type="dxa" w:w="8352"/>
            <w:tcMar>
              <w:top w:w="30" w:type="dxa"/>
              <w:bottom w:w="30" w:type="dxa"/>
              <w:left w:w="40" w:type="dxa"/>
              <w:right w:w="40" w:type="dxa"/>
            </w:tcMar>
          </w:tcPr>
          <w:p>
            <w:pPr>
              <w:spacing w:after="40"/>
            </w:pPr>
            <w:r>
              <w:rPr>
                <w:rFonts w:ascii="Arial" w:hAnsi="Arial"/>
                <w:b/>
                <w:color w:val="006C49"/>
                <w:sz w:val="19"/>
              </w:rPr>
              <w:t>5. Diagramas del Sistema</w:t>
            </w:r>
          </w:p>
        </w:tc>
        <w:tc>
          <w:tcPr>
            <w:tcW w:type="dxa" w:w="1008"/>
            <w:tcMar>
              <w:top w:w="30" w:type="dxa"/>
              <w:bottom w:w="30" w:type="dxa"/>
              <w:left w:w="40" w:type="dxa"/>
              <w:right w:w="40" w:type="dxa"/>
            </w:tcMar>
          </w:tcPr>
          <w:p>
            <w:pPr>
              <w:spacing w:after="40"/>
              <w:jc w:val="right"/>
            </w:pPr>
            <w:r>
              <w:rPr>
                <w:rFonts w:ascii="Arial" w:hAnsi="Arial"/>
                <w:b/>
                <w:color w:val="46554E"/>
                <w:sz w:val="19"/>
              </w:rPr>
              <w:t>21</w:t>
            </w:r>
          </w:p>
        </w:tc>
      </w:tr>
      <w:tr>
        <w:tc>
          <w:tcPr>
            <w:tcW w:type="dxa" w:w="8352"/>
            <w:tcMar>
              <w:top w:w="30" w:type="dxa"/>
              <w:bottom w:w="30" w:type="dxa"/>
              <w:left w:w="40" w:type="dxa"/>
              <w:right w:w="40" w:type="dxa"/>
            </w:tcMar>
          </w:tcPr>
          <w:p>
            <w:pPr>
              <w:spacing w:after="40"/>
            </w:pPr>
            <w:r>
              <w:rPr>
                <w:rFonts w:ascii="Arial" w:hAnsi="Arial"/>
                <w:color w:val="191C1E"/>
                <w:sz w:val="19"/>
              </w:rPr>
              <w:t xml:space="preserve">   5.1. Diagrama de Casos de Uso General</w:t>
            </w:r>
          </w:p>
        </w:tc>
        <w:tc>
          <w:tcPr>
            <w:tcW w:type="dxa" w:w="1008"/>
            <w:tcMar>
              <w:top w:w="30" w:type="dxa"/>
              <w:bottom w:w="30" w:type="dxa"/>
              <w:left w:w="40" w:type="dxa"/>
              <w:right w:w="40" w:type="dxa"/>
            </w:tcMar>
          </w:tcPr>
          <w:p>
            <w:pPr>
              <w:spacing w:after="40"/>
              <w:jc w:val="right"/>
            </w:pPr>
            <w:r>
              <w:rPr>
                <w:rFonts w:ascii="Arial" w:hAnsi="Arial"/>
                <w:b/>
                <w:color w:val="46554E"/>
                <w:sz w:val="19"/>
              </w:rPr>
              <w:t>21</w:t>
            </w:r>
          </w:p>
        </w:tc>
      </w:tr>
      <w:tr>
        <w:tc>
          <w:tcPr>
            <w:tcW w:type="dxa" w:w="8352"/>
            <w:tcMar>
              <w:top w:w="30" w:type="dxa"/>
              <w:bottom w:w="30" w:type="dxa"/>
              <w:left w:w="40" w:type="dxa"/>
              <w:right w:w="40" w:type="dxa"/>
            </w:tcMar>
          </w:tcPr>
          <w:p>
            <w:pPr>
              <w:spacing w:after="40"/>
            </w:pPr>
            <w:r>
              <w:rPr>
                <w:rFonts w:ascii="Arial" w:hAnsi="Arial"/>
                <w:color w:val="191C1E"/>
                <w:sz w:val="19"/>
              </w:rPr>
              <w:t xml:space="preserve">   5.2. Diagrama de Clases de Dominio</w:t>
            </w:r>
          </w:p>
        </w:tc>
        <w:tc>
          <w:tcPr>
            <w:tcW w:type="dxa" w:w="1008"/>
            <w:tcMar>
              <w:top w:w="30" w:type="dxa"/>
              <w:bottom w:w="30" w:type="dxa"/>
              <w:left w:w="40" w:type="dxa"/>
              <w:right w:w="40" w:type="dxa"/>
            </w:tcMar>
          </w:tcPr>
          <w:p>
            <w:pPr>
              <w:spacing w:after="40"/>
              <w:jc w:val="right"/>
            </w:pPr>
            <w:r>
              <w:rPr>
                <w:rFonts w:ascii="Arial" w:hAnsi="Arial"/>
                <w:b/>
                <w:color w:val="46554E"/>
                <w:sz w:val="19"/>
              </w:rPr>
              <w:t>23</w:t>
            </w:r>
          </w:p>
        </w:tc>
      </w:tr>
      <w:tr>
        <w:tc>
          <w:tcPr>
            <w:tcW w:type="dxa" w:w="8352"/>
            <w:tcMar>
              <w:top w:w="30" w:type="dxa"/>
              <w:bottom w:w="30" w:type="dxa"/>
              <w:left w:w="40" w:type="dxa"/>
              <w:right w:w="40" w:type="dxa"/>
            </w:tcMar>
          </w:tcPr>
          <w:p>
            <w:pPr>
              <w:spacing w:after="40"/>
            </w:pPr>
            <w:r>
              <w:rPr>
                <w:rFonts w:ascii="Arial" w:hAnsi="Arial"/>
                <w:color w:val="191C1E"/>
                <w:sz w:val="19"/>
              </w:rPr>
              <w:t xml:space="preserve">   5.3. Diagramas de Secuencia (Flujo IA y Logística)</w:t>
            </w:r>
          </w:p>
        </w:tc>
        <w:tc>
          <w:tcPr>
            <w:tcW w:type="dxa" w:w="1008"/>
            <w:tcMar>
              <w:top w:w="30" w:type="dxa"/>
              <w:bottom w:w="30" w:type="dxa"/>
              <w:left w:w="40" w:type="dxa"/>
              <w:right w:w="40" w:type="dxa"/>
            </w:tcMar>
          </w:tcPr>
          <w:p>
            <w:pPr>
              <w:spacing w:after="40"/>
              <w:jc w:val="right"/>
            </w:pPr>
            <w:r>
              <w:rPr>
                <w:rFonts w:ascii="Arial" w:hAnsi="Arial"/>
                <w:b/>
                <w:color w:val="46554E"/>
                <w:sz w:val="19"/>
              </w:rPr>
              <w:t>25</w:t>
            </w:r>
          </w:p>
        </w:tc>
      </w:tr>
      <w:tr>
        <w:tc>
          <w:tcPr>
            <w:tcW w:type="dxa" w:w="8352"/>
            <w:tcMar>
              <w:top w:w="30" w:type="dxa"/>
              <w:bottom w:w="30" w:type="dxa"/>
              <w:left w:w="40" w:type="dxa"/>
              <w:right w:w="40" w:type="dxa"/>
            </w:tcMar>
          </w:tcPr>
          <w:p>
            <w:pPr>
              <w:spacing w:after="40"/>
            </w:pPr>
            <w:r>
              <w:rPr>
                <w:rFonts w:ascii="Arial" w:hAnsi="Arial"/>
                <w:color w:val="191C1E"/>
                <w:sz w:val="19"/>
              </w:rPr>
              <w:t xml:space="preserve">   5.4. Diagrama de Arquitectura de Alto Nivel</w:t>
            </w:r>
          </w:p>
        </w:tc>
        <w:tc>
          <w:tcPr>
            <w:tcW w:type="dxa" w:w="1008"/>
            <w:tcMar>
              <w:top w:w="30" w:type="dxa"/>
              <w:bottom w:w="30" w:type="dxa"/>
              <w:left w:w="40" w:type="dxa"/>
              <w:right w:w="40" w:type="dxa"/>
            </w:tcMar>
          </w:tcPr>
          <w:p>
            <w:pPr>
              <w:spacing w:after="40"/>
              <w:jc w:val="right"/>
            </w:pPr>
            <w:r>
              <w:rPr>
                <w:rFonts w:ascii="Arial" w:hAnsi="Arial"/>
                <w:b/>
                <w:color w:val="46554E"/>
                <w:sz w:val="19"/>
              </w:rPr>
              <w:t>27</w:t>
            </w:r>
          </w:p>
        </w:tc>
      </w:tr>
      <w:tr>
        <w:tc>
          <w:tcPr>
            <w:tcW w:type="dxa" w:w="8352"/>
            <w:tcMar>
              <w:top w:w="30" w:type="dxa"/>
              <w:bottom w:w="30" w:type="dxa"/>
              <w:left w:w="40" w:type="dxa"/>
              <w:right w:w="40" w:type="dxa"/>
            </w:tcMar>
          </w:tcPr>
          <w:p>
            <w:pPr>
              <w:spacing w:after="40"/>
            </w:pPr>
            <w:r>
              <w:rPr>
                <w:rFonts w:ascii="Arial" w:hAnsi="Arial"/>
                <w:color w:val="191C1E"/>
                <w:sz w:val="19"/>
              </w:rPr>
              <w:t xml:space="preserve">   5.5. Diagrama Entidad-Relación (DER)</w:t>
            </w:r>
          </w:p>
        </w:tc>
        <w:tc>
          <w:tcPr>
            <w:tcW w:type="dxa" w:w="1008"/>
            <w:tcMar>
              <w:top w:w="30" w:type="dxa"/>
              <w:bottom w:w="30" w:type="dxa"/>
              <w:left w:w="40" w:type="dxa"/>
              <w:right w:w="40" w:type="dxa"/>
            </w:tcMar>
          </w:tcPr>
          <w:p>
            <w:pPr>
              <w:spacing w:after="40"/>
              <w:jc w:val="right"/>
            </w:pPr>
            <w:r>
              <w:rPr>
                <w:rFonts w:ascii="Arial" w:hAnsi="Arial"/>
                <w:b/>
                <w:color w:val="46554E"/>
                <w:sz w:val="19"/>
              </w:rPr>
              <w:t>29</w:t>
            </w:r>
          </w:p>
        </w:tc>
      </w:tr>
      <w:tr>
        <w:tc>
          <w:tcPr>
            <w:tcW w:type="dxa" w:w="8352"/>
            <w:tcMar>
              <w:top w:w="30" w:type="dxa"/>
              <w:bottom w:w="30" w:type="dxa"/>
              <w:left w:w="40" w:type="dxa"/>
              <w:right w:w="40" w:type="dxa"/>
            </w:tcMar>
          </w:tcPr>
          <w:p>
            <w:pPr>
              <w:spacing w:after="40"/>
            </w:pPr>
            <w:r>
              <w:rPr>
                <w:rFonts w:ascii="Arial" w:hAnsi="Arial"/>
                <w:b/>
                <w:color w:val="006C49"/>
                <w:sz w:val="19"/>
              </w:rPr>
              <w:t>6. Diseño y Prototipado (UX/UI)</w:t>
            </w:r>
          </w:p>
        </w:tc>
        <w:tc>
          <w:tcPr>
            <w:tcW w:type="dxa" w:w="1008"/>
            <w:tcMar>
              <w:top w:w="30" w:type="dxa"/>
              <w:bottom w:w="30" w:type="dxa"/>
              <w:left w:w="40" w:type="dxa"/>
              <w:right w:w="40" w:type="dxa"/>
            </w:tcMar>
          </w:tcPr>
          <w:p>
            <w:pPr>
              <w:spacing w:after="40"/>
              <w:jc w:val="right"/>
            </w:pPr>
            <w:r>
              <w:rPr>
                <w:rFonts w:ascii="Arial" w:hAnsi="Arial"/>
                <w:b/>
                <w:color w:val="46554E"/>
                <w:sz w:val="19"/>
              </w:rPr>
              <w:t>31</w:t>
            </w:r>
          </w:p>
        </w:tc>
      </w:tr>
      <w:tr>
        <w:tc>
          <w:tcPr>
            <w:tcW w:type="dxa" w:w="8352"/>
            <w:tcMar>
              <w:top w:w="30" w:type="dxa"/>
              <w:bottom w:w="30" w:type="dxa"/>
              <w:left w:w="40" w:type="dxa"/>
              <w:right w:w="40" w:type="dxa"/>
            </w:tcMar>
          </w:tcPr>
          <w:p>
            <w:pPr>
              <w:spacing w:after="40"/>
            </w:pPr>
            <w:r>
              <w:rPr>
                <w:rFonts w:ascii="Arial" w:hAnsi="Arial"/>
                <w:color w:val="191C1E"/>
                <w:sz w:val="19"/>
              </w:rPr>
              <w:t xml:space="preserve">   6.1. Sistema Visual y Principios de Diseño</w:t>
            </w:r>
          </w:p>
        </w:tc>
        <w:tc>
          <w:tcPr>
            <w:tcW w:type="dxa" w:w="1008"/>
            <w:tcMar>
              <w:top w:w="30" w:type="dxa"/>
              <w:bottom w:w="30" w:type="dxa"/>
              <w:left w:w="40" w:type="dxa"/>
              <w:right w:w="40" w:type="dxa"/>
            </w:tcMar>
          </w:tcPr>
          <w:p>
            <w:pPr>
              <w:spacing w:after="40"/>
              <w:jc w:val="right"/>
            </w:pPr>
            <w:r>
              <w:rPr>
                <w:rFonts w:ascii="Arial" w:hAnsi="Arial"/>
                <w:b/>
                <w:color w:val="46554E"/>
                <w:sz w:val="19"/>
              </w:rPr>
              <w:t>31</w:t>
            </w:r>
          </w:p>
        </w:tc>
      </w:tr>
      <w:tr>
        <w:tc>
          <w:tcPr>
            <w:tcW w:type="dxa" w:w="8352"/>
            <w:tcMar>
              <w:top w:w="30" w:type="dxa"/>
              <w:bottom w:w="30" w:type="dxa"/>
              <w:left w:w="40" w:type="dxa"/>
              <w:right w:w="40" w:type="dxa"/>
            </w:tcMar>
          </w:tcPr>
          <w:p>
            <w:pPr>
              <w:spacing w:after="40"/>
            </w:pPr>
            <w:r>
              <w:rPr>
                <w:rFonts w:ascii="Arial" w:hAnsi="Arial"/>
                <w:color w:val="191C1E"/>
                <w:sz w:val="19"/>
              </w:rPr>
              <w:t xml:space="preserve">   6.2. Arquitectura de Información y Flujo Móvil</w:t>
            </w:r>
          </w:p>
        </w:tc>
        <w:tc>
          <w:tcPr>
            <w:tcW w:type="dxa" w:w="1008"/>
            <w:tcMar>
              <w:top w:w="30" w:type="dxa"/>
              <w:bottom w:w="30" w:type="dxa"/>
              <w:left w:w="40" w:type="dxa"/>
              <w:right w:w="40" w:type="dxa"/>
            </w:tcMar>
          </w:tcPr>
          <w:p>
            <w:pPr>
              <w:spacing w:after="40"/>
              <w:jc w:val="right"/>
            </w:pPr>
            <w:r>
              <w:rPr>
                <w:rFonts w:ascii="Arial" w:hAnsi="Arial"/>
                <w:b/>
                <w:color w:val="46554E"/>
                <w:sz w:val="19"/>
              </w:rPr>
              <w:t>32</w:t>
            </w:r>
          </w:p>
        </w:tc>
      </w:tr>
      <w:tr>
        <w:tc>
          <w:tcPr>
            <w:tcW w:type="dxa" w:w="8352"/>
            <w:tcMar>
              <w:top w:w="30" w:type="dxa"/>
              <w:bottom w:w="30" w:type="dxa"/>
              <w:left w:w="40" w:type="dxa"/>
              <w:right w:w="40" w:type="dxa"/>
            </w:tcMar>
          </w:tcPr>
          <w:p>
            <w:pPr>
              <w:spacing w:after="40"/>
            </w:pPr>
            <w:r>
              <w:rPr>
                <w:rFonts w:ascii="Arial" w:hAnsi="Arial"/>
                <w:color w:val="191C1E"/>
                <w:sz w:val="19"/>
              </w:rPr>
              <w:t xml:space="preserve">   6.3. Rediseño del Splash Screen Nativo</w:t>
            </w:r>
          </w:p>
        </w:tc>
        <w:tc>
          <w:tcPr>
            <w:tcW w:type="dxa" w:w="1008"/>
            <w:tcMar>
              <w:top w:w="30" w:type="dxa"/>
              <w:bottom w:w="30" w:type="dxa"/>
              <w:left w:w="40" w:type="dxa"/>
              <w:right w:w="40" w:type="dxa"/>
            </w:tcMar>
          </w:tcPr>
          <w:p>
            <w:pPr>
              <w:spacing w:after="40"/>
              <w:jc w:val="right"/>
            </w:pPr>
            <w:r>
              <w:rPr>
                <w:rFonts w:ascii="Arial" w:hAnsi="Arial"/>
                <w:b/>
                <w:color w:val="46554E"/>
                <w:sz w:val="19"/>
              </w:rPr>
              <w:t>33</w:t>
            </w:r>
          </w:p>
        </w:tc>
      </w:tr>
      <w:tr>
        <w:tc>
          <w:tcPr>
            <w:tcW w:type="dxa" w:w="8352"/>
            <w:tcMar>
              <w:top w:w="30" w:type="dxa"/>
              <w:bottom w:w="30" w:type="dxa"/>
              <w:left w:w="40" w:type="dxa"/>
              <w:right w:w="40" w:type="dxa"/>
            </w:tcMar>
          </w:tcPr>
          <w:p>
            <w:pPr>
              <w:spacing w:after="40"/>
            </w:pPr>
            <w:r>
              <w:rPr>
                <w:rFonts w:ascii="Arial" w:hAnsi="Arial"/>
                <w:color w:val="191C1E"/>
                <w:sz w:val="19"/>
              </w:rPr>
              <w:t xml:space="preserve">   6.4. Cartografía Enriquecida con Etiquetas de Texto</w:t>
            </w:r>
          </w:p>
        </w:tc>
        <w:tc>
          <w:tcPr>
            <w:tcW w:type="dxa" w:w="1008"/>
            <w:tcMar>
              <w:top w:w="30" w:type="dxa"/>
              <w:bottom w:w="30" w:type="dxa"/>
              <w:left w:w="40" w:type="dxa"/>
              <w:right w:w="40" w:type="dxa"/>
            </w:tcMar>
          </w:tcPr>
          <w:p>
            <w:pPr>
              <w:spacing w:after="40"/>
              <w:jc w:val="right"/>
            </w:pPr>
            <w:r>
              <w:rPr>
                <w:rFonts w:ascii="Arial" w:hAnsi="Arial"/>
                <w:b/>
                <w:color w:val="46554E"/>
                <w:sz w:val="19"/>
              </w:rPr>
              <w:t>34</w:t>
            </w:r>
          </w:p>
        </w:tc>
      </w:tr>
      <w:tr>
        <w:tc>
          <w:tcPr>
            <w:tcW w:type="dxa" w:w="8352"/>
            <w:tcMar>
              <w:top w:w="30" w:type="dxa"/>
              <w:bottom w:w="30" w:type="dxa"/>
              <w:left w:w="40" w:type="dxa"/>
              <w:right w:w="40" w:type="dxa"/>
            </w:tcMar>
          </w:tcPr>
          <w:p>
            <w:pPr>
              <w:spacing w:after="40"/>
            </w:pPr>
            <w:r>
              <w:rPr>
                <w:rFonts w:ascii="Arial" w:hAnsi="Arial"/>
                <w:b/>
                <w:color w:val="006C49"/>
                <w:sz w:val="19"/>
              </w:rPr>
              <w:t>7. Arquitectura Técnica</w:t>
            </w:r>
          </w:p>
        </w:tc>
        <w:tc>
          <w:tcPr>
            <w:tcW w:type="dxa" w:w="1008"/>
            <w:tcMar>
              <w:top w:w="30" w:type="dxa"/>
              <w:bottom w:w="30" w:type="dxa"/>
              <w:left w:w="40" w:type="dxa"/>
              <w:right w:w="40" w:type="dxa"/>
            </w:tcMar>
          </w:tcPr>
          <w:p>
            <w:pPr>
              <w:spacing w:after="40"/>
              <w:jc w:val="right"/>
            </w:pPr>
            <w:r>
              <w:rPr>
                <w:rFonts w:ascii="Arial" w:hAnsi="Arial"/>
                <w:b/>
                <w:color w:val="46554E"/>
                <w:sz w:val="19"/>
              </w:rPr>
              <w:t>35</w:t>
            </w:r>
          </w:p>
        </w:tc>
      </w:tr>
      <w:tr>
        <w:tc>
          <w:tcPr>
            <w:tcW w:type="dxa" w:w="8352"/>
            <w:tcMar>
              <w:top w:w="30" w:type="dxa"/>
              <w:bottom w:w="30" w:type="dxa"/>
              <w:left w:w="40" w:type="dxa"/>
              <w:right w:w="40" w:type="dxa"/>
            </w:tcMar>
          </w:tcPr>
          <w:p>
            <w:pPr>
              <w:spacing w:after="40"/>
            </w:pPr>
            <w:r>
              <w:rPr>
                <w:rFonts w:ascii="Arial" w:hAnsi="Arial"/>
                <w:color w:val="191C1E"/>
                <w:sz w:val="19"/>
              </w:rPr>
              <w:t xml:space="preserve">   7.1. Stack Tecnológico de la Suite</w:t>
            </w:r>
          </w:p>
        </w:tc>
        <w:tc>
          <w:tcPr>
            <w:tcW w:type="dxa" w:w="1008"/>
            <w:tcMar>
              <w:top w:w="30" w:type="dxa"/>
              <w:bottom w:w="30" w:type="dxa"/>
              <w:left w:w="40" w:type="dxa"/>
              <w:right w:w="40" w:type="dxa"/>
            </w:tcMar>
          </w:tcPr>
          <w:p>
            <w:pPr>
              <w:spacing w:after="40"/>
              <w:jc w:val="right"/>
            </w:pPr>
            <w:r>
              <w:rPr>
                <w:rFonts w:ascii="Arial" w:hAnsi="Arial"/>
                <w:b/>
                <w:color w:val="46554E"/>
                <w:sz w:val="19"/>
              </w:rPr>
              <w:t>35</w:t>
            </w:r>
          </w:p>
        </w:tc>
      </w:tr>
      <w:tr>
        <w:tc>
          <w:tcPr>
            <w:tcW w:type="dxa" w:w="8352"/>
            <w:tcMar>
              <w:top w:w="30" w:type="dxa"/>
              <w:bottom w:w="30" w:type="dxa"/>
              <w:left w:w="40" w:type="dxa"/>
              <w:right w:w="40" w:type="dxa"/>
            </w:tcMar>
          </w:tcPr>
          <w:p>
            <w:pPr>
              <w:spacing w:after="40"/>
            </w:pPr>
            <w:r>
              <w:rPr>
                <w:rFonts w:ascii="Arial" w:hAnsi="Arial"/>
                <w:color w:val="191C1E"/>
                <w:sz w:val="19"/>
              </w:rPr>
              <w:t xml:space="preserve">   7.2. Infraestructura Serverless y Conectividad</w:t>
            </w:r>
          </w:p>
        </w:tc>
        <w:tc>
          <w:tcPr>
            <w:tcW w:type="dxa" w:w="1008"/>
            <w:tcMar>
              <w:top w:w="30" w:type="dxa"/>
              <w:bottom w:w="30" w:type="dxa"/>
              <w:left w:w="40" w:type="dxa"/>
              <w:right w:w="40" w:type="dxa"/>
            </w:tcMar>
          </w:tcPr>
          <w:p>
            <w:pPr>
              <w:spacing w:after="40"/>
              <w:jc w:val="right"/>
            </w:pPr>
            <w:r>
              <w:rPr>
                <w:rFonts w:ascii="Arial" w:hAnsi="Arial"/>
                <w:b/>
                <w:color w:val="46554E"/>
                <w:sz w:val="19"/>
              </w:rPr>
              <w:t>36</w:t>
            </w:r>
          </w:p>
        </w:tc>
      </w:tr>
      <w:tr>
        <w:tc>
          <w:tcPr>
            <w:tcW w:type="dxa" w:w="8352"/>
            <w:tcMar>
              <w:top w:w="30" w:type="dxa"/>
              <w:bottom w:w="30" w:type="dxa"/>
              <w:left w:w="40" w:type="dxa"/>
              <w:right w:w="40" w:type="dxa"/>
            </w:tcMar>
          </w:tcPr>
          <w:p>
            <w:pPr>
              <w:spacing w:after="40"/>
            </w:pPr>
            <w:r>
              <w:rPr>
                <w:rFonts w:ascii="Arial" w:hAnsi="Arial"/>
                <w:color w:val="191C1E"/>
                <w:sz w:val="19"/>
              </w:rPr>
              <w:t xml:space="preserve">   7.3. Integraciones de Servicios Críticos</w:t>
            </w:r>
          </w:p>
        </w:tc>
        <w:tc>
          <w:tcPr>
            <w:tcW w:type="dxa" w:w="1008"/>
            <w:tcMar>
              <w:top w:w="30" w:type="dxa"/>
              <w:bottom w:w="30" w:type="dxa"/>
              <w:left w:w="40" w:type="dxa"/>
              <w:right w:w="40" w:type="dxa"/>
            </w:tcMar>
          </w:tcPr>
          <w:p>
            <w:pPr>
              <w:spacing w:after="40"/>
              <w:jc w:val="right"/>
            </w:pPr>
            <w:r>
              <w:rPr>
                <w:rFonts w:ascii="Arial" w:hAnsi="Arial"/>
                <w:b/>
                <w:color w:val="46554E"/>
                <w:sz w:val="19"/>
              </w:rPr>
              <w:t>37</w:t>
            </w:r>
          </w:p>
        </w:tc>
      </w:tr>
      <w:tr>
        <w:tc>
          <w:tcPr>
            <w:tcW w:type="dxa" w:w="8352"/>
            <w:tcMar>
              <w:top w:w="30" w:type="dxa"/>
              <w:bottom w:w="30" w:type="dxa"/>
              <w:left w:w="40" w:type="dxa"/>
              <w:right w:w="40" w:type="dxa"/>
            </w:tcMar>
          </w:tcPr>
          <w:p>
            <w:pPr>
              <w:spacing w:after="40"/>
            </w:pPr>
            <w:r>
              <w:rPr>
                <w:rFonts w:ascii="Arial" w:hAnsi="Arial"/>
                <w:b/>
                <w:color w:val="006C49"/>
                <w:sz w:val="19"/>
              </w:rPr>
              <w:t>8. Implementación de Inteligencia Artificial (Google Gemini)</w:t>
            </w:r>
          </w:p>
        </w:tc>
        <w:tc>
          <w:tcPr>
            <w:tcW w:type="dxa" w:w="1008"/>
            <w:tcMar>
              <w:top w:w="30" w:type="dxa"/>
              <w:bottom w:w="30" w:type="dxa"/>
              <w:left w:w="40" w:type="dxa"/>
              <w:right w:w="40" w:type="dxa"/>
            </w:tcMar>
          </w:tcPr>
          <w:p>
            <w:pPr>
              <w:spacing w:after="40"/>
              <w:jc w:val="right"/>
            </w:pPr>
            <w:r>
              <w:rPr>
                <w:rFonts w:ascii="Arial" w:hAnsi="Arial"/>
                <w:b/>
                <w:color w:val="46554E"/>
                <w:sz w:val="19"/>
              </w:rPr>
              <w:t>38</w:t>
            </w:r>
          </w:p>
        </w:tc>
      </w:tr>
      <w:tr>
        <w:tc>
          <w:tcPr>
            <w:tcW w:type="dxa" w:w="8352"/>
            <w:tcMar>
              <w:top w:w="30" w:type="dxa"/>
              <w:bottom w:w="30" w:type="dxa"/>
              <w:left w:w="40" w:type="dxa"/>
              <w:right w:w="40" w:type="dxa"/>
            </w:tcMar>
          </w:tcPr>
          <w:p>
            <w:pPr>
              <w:spacing w:after="40"/>
            </w:pPr>
            <w:r>
              <w:rPr>
                <w:rFonts w:ascii="Arial" w:hAnsi="Arial"/>
                <w:color w:val="191C1E"/>
                <w:sz w:val="19"/>
              </w:rPr>
              <w:t xml:space="preserve">   8.1. Arquitectura de Inferencia Multimodal</w:t>
            </w:r>
          </w:p>
        </w:tc>
        <w:tc>
          <w:tcPr>
            <w:tcW w:type="dxa" w:w="1008"/>
            <w:tcMar>
              <w:top w:w="30" w:type="dxa"/>
              <w:bottom w:w="30" w:type="dxa"/>
              <w:left w:w="40" w:type="dxa"/>
              <w:right w:w="40" w:type="dxa"/>
            </w:tcMar>
          </w:tcPr>
          <w:p>
            <w:pPr>
              <w:spacing w:after="40"/>
              <w:jc w:val="right"/>
            </w:pPr>
            <w:r>
              <w:rPr>
                <w:rFonts w:ascii="Arial" w:hAnsi="Arial"/>
                <w:b/>
                <w:color w:val="46554E"/>
                <w:sz w:val="19"/>
              </w:rPr>
              <w:t>38</w:t>
            </w:r>
          </w:p>
        </w:tc>
      </w:tr>
      <w:tr>
        <w:tc>
          <w:tcPr>
            <w:tcW w:type="dxa" w:w="8352"/>
            <w:tcMar>
              <w:top w:w="30" w:type="dxa"/>
              <w:bottom w:w="30" w:type="dxa"/>
              <w:left w:w="40" w:type="dxa"/>
              <w:right w:w="40" w:type="dxa"/>
            </w:tcMar>
          </w:tcPr>
          <w:p>
            <w:pPr>
              <w:spacing w:after="40"/>
            </w:pPr>
            <w:r>
              <w:rPr>
                <w:rFonts w:ascii="Arial" w:hAnsi="Arial"/>
                <w:color w:val="191C1E"/>
                <w:sz w:val="19"/>
              </w:rPr>
              <w:t xml:space="preserve">   8.2. Asistente Conversacional EcoIA (classify)</w:t>
            </w:r>
          </w:p>
        </w:tc>
        <w:tc>
          <w:tcPr>
            <w:tcW w:type="dxa" w:w="1008"/>
            <w:tcMar>
              <w:top w:w="30" w:type="dxa"/>
              <w:bottom w:w="30" w:type="dxa"/>
              <w:left w:w="40" w:type="dxa"/>
              <w:right w:w="40" w:type="dxa"/>
            </w:tcMar>
          </w:tcPr>
          <w:p>
            <w:pPr>
              <w:spacing w:after="40"/>
              <w:jc w:val="right"/>
            </w:pPr>
            <w:r>
              <w:rPr>
                <w:rFonts w:ascii="Arial" w:hAnsi="Arial"/>
                <w:b/>
                <w:color w:val="46554E"/>
                <w:sz w:val="19"/>
              </w:rPr>
              <w:t>39</w:t>
            </w:r>
          </w:p>
        </w:tc>
      </w:tr>
      <w:tr>
        <w:tc>
          <w:tcPr>
            <w:tcW w:type="dxa" w:w="8352"/>
            <w:tcMar>
              <w:top w:w="30" w:type="dxa"/>
              <w:bottom w:w="30" w:type="dxa"/>
              <w:left w:w="40" w:type="dxa"/>
              <w:right w:w="40" w:type="dxa"/>
            </w:tcMar>
          </w:tcPr>
          <w:p>
            <w:pPr>
              <w:spacing w:after="40"/>
            </w:pPr>
            <w:r>
              <w:rPr>
                <w:rFonts w:ascii="Arial" w:hAnsi="Arial"/>
                <w:color w:val="191C1E"/>
                <w:sz w:val="19"/>
              </w:rPr>
              <w:t xml:space="preserve">   8.3. Visión Computacional por Cámara (classify-image)</w:t>
            </w:r>
          </w:p>
        </w:tc>
        <w:tc>
          <w:tcPr>
            <w:tcW w:type="dxa" w:w="1008"/>
            <w:tcMar>
              <w:top w:w="30" w:type="dxa"/>
              <w:bottom w:w="30" w:type="dxa"/>
              <w:left w:w="40" w:type="dxa"/>
              <w:right w:w="40" w:type="dxa"/>
            </w:tcMar>
          </w:tcPr>
          <w:p>
            <w:pPr>
              <w:spacing w:after="40"/>
              <w:jc w:val="right"/>
            </w:pPr>
            <w:r>
              <w:rPr>
                <w:rFonts w:ascii="Arial" w:hAnsi="Arial"/>
                <w:b/>
                <w:color w:val="46554E"/>
                <w:sz w:val="19"/>
              </w:rPr>
              <w:t>40</w:t>
            </w:r>
          </w:p>
        </w:tc>
      </w:tr>
      <w:tr>
        <w:tc>
          <w:tcPr>
            <w:tcW w:type="dxa" w:w="8352"/>
            <w:tcMar>
              <w:top w:w="30" w:type="dxa"/>
              <w:bottom w:w="30" w:type="dxa"/>
              <w:left w:w="40" w:type="dxa"/>
              <w:right w:w="40" w:type="dxa"/>
            </w:tcMar>
          </w:tcPr>
          <w:p>
            <w:pPr>
              <w:spacing w:after="40"/>
            </w:pPr>
            <w:r>
              <w:rPr>
                <w:rFonts w:ascii="Arial" w:hAnsi="Arial"/>
                <w:color w:val="191C1E"/>
                <w:sz w:val="19"/>
              </w:rPr>
              <w:t xml:space="preserve">   8.4. Navegación GPS Turn-by-Turn hacia el Contenedor</w:t>
            </w:r>
          </w:p>
        </w:tc>
        <w:tc>
          <w:tcPr>
            <w:tcW w:type="dxa" w:w="1008"/>
            <w:tcMar>
              <w:top w:w="30" w:type="dxa"/>
              <w:bottom w:w="30" w:type="dxa"/>
              <w:left w:w="40" w:type="dxa"/>
              <w:right w:w="40" w:type="dxa"/>
            </w:tcMar>
          </w:tcPr>
          <w:p>
            <w:pPr>
              <w:spacing w:after="40"/>
              <w:jc w:val="right"/>
            </w:pPr>
            <w:r>
              <w:rPr>
                <w:rFonts w:ascii="Arial" w:hAnsi="Arial"/>
                <w:b/>
                <w:color w:val="46554E"/>
                <w:sz w:val="19"/>
              </w:rPr>
              <w:t>41</w:t>
            </w:r>
          </w:p>
        </w:tc>
      </w:tr>
      <w:tr>
        <w:tc>
          <w:tcPr>
            <w:tcW w:type="dxa" w:w="8352"/>
            <w:tcMar>
              <w:top w:w="30" w:type="dxa"/>
              <w:bottom w:w="30" w:type="dxa"/>
              <w:left w:w="40" w:type="dxa"/>
              <w:right w:w="40" w:type="dxa"/>
            </w:tcMar>
          </w:tcPr>
          <w:p>
            <w:pPr>
              <w:spacing w:after="40"/>
            </w:pPr>
            <w:r>
              <w:rPr>
                <w:rFonts w:ascii="Arial" w:hAnsi="Arial"/>
                <w:b/>
                <w:color w:val="006C49"/>
                <w:sz w:val="19"/>
              </w:rPr>
              <w:t>9. Base de Datos</w:t>
            </w:r>
          </w:p>
        </w:tc>
        <w:tc>
          <w:tcPr>
            <w:tcW w:type="dxa" w:w="1008"/>
            <w:tcMar>
              <w:top w:w="30" w:type="dxa"/>
              <w:bottom w:w="30" w:type="dxa"/>
              <w:left w:w="40" w:type="dxa"/>
              <w:right w:w="40" w:type="dxa"/>
            </w:tcMar>
          </w:tcPr>
          <w:p>
            <w:pPr>
              <w:spacing w:after="40"/>
              <w:jc w:val="right"/>
            </w:pPr>
            <w:r>
              <w:rPr>
                <w:rFonts w:ascii="Arial" w:hAnsi="Arial"/>
                <w:b/>
                <w:color w:val="46554E"/>
                <w:sz w:val="19"/>
              </w:rPr>
              <w:t>42</w:t>
            </w:r>
          </w:p>
        </w:tc>
      </w:tr>
      <w:tr>
        <w:tc>
          <w:tcPr>
            <w:tcW w:type="dxa" w:w="8352"/>
            <w:tcMar>
              <w:top w:w="30" w:type="dxa"/>
              <w:bottom w:w="30" w:type="dxa"/>
              <w:left w:w="40" w:type="dxa"/>
              <w:right w:w="40" w:type="dxa"/>
            </w:tcMar>
          </w:tcPr>
          <w:p>
            <w:pPr>
              <w:spacing w:after="40"/>
            </w:pPr>
            <w:r>
              <w:rPr>
                <w:rFonts w:ascii="Arial" w:hAnsi="Arial"/>
                <w:color w:val="191C1E"/>
                <w:sz w:val="19"/>
              </w:rPr>
              <w:t xml:space="preserve">   9.1. Motor PostgreSQL 17 y Extensión PostGIS</w:t>
            </w:r>
          </w:p>
        </w:tc>
        <w:tc>
          <w:tcPr>
            <w:tcW w:type="dxa" w:w="1008"/>
            <w:tcMar>
              <w:top w:w="30" w:type="dxa"/>
              <w:bottom w:w="30" w:type="dxa"/>
              <w:left w:w="40" w:type="dxa"/>
              <w:right w:w="40" w:type="dxa"/>
            </w:tcMar>
          </w:tcPr>
          <w:p>
            <w:pPr>
              <w:spacing w:after="40"/>
              <w:jc w:val="right"/>
            </w:pPr>
            <w:r>
              <w:rPr>
                <w:rFonts w:ascii="Arial" w:hAnsi="Arial"/>
                <w:b/>
                <w:color w:val="46554E"/>
                <w:sz w:val="19"/>
              </w:rPr>
              <w:t>42</w:t>
            </w:r>
          </w:p>
        </w:tc>
      </w:tr>
      <w:tr>
        <w:tc>
          <w:tcPr>
            <w:tcW w:type="dxa" w:w="8352"/>
            <w:tcMar>
              <w:top w:w="30" w:type="dxa"/>
              <w:bottom w:w="30" w:type="dxa"/>
              <w:left w:w="40" w:type="dxa"/>
              <w:right w:w="40" w:type="dxa"/>
            </w:tcMar>
          </w:tcPr>
          <w:p>
            <w:pPr>
              <w:spacing w:after="40"/>
            </w:pPr>
            <w:r>
              <w:rPr>
                <w:rFonts w:ascii="Arial" w:hAnsi="Arial"/>
                <w:color w:val="191C1E"/>
                <w:sz w:val="19"/>
              </w:rPr>
              <w:t xml:space="preserve">   9.2. Diccionario de Datos Completo</w:t>
            </w:r>
          </w:p>
        </w:tc>
        <w:tc>
          <w:tcPr>
            <w:tcW w:type="dxa" w:w="1008"/>
            <w:tcMar>
              <w:top w:w="30" w:type="dxa"/>
              <w:bottom w:w="30" w:type="dxa"/>
              <w:left w:w="40" w:type="dxa"/>
              <w:right w:w="40" w:type="dxa"/>
            </w:tcMar>
          </w:tcPr>
          <w:p>
            <w:pPr>
              <w:spacing w:after="40"/>
              <w:jc w:val="right"/>
            </w:pPr>
            <w:r>
              <w:rPr>
                <w:rFonts w:ascii="Arial" w:hAnsi="Arial"/>
                <w:b/>
                <w:color w:val="46554E"/>
                <w:sz w:val="19"/>
              </w:rPr>
              <w:t>43</w:t>
            </w:r>
          </w:p>
        </w:tc>
      </w:tr>
      <w:tr>
        <w:tc>
          <w:tcPr>
            <w:tcW w:type="dxa" w:w="8352"/>
            <w:tcMar>
              <w:top w:w="30" w:type="dxa"/>
              <w:bottom w:w="30" w:type="dxa"/>
              <w:left w:w="40" w:type="dxa"/>
              <w:right w:w="40" w:type="dxa"/>
            </w:tcMar>
          </w:tcPr>
          <w:p>
            <w:pPr>
              <w:spacing w:after="40"/>
            </w:pPr>
            <w:r>
              <w:rPr>
                <w:rFonts w:ascii="Arial" w:hAnsi="Arial"/>
                <w:color w:val="191C1E"/>
                <w:sz w:val="19"/>
              </w:rPr>
              <w:t xml:space="preserve">   9.3. Políticas de Seguridad RLS y Funciones RPC</w:t>
            </w:r>
          </w:p>
        </w:tc>
        <w:tc>
          <w:tcPr>
            <w:tcW w:type="dxa" w:w="1008"/>
            <w:tcMar>
              <w:top w:w="30" w:type="dxa"/>
              <w:bottom w:w="30" w:type="dxa"/>
              <w:left w:w="40" w:type="dxa"/>
              <w:right w:w="40" w:type="dxa"/>
            </w:tcMar>
          </w:tcPr>
          <w:p>
            <w:pPr>
              <w:spacing w:after="40"/>
              <w:jc w:val="right"/>
            </w:pPr>
            <w:r>
              <w:rPr>
                <w:rFonts w:ascii="Arial" w:hAnsi="Arial"/>
                <w:b/>
                <w:color w:val="46554E"/>
                <w:sz w:val="19"/>
              </w:rPr>
              <w:t>46</w:t>
            </w:r>
          </w:p>
        </w:tc>
      </w:tr>
      <w:tr>
        <w:tc>
          <w:tcPr>
            <w:tcW w:type="dxa" w:w="8352"/>
            <w:tcMar>
              <w:top w:w="30" w:type="dxa"/>
              <w:bottom w:w="30" w:type="dxa"/>
              <w:left w:w="40" w:type="dxa"/>
              <w:right w:w="40" w:type="dxa"/>
            </w:tcMar>
          </w:tcPr>
          <w:p>
            <w:pPr>
              <w:spacing w:after="40"/>
            </w:pPr>
            <w:r>
              <w:rPr>
                <w:rFonts w:ascii="Arial" w:hAnsi="Arial"/>
                <w:b/>
                <w:color w:val="006C49"/>
                <w:sz w:val="19"/>
              </w:rPr>
              <w:t>10. Manual Técnico de Instalación y Despliegue</w:t>
            </w:r>
          </w:p>
        </w:tc>
        <w:tc>
          <w:tcPr>
            <w:tcW w:type="dxa" w:w="1008"/>
            <w:tcMar>
              <w:top w:w="30" w:type="dxa"/>
              <w:bottom w:w="30" w:type="dxa"/>
              <w:left w:w="40" w:type="dxa"/>
              <w:right w:w="40" w:type="dxa"/>
            </w:tcMar>
          </w:tcPr>
          <w:p>
            <w:pPr>
              <w:spacing w:after="40"/>
              <w:jc w:val="right"/>
            </w:pPr>
            <w:r>
              <w:rPr>
                <w:rFonts w:ascii="Arial" w:hAnsi="Arial"/>
                <w:b/>
                <w:color w:val="46554E"/>
                <w:sz w:val="19"/>
              </w:rPr>
              <w:t>47</w:t>
            </w:r>
          </w:p>
        </w:tc>
      </w:tr>
      <w:tr>
        <w:tc>
          <w:tcPr>
            <w:tcW w:type="dxa" w:w="8352"/>
            <w:tcMar>
              <w:top w:w="30" w:type="dxa"/>
              <w:bottom w:w="30" w:type="dxa"/>
              <w:left w:w="40" w:type="dxa"/>
              <w:right w:w="40" w:type="dxa"/>
            </w:tcMar>
          </w:tcPr>
          <w:p>
            <w:pPr>
              <w:spacing w:after="40"/>
            </w:pPr>
            <w:r>
              <w:rPr>
                <w:rFonts w:ascii="Arial" w:hAnsi="Arial"/>
                <w:color w:val="191C1E"/>
                <w:sz w:val="19"/>
              </w:rPr>
              <w:t xml:space="preserve">   10.1. Prerrequisitos del Entorno</w:t>
            </w:r>
          </w:p>
        </w:tc>
        <w:tc>
          <w:tcPr>
            <w:tcW w:type="dxa" w:w="1008"/>
            <w:tcMar>
              <w:top w:w="30" w:type="dxa"/>
              <w:bottom w:w="30" w:type="dxa"/>
              <w:left w:w="40" w:type="dxa"/>
              <w:right w:w="40" w:type="dxa"/>
            </w:tcMar>
          </w:tcPr>
          <w:p>
            <w:pPr>
              <w:spacing w:after="40"/>
              <w:jc w:val="right"/>
            </w:pPr>
            <w:r>
              <w:rPr>
                <w:rFonts w:ascii="Arial" w:hAnsi="Arial"/>
                <w:b/>
                <w:color w:val="46554E"/>
                <w:sz w:val="19"/>
              </w:rPr>
              <w:t>47</w:t>
            </w:r>
          </w:p>
        </w:tc>
      </w:tr>
      <w:tr>
        <w:tc>
          <w:tcPr>
            <w:tcW w:type="dxa" w:w="8352"/>
            <w:tcMar>
              <w:top w:w="30" w:type="dxa"/>
              <w:bottom w:w="30" w:type="dxa"/>
              <w:left w:w="40" w:type="dxa"/>
              <w:right w:w="40" w:type="dxa"/>
            </w:tcMar>
          </w:tcPr>
          <w:p>
            <w:pPr>
              <w:spacing w:after="40"/>
            </w:pPr>
            <w:r>
              <w:rPr>
                <w:rFonts w:ascii="Arial" w:hAnsi="Arial"/>
                <w:color w:val="191C1E"/>
                <w:sz w:val="19"/>
              </w:rPr>
              <w:t xml:space="preserve">   10.2. Estructura del Repositorio</w:t>
            </w:r>
          </w:p>
        </w:tc>
        <w:tc>
          <w:tcPr>
            <w:tcW w:type="dxa" w:w="1008"/>
            <w:tcMar>
              <w:top w:w="30" w:type="dxa"/>
              <w:bottom w:w="30" w:type="dxa"/>
              <w:left w:w="40" w:type="dxa"/>
              <w:right w:w="40" w:type="dxa"/>
            </w:tcMar>
          </w:tcPr>
          <w:p>
            <w:pPr>
              <w:spacing w:after="40"/>
              <w:jc w:val="right"/>
            </w:pPr>
            <w:r>
              <w:rPr>
                <w:rFonts w:ascii="Arial" w:hAnsi="Arial"/>
                <w:b/>
                <w:color w:val="46554E"/>
                <w:sz w:val="19"/>
              </w:rPr>
              <w:t>48</w:t>
            </w:r>
          </w:p>
        </w:tc>
      </w:tr>
      <w:tr>
        <w:tc>
          <w:tcPr>
            <w:tcW w:type="dxa" w:w="8352"/>
            <w:tcMar>
              <w:top w:w="30" w:type="dxa"/>
              <w:bottom w:w="30" w:type="dxa"/>
              <w:left w:w="40" w:type="dxa"/>
              <w:right w:w="40" w:type="dxa"/>
            </w:tcMar>
          </w:tcPr>
          <w:p>
            <w:pPr>
              <w:spacing w:after="40"/>
            </w:pPr>
            <w:r>
              <w:rPr>
                <w:rFonts w:ascii="Arial" w:hAnsi="Arial"/>
                <w:color w:val="191C1E"/>
                <w:sz w:val="19"/>
              </w:rPr>
              <w:t xml:space="preserve">   10.3. Despliegue de Consolas Web SuperAdmin y Tenant</w:t>
            </w:r>
          </w:p>
        </w:tc>
        <w:tc>
          <w:tcPr>
            <w:tcW w:type="dxa" w:w="1008"/>
            <w:tcMar>
              <w:top w:w="30" w:type="dxa"/>
              <w:bottom w:w="30" w:type="dxa"/>
              <w:left w:w="40" w:type="dxa"/>
              <w:right w:w="40" w:type="dxa"/>
            </w:tcMar>
          </w:tcPr>
          <w:p>
            <w:pPr>
              <w:spacing w:after="40"/>
              <w:jc w:val="right"/>
            </w:pPr>
            <w:r>
              <w:rPr>
                <w:rFonts w:ascii="Arial" w:hAnsi="Arial"/>
                <w:b/>
                <w:color w:val="46554E"/>
                <w:sz w:val="19"/>
              </w:rPr>
              <w:t>49</w:t>
            </w:r>
          </w:p>
        </w:tc>
      </w:tr>
      <w:tr>
        <w:tc>
          <w:tcPr>
            <w:tcW w:type="dxa" w:w="8352"/>
            <w:tcMar>
              <w:top w:w="30" w:type="dxa"/>
              <w:bottom w:w="30" w:type="dxa"/>
              <w:left w:w="40" w:type="dxa"/>
              <w:right w:w="40" w:type="dxa"/>
            </w:tcMar>
          </w:tcPr>
          <w:p>
            <w:pPr>
              <w:spacing w:after="40"/>
            </w:pPr>
            <w:r>
              <w:rPr>
                <w:rFonts w:ascii="Arial" w:hAnsi="Arial"/>
                <w:color w:val="191C1E"/>
                <w:sz w:val="19"/>
              </w:rPr>
              <w:t xml:space="preserve">   10.4. Compilación del APK Móvil Android (Gradle)</w:t>
            </w:r>
          </w:p>
        </w:tc>
        <w:tc>
          <w:tcPr>
            <w:tcW w:type="dxa" w:w="1008"/>
            <w:tcMar>
              <w:top w:w="30" w:type="dxa"/>
              <w:bottom w:w="30" w:type="dxa"/>
              <w:left w:w="40" w:type="dxa"/>
              <w:right w:w="40" w:type="dxa"/>
            </w:tcMar>
          </w:tcPr>
          <w:p>
            <w:pPr>
              <w:spacing w:after="40"/>
              <w:jc w:val="right"/>
            </w:pPr>
            <w:r>
              <w:rPr>
                <w:rFonts w:ascii="Arial" w:hAnsi="Arial"/>
                <w:b/>
                <w:color w:val="46554E"/>
                <w:sz w:val="19"/>
              </w:rPr>
              <w:t>50</w:t>
            </w:r>
          </w:p>
        </w:tc>
      </w:tr>
      <w:tr>
        <w:tc>
          <w:tcPr>
            <w:tcW w:type="dxa" w:w="8352"/>
            <w:tcMar>
              <w:top w:w="30" w:type="dxa"/>
              <w:bottom w:w="30" w:type="dxa"/>
              <w:left w:w="40" w:type="dxa"/>
              <w:right w:w="40" w:type="dxa"/>
            </w:tcMar>
          </w:tcPr>
          <w:p>
            <w:pPr>
              <w:spacing w:after="40"/>
            </w:pPr>
            <w:r>
              <w:rPr>
                <w:rFonts w:ascii="Arial" w:hAnsi="Arial"/>
                <w:b/>
                <w:color w:val="006C49"/>
                <w:sz w:val="19"/>
              </w:rPr>
              <w:t>11. Manual de Usuario Integral</w:t>
            </w:r>
          </w:p>
        </w:tc>
        <w:tc>
          <w:tcPr>
            <w:tcW w:type="dxa" w:w="1008"/>
            <w:tcMar>
              <w:top w:w="30" w:type="dxa"/>
              <w:bottom w:w="30" w:type="dxa"/>
              <w:left w:w="40" w:type="dxa"/>
              <w:right w:w="40" w:type="dxa"/>
            </w:tcMar>
          </w:tcPr>
          <w:p>
            <w:pPr>
              <w:spacing w:after="40"/>
              <w:jc w:val="right"/>
            </w:pPr>
            <w:r>
              <w:rPr>
                <w:rFonts w:ascii="Arial" w:hAnsi="Arial"/>
                <w:b/>
                <w:color w:val="46554E"/>
                <w:sz w:val="19"/>
              </w:rPr>
              <w:t>51</w:t>
            </w:r>
          </w:p>
        </w:tc>
      </w:tr>
      <w:tr>
        <w:tc>
          <w:tcPr>
            <w:tcW w:type="dxa" w:w="8352"/>
            <w:tcMar>
              <w:top w:w="30" w:type="dxa"/>
              <w:bottom w:w="30" w:type="dxa"/>
              <w:left w:w="40" w:type="dxa"/>
              <w:right w:w="40" w:type="dxa"/>
            </w:tcMar>
          </w:tcPr>
          <w:p>
            <w:pPr>
              <w:spacing w:after="40"/>
            </w:pPr>
            <w:r>
              <w:rPr>
                <w:rFonts w:ascii="Arial" w:hAnsi="Arial"/>
                <w:color w:val="191C1E"/>
                <w:sz w:val="19"/>
              </w:rPr>
              <w:t xml:space="preserve">   11.1. Consola Central SuperAdmin</w:t>
            </w:r>
          </w:p>
        </w:tc>
        <w:tc>
          <w:tcPr>
            <w:tcW w:type="dxa" w:w="1008"/>
            <w:tcMar>
              <w:top w:w="30" w:type="dxa"/>
              <w:bottom w:w="30" w:type="dxa"/>
              <w:left w:w="40" w:type="dxa"/>
              <w:right w:w="40" w:type="dxa"/>
            </w:tcMar>
          </w:tcPr>
          <w:p>
            <w:pPr>
              <w:spacing w:after="40"/>
              <w:jc w:val="right"/>
            </w:pPr>
            <w:r>
              <w:rPr>
                <w:rFonts w:ascii="Arial" w:hAnsi="Arial"/>
                <w:b/>
                <w:color w:val="46554E"/>
                <w:sz w:val="19"/>
              </w:rPr>
              <w:t>51</w:t>
            </w:r>
          </w:p>
        </w:tc>
      </w:tr>
      <w:tr>
        <w:tc>
          <w:tcPr>
            <w:tcW w:type="dxa" w:w="8352"/>
            <w:tcMar>
              <w:top w:w="30" w:type="dxa"/>
              <w:bottom w:w="30" w:type="dxa"/>
              <w:left w:w="40" w:type="dxa"/>
              <w:right w:w="40" w:type="dxa"/>
            </w:tcMar>
          </w:tcPr>
          <w:p>
            <w:pPr>
              <w:spacing w:after="40"/>
            </w:pPr>
            <w:r>
              <w:rPr>
                <w:rFonts w:ascii="Arial" w:hAnsi="Arial"/>
                <w:color w:val="191C1E"/>
                <w:sz w:val="19"/>
              </w:rPr>
              <w:t xml:space="preserve">   11.2. Portal Operativo Territorial Municipal</w:t>
            </w:r>
          </w:p>
        </w:tc>
        <w:tc>
          <w:tcPr>
            <w:tcW w:type="dxa" w:w="1008"/>
            <w:tcMar>
              <w:top w:w="30" w:type="dxa"/>
              <w:bottom w:w="30" w:type="dxa"/>
              <w:left w:w="40" w:type="dxa"/>
              <w:right w:w="40" w:type="dxa"/>
            </w:tcMar>
          </w:tcPr>
          <w:p>
            <w:pPr>
              <w:spacing w:after="40"/>
              <w:jc w:val="right"/>
            </w:pPr>
            <w:r>
              <w:rPr>
                <w:rFonts w:ascii="Arial" w:hAnsi="Arial"/>
                <w:b/>
                <w:color w:val="46554E"/>
                <w:sz w:val="19"/>
              </w:rPr>
              <w:t>52</w:t>
            </w:r>
          </w:p>
        </w:tc>
      </w:tr>
      <w:tr>
        <w:tc>
          <w:tcPr>
            <w:tcW w:type="dxa" w:w="8352"/>
            <w:tcMar>
              <w:top w:w="30" w:type="dxa"/>
              <w:bottom w:w="30" w:type="dxa"/>
              <w:left w:w="40" w:type="dxa"/>
              <w:right w:w="40" w:type="dxa"/>
            </w:tcMar>
          </w:tcPr>
          <w:p>
            <w:pPr>
              <w:spacing w:after="40"/>
            </w:pPr>
            <w:r>
              <w:rPr>
                <w:rFonts w:ascii="Arial" w:hAnsi="Arial"/>
                <w:color w:val="191C1E"/>
                <w:sz w:val="19"/>
              </w:rPr>
              <w:t xml:space="preserve">   11.3. Aplicación Móvil Ciudadana (Guía de Uso)</w:t>
            </w:r>
          </w:p>
        </w:tc>
        <w:tc>
          <w:tcPr>
            <w:tcW w:type="dxa" w:w="1008"/>
            <w:tcMar>
              <w:top w:w="30" w:type="dxa"/>
              <w:bottom w:w="30" w:type="dxa"/>
              <w:left w:w="40" w:type="dxa"/>
              <w:right w:w="40" w:type="dxa"/>
            </w:tcMar>
          </w:tcPr>
          <w:p>
            <w:pPr>
              <w:spacing w:after="40"/>
              <w:jc w:val="right"/>
            </w:pPr>
            <w:r>
              <w:rPr>
                <w:rFonts w:ascii="Arial" w:hAnsi="Arial"/>
                <w:b/>
                <w:color w:val="46554E"/>
                <w:sz w:val="19"/>
              </w:rPr>
              <w:t>54</w:t>
            </w:r>
          </w:p>
        </w:tc>
      </w:tr>
      <w:tr>
        <w:tc>
          <w:tcPr>
            <w:tcW w:type="dxa" w:w="8352"/>
            <w:tcMar>
              <w:top w:w="30" w:type="dxa"/>
              <w:bottom w:w="30" w:type="dxa"/>
              <w:left w:w="40" w:type="dxa"/>
              <w:right w:w="40" w:type="dxa"/>
            </w:tcMar>
          </w:tcPr>
          <w:p>
            <w:pPr>
              <w:spacing w:after="40"/>
            </w:pPr>
            <w:r>
              <w:rPr>
                <w:rFonts w:ascii="Arial" w:hAnsi="Arial"/>
                <w:b/>
                <w:color w:val="006C49"/>
                <w:sz w:val="19"/>
              </w:rPr>
              <w:t>12. Pruebas del Sistema (QA)</w:t>
            </w:r>
          </w:p>
        </w:tc>
        <w:tc>
          <w:tcPr>
            <w:tcW w:type="dxa" w:w="1008"/>
            <w:tcMar>
              <w:top w:w="30" w:type="dxa"/>
              <w:bottom w:w="30" w:type="dxa"/>
              <w:left w:w="40" w:type="dxa"/>
              <w:right w:w="40" w:type="dxa"/>
            </w:tcMar>
          </w:tcPr>
          <w:p>
            <w:pPr>
              <w:spacing w:after="40"/>
              <w:jc w:val="right"/>
            </w:pPr>
            <w:r>
              <w:rPr>
                <w:rFonts w:ascii="Arial" w:hAnsi="Arial"/>
                <w:b/>
                <w:color w:val="46554E"/>
                <w:sz w:val="19"/>
              </w:rPr>
              <w:t>56</w:t>
            </w:r>
          </w:p>
        </w:tc>
      </w:tr>
      <w:tr>
        <w:tc>
          <w:tcPr>
            <w:tcW w:type="dxa" w:w="8352"/>
            <w:tcMar>
              <w:top w:w="30" w:type="dxa"/>
              <w:bottom w:w="30" w:type="dxa"/>
              <w:left w:w="40" w:type="dxa"/>
              <w:right w:w="40" w:type="dxa"/>
            </w:tcMar>
          </w:tcPr>
          <w:p>
            <w:pPr>
              <w:spacing w:after="40"/>
            </w:pPr>
            <w:r>
              <w:rPr>
                <w:rFonts w:ascii="Arial" w:hAnsi="Arial"/>
                <w:color w:val="191C1E"/>
                <w:sz w:val="19"/>
              </w:rPr>
              <w:t xml:space="preserve">   12.1. Metodología de Aseguramiento de Calidad</w:t>
            </w:r>
          </w:p>
        </w:tc>
        <w:tc>
          <w:tcPr>
            <w:tcW w:type="dxa" w:w="1008"/>
            <w:tcMar>
              <w:top w:w="30" w:type="dxa"/>
              <w:bottom w:w="30" w:type="dxa"/>
              <w:left w:w="40" w:type="dxa"/>
              <w:right w:w="40" w:type="dxa"/>
            </w:tcMar>
          </w:tcPr>
          <w:p>
            <w:pPr>
              <w:spacing w:after="40"/>
              <w:jc w:val="right"/>
            </w:pPr>
            <w:r>
              <w:rPr>
                <w:rFonts w:ascii="Arial" w:hAnsi="Arial"/>
                <w:b/>
                <w:color w:val="46554E"/>
                <w:sz w:val="19"/>
              </w:rPr>
              <w:t>56</w:t>
            </w:r>
          </w:p>
        </w:tc>
      </w:tr>
      <w:tr>
        <w:tc>
          <w:tcPr>
            <w:tcW w:type="dxa" w:w="8352"/>
            <w:tcMar>
              <w:top w:w="30" w:type="dxa"/>
              <w:bottom w:w="30" w:type="dxa"/>
              <w:left w:w="40" w:type="dxa"/>
              <w:right w:w="40" w:type="dxa"/>
            </w:tcMar>
          </w:tcPr>
          <w:p>
            <w:pPr>
              <w:spacing w:after="40"/>
            </w:pPr>
            <w:r>
              <w:rPr>
                <w:rFonts w:ascii="Arial" w:hAnsi="Arial"/>
                <w:color w:val="191C1E"/>
                <w:sz w:val="19"/>
              </w:rPr>
              <w:t xml:space="preserve">   12.2. Matriz Exhaustiva de Casos de Prueba (CP-01 a CP-08)</w:t>
            </w:r>
          </w:p>
        </w:tc>
        <w:tc>
          <w:tcPr>
            <w:tcW w:type="dxa" w:w="1008"/>
            <w:tcMar>
              <w:top w:w="30" w:type="dxa"/>
              <w:bottom w:w="30" w:type="dxa"/>
              <w:left w:w="40" w:type="dxa"/>
              <w:right w:w="40" w:type="dxa"/>
            </w:tcMar>
          </w:tcPr>
          <w:p>
            <w:pPr>
              <w:spacing w:after="40"/>
              <w:jc w:val="right"/>
            </w:pPr>
            <w:r>
              <w:rPr>
                <w:rFonts w:ascii="Arial" w:hAnsi="Arial"/>
                <w:b/>
                <w:color w:val="46554E"/>
                <w:sz w:val="19"/>
              </w:rPr>
              <w:t>57</w:t>
            </w:r>
          </w:p>
        </w:tc>
      </w:tr>
      <w:tr>
        <w:tc>
          <w:tcPr>
            <w:tcW w:type="dxa" w:w="8352"/>
            <w:tcMar>
              <w:top w:w="30" w:type="dxa"/>
              <w:bottom w:w="30" w:type="dxa"/>
              <w:left w:w="40" w:type="dxa"/>
              <w:right w:w="40" w:type="dxa"/>
            </w:tcMar>
          </w:tcPr>
          <w:p>
            <w:pPr>
              <w:spacing w:after="40"/>
            </w:pPr>
            <w:r>
              <w:rPr>
                <w:rFonts w:ascii="Arial" w:hAnsi="Arial"/>
                <w:color w:val="191C1E"/>
                <w:sz w:val="19"/>
              </w:rPr>
              <w:t xml:space="preserve">   12.3. Evidencias de Ejecución en Matorrales y Villa del Rosario</w:t>
            </w:r>
          </w:p>
        </w:tc>
        <w:tc>
          <w:tcPr>
            <w:tcW w:type="dxa" w:w="1008"/>
            <w:tcMar>
              <w:top w:w="30" w:type="dxa"/>
              <w:bottom w:w="30" w:type="dxa"/>
              <w:left w:w="40" w:type="dxa"/>
              <w:right w:w="40" w:type="dxa"/>
            </w:tcMar>
          </w:tcPr>
          <w:p>
            <w:pPr>
              <w:spacing w:after="40"/>
              <w:jc w:val="right"/>
            </w:pPr>
            <w:r>
              <w:rPr>
                <w:rFonts w:ascii="Arial" w:hAnsi="Arial"/>
                <w:b/>
                <w:color w:val="46554E"/>
                <w:sz w:val="19"/>
              </w:rPr>
              <w:t>59</w:t>
            </w:r>
          </w:p>
        </w:tc>
      </w:tr>
      <w:tr>
        <w:tc>
          <w:tcPr>
            <w:tcW w:type="dxa" w:w="8352"/>
            <w:tcMar>
              <w:top w:w="30" w:type="dxa"/>
              <w:bottom w:w="30" w:type="dxa"/>
              <w:left w:w="40" w:type="dxa"/>
              <w:right w:w="40" w:type="dxa"/>
            </w:tcMar>
          </w:tcPr>
          <w:p>
            <w:pPr>
              <w:spacing w:after="40"/>
            </w:pPr>
            <w:r>
              <w:rPr>
                <w:rFonts w:ascii="Arial" w:hAnsi="Arial"/>
                <w:b/>
                <w:color w:val="006C49"/>
                <w:sz w:val="19"/>
              </w:rPr>
              <w:t>13. Conclusiones y Trabajo Futuro</w:t>
            </w:r>
          </w:p>
        </w:tc>
        <w:tc>
          <w:tcPr>
            <w:tcW w:type="dxa" w:w="1008"/>
            <w:tcMar>
              <w:top w:w="30" w:type="dxa"/>
              <w:bottom w:w="30" w:type="dxa"/>
              <w:left w:w="40" w:type="dxa"/>
              <w:right w:w="40" w:type="dxa"/>
            </w:tcMar>
          </w:tcPr>
          <w:p>
            <w:pPr>
              <w:spacing w:after="40"/>
              <w:jc w:val="right"/>
            </w:pPr>
            <w:r>
              <w:rPr>
                <w:rFonts w:ascii="Arial" w:hAnsi="Arial"/>
                <w:b/>
                <w:color w:val="46554E"/>
                <w:sz w:val="19"/>
              </w:rPr>
              <w:t>60</w:t>
            </w:r>
          </w:p>
        </w:tc>
      </w:tr>
      <w:tr>
        <w:tc>
          <w:tcPr>
            <w:tcW w:type="dxa" w:w="8352"/>
            <w:tcMar>
              <w:top w:w="30" w:type="dxa"/>
              <w:bottom w:w="30" w:type="dxa"/>
              <w:left w:w="40" w:type="dxa"/>
              <w:right w:w="40" w:type="dxa"/>
            </w:tcMar>
          </w:tcPr>
          <w:p>
            <w:pPr>
              <w:spacing w:after="40"/>
            </w:pPr>
            <w:r>
              <w:rPr>
                <w:rFonts w:ascii="Arial" w:hAnsi="Arial"/>
                <w:color w:val="191C1E"/>
                <w:sz w:val="19"/>
              </w:rPr>
              <w:t xml:space="preserve">   13.1. Aprendizajes del Equipo y Desafíos Técnicos Superados</w:t>
            </w:r>
          </w:p>
        </w:tc>
        <w:tc>
          <w:tcPr>
            <w:tcW w:type="dxa" w:w="1008"/>
            <w:tcMar>
              <w:top w:w="30" w:type="dxa"/>
              <w:bottom w:w="30" w:type="dxa"/>
              <w:left w:w="40" w:type="dxa"/>
              <w:right w:w="40" w:type="dxa"/>
            </w:tcMar>
          </w:tcPr>
          <w:p>
            <w:pPr>
              <w:spacing w:after="40"/>
              <w:jc w:val="right"/>
            </w:pPr>
            <w:r>
              <w:rPr>
                <w:rFonts w:ascii="Arial" w:hAnsi="Arial"/>
                <w:b/>
                <w:color w:val="46554E"/>
                <w:sz w:val="19"/>
              </w:rPr>
              <w:t>60</w:t>
            </w:r>
          </w:p>
        </w:tc>
      </w:tr>
      <w:tr>
        <w:tc>
          <w:tcPr>
            <w:tcW w:type="dxa" w:w="8352"/>
            <w:tcMar>
              <w:top w:w="30" w:type="dxa"/>
              <w:bottom w:w="30" w:type="dxa"/>
              <w:left w:w="40" w:type="dxa"/>
              <w:right w:w="40" w:type="dxa"/>
            </w:tcMar>
          </w:tcPr>
          <w:p>
            <w:pPr>
              <w:spacing w:after="40"/>
            </w:pPr>
            <w:r>
              <w:rPr>
                <w:rFonts w:ascii="Arial" w:hAnsi="Arial"/>
                <w:color w:val="191C1E"/>
                <w:sz w:val="19"/>
              </w:rPr>
              <w:t xml:space="preserve">   13.2. Hoja de Ruta y Líneas Futuras de Evolución</w:t>
            </w:r>
          </w:p>
        </w:tc>
        <w:tc>
          <w:tcPr>
            <w:tcW w:type="dxa" w:w="1008"/>
            <w:tcMar>
              <w:top w:w="30" w:type="dxa"/>
              <w:bottom w:w="30" w:type="dxa"/>
              <w:left w:w="40" w:type="dxa"/>
              <w:right w:w="40" w:type="dxa"/>
            </w:tcMar>
          </w:tcPr>
          <w:p>
            <w:pPr>
              <w:spacing w:after="40"/>
              <w:jc w:val="right"/>
            </w:pPr>
            <w:r>
              <w:rPr>
                <w:rFonts w:ascii="Arial" w:hAnsi="Arial"/>
                <w:b/>
                <w:color w:val="46554E"/>
                <w:sz w:val="19"/>
              </w:rPr>
              <w:t>61</w:t>
            </w:r>
          </w:p>
        </w:tc>
      </w:tr>
      <w:tr>
        <w:tc>
          <w:tcPr>
            <w:tcW w:type="dxa" w:w="8352"/>
            <w:tcMar>
              <w:top w:w="30" w:type="dxa"/>
              <w:bottom w:w="30" w:type="dxa"/>
              <w:left w:w="40" w:type="dxa"/>
              <w:right w:w="40" w:type="dxa"/>
            </w:tcMar>
          </w:tcPr>
          <w:p>
            <w:pPr>
              <w:spacing w:after="40"/>
            </w:pPr>
            <w:r>
              <w:rPr>
                <w:rFonts w:ascii="Arial" w:hAnsi="Arial"/>
                <w:b/>
                <w:color w:val="006C49"/>
                <w:sz w:val="19"/>
              </w:rPr>
              <w:t>14. Anexos y Enlaces Oficiales</w:t>
            </w:r>
          </w:p>
        </w:tc>
        <w:tc>
          <w:tcPr>
            <w:tcW w:type="dxa" w:w="1008"/>
            <w:tcMar>
              <w:top w:w="30" w:type="dxa"/>
              <w:bottom w:w="30" w:type="dxa"/>
              <w:left w:w="40" w:type="dxa"/>
              <w:right w:w="40" w:type="dxa"/>
            </w:tcMar>
          </w:tcPr>
          <w:p>
            <w:pPr>
              <w:spacing w:after="40"/>
              <w:jc w:val="right"/>
            </w:pPr>
            <w:r>
              <w:rPr>
                <w:rFonts w:ascii="Arial" w:hAnsi="Arial"/>
                <w:b/>
                <w:color w:val="46554E"/>
                <w:sz w:val="19"/>
              </w:rPr>
              <w:t>62</w:t>
            </w:r>
          </w:p>
        </w:tc>
      </w:tr>
    </w:tbl>
    <w:p>
      <w:r>
        <w:br w:type="page"/>
      </w:r>
    </w:p>
    <w:p>
      <w:pPr>
        <w:keepNext/>
        <w:spacing w:before="320" w:after="160"/>
      </w:pPr>
      <w:r>
        <w:rPr>
          <w:rFonts w:ascii="Arial" w:hAnsi="Arial"/>
          <w:b/>
          <w:color w:val="006C49"/>
          <w:sz w:val="32"/>
        </w:rPr>
        <w:t>1. RESUMEN EJECUTIVO</w:t>
      </w:r>
    </w:p>
    <w:p>
      <w:pPr>
        <w:keepNext/>
        <w:spacing w:before="240" w:after="120"/>
      </w:pPr>
      <w:r>
        <w:rPr>
          <w:rFonts w:ascii="Arial" w:hAnsi="Arial"/>
          <w:b/>
          <w:color w:val="005AC2"/>
          <w:sz w:val="26"/>
        </w:rPr>
        <w:t>1.1. Descripción Breve del Proyecto</w:t>
      </w:r>
    </w:p>
    <w:p>
      <w:pPr>
        <w:spacing w:after="120" w:line="300" w:lineRule="auto"/>
        <w:jc w:val="both"/>
      </w:pPr>
      <w:r>
        <w:rPr>
          <w:rFonts w:ascii="Arial" w:hAnsi="Arial"/>
          <w:color w:val="191C1E"/>
          <w:sz w:val="21"/>
        </w:rPr>
        <w:t>EcoMapa Suite V2.1 es un ecosistema tecnológico integral concebido y desarrollado bajo el marco de la startup CivicLoop Technologies S.A. como una plataforma Software as a Service (SaaS) multi-tenant. Está orientada a modernizar y digitalizar la gestión integral de residuos sólidos urbanos (RSU), automatizar la trazabilidad ambiental y dinamizar la economía circular en municipios, comunas y comunidades intermedias de la provincia de Córdoba y el país.</w:t>
      </w:r>
    </w:p>
    <w:p>
      <w:pPr>
        <w:spacing w:after="120" w:line="300" w:lineRule="auto"/>
        <w:jc w:val="both"/>
      </w:pPr>
      <w:r>
        <w:rPr>
          <w:rFonts w:ascii="Arial" w:hAnsi="Arial"/>
          <w:color w:val="191C1E"/>
          <w:sz w:val="21"/>
        </w:rPr>
        <w:t>La solución articula de forma armónica una aplicación móvil ciudadana nativa para Android desarrollada en Kotlin con Jetpack Compose, un portal web operativo territorial para secretarías de ambiente municipales en React 19, una consola matriz SuperAdmin para la gestión corporativa de ingresos recurrentes (MRR) y un backend serverless de alta disponibilidad montado sobre Supabase con PostgreSQL 17 y la extensión geoespacial PostGIS.</w:t>
      </w:r>
    </w:p>
    <w:p>
      <w:pPr>
        <w:keepNext/>
        <w:spacing w:before="240" w:after="120"/>
      </w:pPr>
      <w:r>
        <w:rPr>
          <w:rFonts w:ascii="Arial" w:hAnsi="Arial"/>
          <w:b/>
          <w:color w:val="005AC2"/>
          <w:sz w:val="26"/>
        </w:rPr>
        <w:t>1.2. Problema que se Aborda</w:t>
      </w:r>
    </w:p>
    <w:p>
      <w:pPr>
        <w:spacing w:after="120" w:line="300" w:lineRule="auto"/>
        <w:jc w:val="both"/>
      </w:pPr>
      <w:r>
        <w:rPr>
          <w:rFonts w:ascii="Arial" w:hAnsi="Arial"/>
          <w:b/>
          <w:color w:val="191C1E"/>
          <w:sz w:val="21"/>
        </w:rPr>
        <w:t xml:space="preserve">Problemática Central: </w:t>
      </w:r>
      <w:r>
        <w:rPr>
          <w:rFonts w:ascii="Arial" w:hAnsi="Arial"/>
          <w:color w:val="191C1E"/>
          <w:sz w:val="21"/>
        </w:rPr>
        <w:t>En la gran mayoría de los municipios de escala intermedia del interior argentino, la gestión de residuos sólidos enfrenta cuatro deficiencias estructurales críticas que degradan la calidad de vida y generan un sobrecosto financiero permanente:</w:t>
      </w:r>
    </w:p>
    <w:p>
      <w:pPr>
        <w:pStyle w:val="ListBullet"/>
        <w:spacing w:after="80" w:line="288" w:lineRule="auto"/>
      </w:pPr>
      <w:r>
        <w:rPr>
          <w:rFonts w:ascii="Arial" w:hAnsi="Arial"/>
          <w:b/>
          <w:color w:val="191C1E"/>
          <w:sz w:val="20"/>
        </w:rPr>
        <w:t xml:space="preserve">Desinformación Ciudadana: </w:t>
      </w:r>
      <w:r>
        <w:rPr>
          <w:rFonts w:ascii="Arial" w:hAnsi="Arial"/>
          <w:color w:val="191C1E"/>
          <w:sz w:val="20"/>
        </w:rPr>
        <w:t>Desconocimiento ciudadano profundo sobre la localización física exacta de campanas diferenciadas y los protocolos técnicos de segregación en origen, provocando que materiales potencialmente valorizables terminen en rellenos sanitarios o basurales a cielo abierto.</w:t>
      </w:r>
    </w:p>
    <w:p>
      <w:pPr>
        <w:pStyle w:val="ListBullet"/>
        <w:spacing w:after="80" w:line="288" w:lineRule="auto"/>
      </w:pPr>
      <w:r>
        <w:rPr>
          <w:rFonts w:ascii="Arial" w:hAnsi="Arial"/>
          <w:b/>
          <w:color w:val="191C1E"/>
          <w:sz w:val="20"/>
        </w:rPr>
        <w:t xml:space="preserve">Ineficiencia Logística Municipal: </w:t>
      </w:r>
      <w:r>
        <w:rPr>
          <w:rFonts w:ascii="Arial" w:hAnsi="Arial"/>
          <w:color w:val="191C1E"/>
          <w:sz w:val="20"/>
        </w:rPr>
        <w:t>Gestión analógica y reactiva de residuos voluminosos (muebles, colchones, restos de poda pesada y chatarra) y aparatos eléctricos/electrónicos (RAEE), los cuales suelen ser abandonados en esquinas y caminos rurales por falta de un canal ágil de recolección diferenciada.</w:t>
      </w:r>
    </w:p>
    <w:p>
      <w:pPr>
        <w:pStyle w:val="ListBullet"/>
        <w:spacing w:after="80" w:line="288" w:lineRule="auto"/>
      </w:pPr>
      <w:r>
        <w:rPr>
          <w:rFonts w:ascii="Arial" w:hAnsi="Arial"/>
          <w:b/>
          <w:color w:val="191C1E"/>
          <w:sz w:val="20"/>
        </w:rPr>
        <w:t xml:space="preserve">Ausencia de Estímulos Económicos: </w:t>
      </w:r>
      <w:r>
        <w:rPr>
          <w:rFonts w:ascii="Arial" w:hAnsi="Arial"/>
          <w:color w:val="191C1E"/>
          <w:sz w:val="20"/>
        </w:rPr>
        <w:t>Inexistencia de un esquema de incentivos tangibles e inmediatos que premie la conducta cívica responsable del vecino, lo que deriva en un abandono progresivo del hábito de separación domiciliaria.</w:t>
      </w:r>
    </w:p>
    <w:p>
      <w:pPr>
        <w:pStyle w:val="ListBullet"/>
        <w:spacing w:after="80" w:line="288" w:lineRule="auto"/>
      </w:pPr>
      <w:r>
        <w:rPr>
          <w:rFonts w:ascii="Arial" w:hAnsi="Arial"/>
          <w:b/>
          <w:color w:val="191C1E"/>
          <w:sz w:val="20"/>
        </w:rPr>
        <w:t xml:space="preserve">Carencia de Trazabilidad Normativa: </w:t>
      </w:r>
      <w:r>
        <w:rPr>
          <w:rFonts w:ascii="Arial" w:hAnsi="Arial"/>
          <w:color w:val="191C1E"/>
          <w:sz w:val="20"/>
        </w:rPr>
        <w:t>Falta de plataformas centralizadas y homologadas para que el sector empresarial audite su responsabilidad extendida del productor (REP), acreditando el destino sustentable de sus pasivos ambientales post-consumo.</w:t>
      </w:r>
    </w:p>
    <w:p>
      <w:pPr>
        <w:keepNext/>
        <w:spacing w:before="240" w:after="120"/>
      </w:pPr>
      <w:r>
        <w:rPr>
          <w:rFonts w:ascii="Arial" w:hAnsi="Arial"/>
          <w:b/>
          <w:color w:val="005AC2"/>
          <w:sz w:val="26"/>
        </w:rPr>
        <w:t>1.3. Solución Propuesta (EcoMapa Suite)</w:t>
      </w:r>
    </w:p>
    <w:p>
      <w:pPr>
        <w:spacing w:after="120" w:line="300" w:lineRule="auto"/>
        <w:jc w:val="both"/>
      </w:pPr>
      <w:r>
        <w:rPr>
          <w:rFonts w:ascii="Arial" w:hAnsi="Arial"/>
          <w:b/>
          <w:color w:val="191C1E"/>
          <w:sz w:val="21"/>
        </w:rPr>
        <w:t xml:space="preserve">Ecosistema Integrado: </w:t>
      </w:r>
      <w:r>
        <w:rPr>
          <w:rFonts w:ascii="Arial" w:hAnsi="Arial"/>
          <w:color w:val="191C1E"/>
          <w:sz w:val="21"/>
        </w:rPr>
        <w:t>Frente a estas fallas de mercado, CivicLoop Technologies implementó una arquitectura de tres aplicaciones complementarias interconectadas en tiempo real:</w:t>
      </w:r>
    </w:p>
    <w:p>
      <w:pPr>
        <w:pStyle w:val="ListBullet"/>
        <w:spacing w:after="80" w:line="288" w:lineRule="auto"/>
      </w:pPr>
      <w:r>
        <w:rPr>
          <w:rFonts w:ascii="Arial" w:hAnsi="Arial"/>
          <w:b/>
          <w:color w:val="191C1E"/>
          <w:sz w:val="20"/>
        </w:rPr>
        <w:t xml:space="preserve">1. Aplicación Móvil Ciudadana (Android Nativo): </w:t>
      </w:r>
      <w:r>
        <w:rPr>
          <w:rFonts w:ascii="Arial" w:hAnsi="Arial"/>
          <w:color w:val="191C1E"/>
          <w:sz w:val="20"/>
        </w:rPr>
        <w:t>Aplicación nativa para smartphones con georreferenciación satelital en vivo, mapa interactivo con identificación visual de contenedores por color y tipo de desecho, asistente virtual EcoIA con lenguaje natural argentino, escáner fotográfico con visión artificial multimodal (Google Gemini Vision) y billetera digital de EcoPuntos canjeables por cupones con código QR y código de barras (ZXing) utilizables sin conexión a internet.</w:t>
      </w:r>
    </w:p>
    <w:p>
      <w:pPr>
        <w:pStyle w:val="ListBullet"/>
        <w:spacing w:after="80" w:line="288" w:lineRule="auto"/>
      </w:pPr>
      <w:r>
        <w:rPr>
          <w:rFonts w:ascii="Arial" w:hAnsi="Arial"/>
          <w:b/>
          <w:color w:val="191C1E"/>
          <w:sz w:val="20"/>
        </w:rPr>
        <w:t xml:space="preserve">2. Portal Operativo Territorial Municipal (Web Tenant - Puerto 5173): </w:t>
      </w:r>
      <w:r>
        <w:rPr>
          <w:rFonts w:ascii="Arial" w:hAnsi="Arial"/>
          <w:color w:val="191C1E"/>
          <w:sz w:val="20"/>
        </w:rPr>
        <w:t>Plataforma web de comando para directores de ambiente, operadores de servicios públicos y coordinadores de cooperativas. Brinda monitoreo cartográfico en vivo de la red de campanas, administración de capacidad de llenado, tablero logístico de solicitudes de retiro domiciliario con despacho de camiones, y generación automática de reportes oficiales de sustentabilidad en formato PDF con firma digital.</w:t>
      </w:r>
    </w:p>
    <w:p>
      <w:pPr>
        <w:pStyle w:val="ListBullet"/>
        <w:spacing w:after="80" w:line="288" w:lineRule="auto"/>
      </w:pPr>
      <w:r>
        <w:rPr>
          <w:rFonts w:ascii="Arial" w:hAnsi="Arial"/>
          <w:b/>
          <w:color w:val="191C1E"/>
          <w:sz w:val="20"/>
        </w:rPr>
        <w:t xml:space="preserve">3. Consola Matriz Central SuperAdmin (Web SuperAdmin - Puerto 5174): </w:t>
      </w:r>
      <w:r>
        <w:rPr>
          <w:rFonts w:ascii="Arial" w:hAnsi="Arial"/>
          <w:color w:val="191C1E"/>
          <w:sz w:val="20"/>
        </w:rPr>
        <w:t>Consola gerencial de CivicLoop Technologies orientada al monitoreo global del negocio SaaS: supervisión de ingresos recurrentes mensuales (MRR), altas y bajas de jurisdicciones municipales, administración de cupos de infraestructura y telemetría en tiempo real del consumo de tokens de Inteligencia Artificial.</w:t>
      </w:r>
    </w:p>
    <w:tbl>
      <w:tblPr>
        <w:tblW w:type="auto" w:w="0"/>
        <w:jc w:val="center"/>
        <w:tblLayout w:type="fixed"/>
        <w:tblLook w:firstColumn="1" w:firstRow="1" w:lastColumn="0" w:lastRow="0" w:noHBand="0" w:noVBand="1" w:val="04A0"/>
      </w:tblPr>
      <w:tblGrid>
        <w:gridCol w:w="9029"/>
      </w:tblGrid>
      <w:tr>
        <w:tc>
          <w:tcPr>
            <w:tcW w:type="dxa" w:w="9360"/>
            <w:shd w:fill="F2F6F3"/>
            <w:tcMar>
              <w:top w:w="140" w:type="dxa"/>
              <w:bottom w:w="140" w:type="dxa"/>
              <w:left w:w="180" w:type="dxa"/>
              <w:right w:w="180" w:type="dxa"/>
            </w:tcMar>
            <w:tcBorders>
              <w:left w:val="single" w:sz="24" w:space="0" w:color="006C49"/>
              <w:top w:val="none"/>
              <w:right w:val="none"/>
              <w:bottom w:val="none"/>
            </w:tcBorders>
          </w:tcPr>
          <w:p>
            <w:pPr>
              <w:spacing w:after="60"/>
            </w:pPr>
            <w:r>
              <w:rPr>
                <w:rFonts w:ascii="Arial" w:hAnsi="Arial"/>
                <w:b/>
                <w:color w:val="006C49"/>
                <w:sz w:val="20"/>
              </w:rPr>
              <w:t xml:space="preserve">📌 INNOVACIÓN CLAVE V2.1: </w:t>
            </w:r>
            <w:r>
              <w:rPr>
                <w:rFonts w:ascii="Arial" w:hAnsi="Arial"/>
                <w:color w:val="191C1E"/>
                <w:sz w:val="19"/>
              </w:rPr>
              <w:t>La versión 2.1 incorpora la migración integral de su motor cognitivo hacia Google Gemini (modelos Gemini Flash y Gemini Flash-Lite multimodal), eliminando alucinaciones previas, garantizando tiempos de respuesta inferiores a 1 segundo y permitiendo la navegación GPS paso a paso (turn-by-turn) directa desde el resultado fotográfico hacia el contenedor municipal más cercano.</w:t>
            </w:r>
          </w:p>
        </w:tc>
      </w:tr>
    </w:tbl>
    <w:p>
      <w:pPr>
        <w:spacing w:after="120"/>
      </w:pPr>
    </w:p>
    <w:p>
      <w:pPr>
        <w:keepNext/>
        <w:spacing w:before="240" w:after="120"/>
      </w:pPr>
      <w:r>
        <w:rPr>
          <w:rFonts w:ascii="Arial" w:hAnsi="Arial"/>
          <w:b/>
          <w:color w:val="005AC2"/>
          <w:sz w:val="26"/>
        </w:rPr>
        <w:t>1.4. Público Objetivo y Segmentación</w:t>
      </w:r>
    </w:p>
    <w:p>
      <w:pPr>
        <w:pStyle w:val="ListBullet"/>
        <w:spacing w:after="80" w:line="288" w:lineRule="auto"/>
      </w:pPr>
      <w:r>
        <w:rPr>
          <w:rFonts w:ascii="Arial" w:hAnsi="Arial"/>
          <w:b/>
          <w:color w:val="191C1E"/>
          <w:sz w:val="20"/>
        </w:rPr>
        <w:t xml:space="preserve">Sector Ciudadano (B2C): </w:t>
      </w:r>
      <w:r>
        <w:rPr>
          <w:rFonts w:ascii="Arial" w:hAnsi="Arial"/>
          <w:color w:val="191C1E"/>
          <w:sz w:val="20"/>
        </w:rPr>
        <w:t>Vecinos domiciliarios de todas las edades que buscan simplificar el reciclaje diario y obtener beneficios económicos concretos en comercios de cercanía.</w:t>
      </w:r>
    </w:p>
    <w:p>
      <w:pPr>
        <w:pStyle w:val="ListBullet"/>
        <w:spacing w:after="80" w:line="288" w:lineRule="auto"/>
      </w:pPr>
      <w:r>
        <w:rPr>
          <w:rFonts w:ascii="Arial" w:hAnsi="Arial"/>
          <w:b/>
          <w:color w:val="191C1E"/>
          <w:sz w:val="20"/>
        </w:rPr>
        <w:t xml:space="preserve">Sector Público Local (B2G): </w:t>
      </w:r>
      <w:r>
        <w:rPr>
          <w:rFonts w:ascii="Arial" w:hAnsi="Arial"/>
          <w:color w:val="191C1E"/>
          <w:sz w:val="20"/>
        </w:rPr>
        <w:t>Intendencias, Secretarías de Ambiente, Direcciones de Obras Públicas y Cooperativas de Recuperadores Urbanos que requieren optimizar el gasto en combustible, modernizar su imagen de gestión y cumplir metas provinciales de sustentabilidad.</w:t>
      </w:r>
    </w:p>
    <w:p>
      <w:pPr>
        <w:pStyle w:val="ListBullet"/>
        <w:spacing w:after="80" w:line="288" w:lineRule="auto"/>
      </w:pPr>
      <w:r>
        <w:rPr>
          <w:rFonts w:ascii="Arial" w:hAnsi="Arial"/>
          <w:b/>
          <w:color w:val="191C1E"/>
          <w:sz w:val="20"/>
        </w:rPr>
        <w:t xml:space="preserve">Sector Privado Comercial e Industrial (B2B): </w:t>
      </w:r>
      <w:r>
        <w:rPr>
          <w:rFonts w:ascii="Arial" w:hAnsi="Arial"/>
          <w:color w:val="191C1E"/>
          <w:sz w:val="20"/>
        </w:rPr>
        <w:t>Comercios minoristas que incrementan su caudal de clientes aceptando vouchers ecológicos en caja, y grandes empresas alcanzadas por regulaciones de Responsabilidad Extendida del Productor (REP) que necesitan auditar el retiro de neumáticos, envases y baterías.</w:t>
      </w:r>
    </w:p>
    <w:p>
      <w:pPr>
        <w:keepNext/>
        <w:spacing w:before="240" w:after="120"/>
      </w:pPr>
      <w:r>
        <w:rPr>
          <w:rFonts w:ascii="Arial" w:hAnsi="Arial"/>
          <w:b/>
          <w:color w:val="005AC2"/>
          <w:sz w:val="26"/>
        </w:rPr>
        <w:t>1.5. Valor Diferencial y Ventaja Competitiva</w:t>
      </w:r>
    </w:p>
    <w:p>
      <w:pPr>
        <w:spacing w:after="120" w:line="300" w:lineRule="auto"/>
        <w:jc w:val="both"/>
      </w:pPr>
      <w:r>
        <w:rPr>
          <w:rFonts w:ascii="Arial" w:hAnsi="Arial"/>
          <w:b/>
          <w:color w:val="191C1E"/>
          <w:sz w:val="21"/>
        </w:rPr>
        <w:t xml:space="preserve">Diferenciadores Estratégicos: </w:t>
      </w:r>
      <w:r>
        <w:rPr>
          <w:rFonts w:ascii="Arial" w:hAnsi="Arial"/>
          <w:color w:val="191C1E"/>
          <w:sz w:val="21"/>
        </w:rPr>
        <w:t>EcoMapa Suite V2.1 se posiciona como una solución pionera en el mercado de software cívico ambiental argentino gracias a cuatro pilares distintivos:</w:t>
      </w:r>
    </w:p>
    <w:p>
      <w:pPr>
        <w:pStyle w:val="ListBullet"/>
        <w:spacing w:after="80" w:line="288" w:lineRule="auto"/>
      </w:pPr>
      <w:r>
        <w:rPr>
          <w:rFonts w:ascii="Arial" w:hAnsi="Arial"/>
          <w:b/>
          <w:color w:val="191C1E"/>
          <w:sz w:val="20"/>
        </w:rPr>
        <w:t xml:space="preserve">1. Inteligencia Artificial Multimodal en Tiempo Real: </w:t>
      </w:r>
      <w:r>
        <w:rPr>
          <w:rFonts w:ascii="Arial" w:hAnsi="Arial"/>
          <w:color w:val="191C1E"/>
          <w:sz w:val="20"/>
        </w:rPr>
        <w:t>El vecino no necesita interpretar complejas tablas de reciclaje; basta con tomar una fotografía al residuo u objeto para que la IA determine su destino, indique cómo prepararlo (limpio, seco, desarmado) y active la navegación GPS guiada.</w:t>
      </w:r>
    </w:p>
    <w:p>
      <w:pPr>
        <w:pStyle w:val="ListBullet"/>
        <w:spacing w:after="80" w:line="288" w:lineRule="auto"/>
      </w:pPr>
      <w:r>
        <w:rPr>
          <w:rFonts w:ascii="Arial" w:hAnsi="Arial"/>
          <w:b/>
          <w:color w:val="191C1E"/>
          <w:sz w:val="20"/>
        </w:rPr>
        <w:t xml:space="preserve">2. Cartografía Territorial Enriquecida con PostGIS: </w:t>
      </w:r>
      <w:r>
        <w:rPr>
          <w:rFonts w:ascii="Arial" w:hAnsi="Arial"/>
          <w:color w:val="191C1E"/>
          <w:sz w:val="20"/>
        </w:rPr>
        <w:t>Los marcadores cartográficos integran pastillas rotuladas legibles ('PLÁSTICOS', 'CARTÓN / PAPEL', 'VIDRIO', 'ELECTRÓNICOS') y cálculo de distancias hiperlocalizado con algoritmos espaciales PostGIS, garantizando cobertura en ciudades del interior como Villa del Rosario y Matorrales.</w:t>
      </w:r>
    </w:p>
    <w:p>
      <w:pPr>
        <w:pStyle w:val="ListBullet"/>
        <w:spacing w:after="80" w:line="288" w:lineRule="auto"/>
      </w:pPr>
      <w:r>
        <w:rPr>
          <w:rFonts w:ascii="Arial" w:hAnsi="Arial"/>
          <w:b/>
          <w:color w:val="191C1E"/>
          <w:sz w:val="20"/>
        </w:rPr>
        <w:t xml:space="preserve">3. Validación Transaccional Offline-Ready: </w:t>
      </w:r>
      <w:r>
        <w:rPr>
          <w:rFonts w:ascii="Arial" w:hAnsi="Arial"/>
          <w:color w:val="191C1E"/>
          <w:sz w:val="20"/>
        </w:rPr>
        <w:t>A diferencia de aplicaciones que dependen de conectividad permanente, los cupones canjeados se descargan como tickets de alta resolución en la galería del celular, permitiendo al vecino utilizarlos en supermercados o comercios que carecen de señal celular en el interior del local.</w:t>
      </w:r>
    </w:p>
    <w:p>
      <w:pPr>
        <w:pStyle w:val="ListBullet"/>
        <w:spacing w:after="80" w:line="288" w:lineRule="auto"/>
      </w:pPr>
      <w:r>
        <w:rPr>
          <w:rFonts w:ascii="Arial" w:hAnsi="Arial"/>
          <w:b/>
          <w:color w:val="191C1E"/>
          <w:sz w:val="20"/>
        </w:rPr>
        <w:t xml:space="preserve">4. Modelo SaaS Multi-Tenant Nativo: </w:t>
      </w:r>
      <w:r>
        <w:rPr>
          <w:rFonts w:ascii="Arial" w:hAnsi="Arial"/>
          <w:color w:val="191C1E"/>
          <w:sz w:val="20"/>
        </w:rPr>
        <w:t>La infraestructura garantiza aislamiento de datos riguroso entre municipios vecinos mediante Row Level Security (RLS) en la base de datos, compartiendo clúster en la nube pero con confidencialidad absoluta.</w:t>
      </w:r>
    </w:p>
    <w:p>
      <w:r>
        <w:br w:type="page"/>
      </w:r>
    </w:p>
    <w:p>
      <w:pPr>
        <w:keepNext/>
        <w:spacing w:before="320" w:after="160"/>
      </w:pPr>
      <w:r>
        <w:rPr>
          <w:rFonts w:ascii="Arial" w:hAnsi="Arial"/>
          <w:b/>
          <w:color w:val="006C49"/>
          <w:sz w:val="32"/>
        </w:rPr>
        <w:t>2. DESCRIPCIÓN DEL PROBLEMA Y OPORTUNIDAD</w:t>
      </w:r>
    </w:p>
    <w:p>
      <w:pPr>
        <w:keepNext/>
        <w:spacing w:before="240" w:after="120"/>
      </w:pPr>
      <w:r>
        <w:rPr>
          <w:rFonts w:ascii="Arial" w:hAnsi="Arial"/>
          <w:b/>
          <w:color w:val="005AC2"/>
          <w:sz w:val="26"/>
        </w:rPr>
        <w:t>2.1. Contexto del Problema Territorial</w:t>
      </w:r>
    </w:p>
    <w:p>
      <w:pPr>
        <w:spacing w:after="120" w:line="300" w:lineRule="auto"/>
        <w:jc w:val="both"/>
      </w:pPr>
      <w:r>
        <w:rPr>
          <w:rFonts w:ascii="Arial" w:hAnsi="Arial"/>
          <w:color w:val="191C1E"/>
          <w:sz w:val="21"/>
        </w:rPr>
        <w:t>En la República Argentina, de acuerdo con relevamientos del Ministerio de Ambiente y Cambio Climático y el Banco Interamericano de Desarrollo (BID), se generan diariamente más de 45.000 toneladas de residuos sólidos urbanos, lo que representa un promedio de 1,03 kg per cápita por día. Sin embargo, en el interior provincial, menos del 12% de los materiales secos con potencial de reciclaje son recuperados formalmente.</w:t>
      </w:r>
    </w:p>
    <w:p>
      <w:pPr>
        <w:spacing w:after="120" w:line="300" w:lineRule="auto"/>
        <w:jc w:val="both"/>
      </w:pPr>
      <w:r>
        <w:rPr>
          <w:rFonts w:ascii="Arial" w:hAnsi="Arial"/>
          <w:color w:val="191C1E"/>
          <w:sz w:val="21"/>
        </w:rPr>
        <w:t>En el Departamento Río Segundo de la Provincia de Córdoba, localidades como Villa del Rosario (cabecera departamental con más de 18.000 habitantes) y Matorrales (comunidad agroindustrial de 1.800 habitantes) enfrentan el desafío de erradicar basurales históricos a cielo abierto y cumplir con la Ley Provincial N° 9.088 y normativas de Gestión Integral de RSU. Si bien los municipios han adquirido campanas diferenciadas (verde para vidrio, azul para papel y cartón, amarilla para plástico y roja para pilas y RAEE), la dispersión geográfica y la falta de información visual impiden una adopción ciudadana masiva.</w:t>
      </w:r>
    </w:p>
    <w:p>
      <w:pPr>
        <w:keepNext/>
        <w:spacing w:before="240" w:after="120"/>
      </w:pPr>
      <w:r>
        <w:rPr>
          <w:rFonts w:ascii="Arial" w:hAnsi="Arial"/>
          <w:b/>
          <w:color w:val="005AC2"/>
          <w:sz w:val="26"/>
        </w:rPr>
        <w:t>2.2. Análisis de la Situación Actual y Fallas de Mercado</w:t>
      </w:r>
    </w:p>
    <w:p>
      <w:pPr>
        <w:spacing w:after="120" w:line="300" w:lineRule="auto"/>
        <w:jc w:val="both"/>
      </w:pPr>
      <w:r>
        <w:rPr>
          <w:rFonts w:ascii="Arial" w:hAnsi="Arial"/>
          <w:b/>
          <w:color w:val="191C1E"/>
          <w:sz w:val="21"/>
        </w:rPr>
        <w:t xml:space="preserve">Fallas Operativas Diagnosticadas: </w:t>
      </w:r>
      <w:r>
        <w:rPr>
          <w:rFonts w:ascii="Arial" w:hAnsi="Arial"/>
          <w:color w:val="191C1E"/>
          <w:sz w:val="21"/>
        </w:rPr>
        <w:t>Un diagnóstico técnico-operativo de la situación actual permite identificar tres cuellos de botella fundamentales:</w:t>
      </w:r>
    </w:p>
    <w:p>
      <w:pPr>
        <w:pStyle w:val="ListBullet"/>
        <w:spacing w:after="80" w:line="288" w:lineRule="auto"/>
      </w:pPr>
      <w:r>
        <w:rPr>
          <w:rFonts w:ascii="Arial" w:hAnsi="Arial"/>
          <w:b/>
          <w:color w:val="191C1E"/>
          <w:sz w:val="20"/>
        </w:rPr>
        <w:t xml:space="preserve">A. Gestión de Reclamos y Retiros no Georreferenciada: </w:t>
      </w:r>
      <w:r>
        <w:rPr>
          <w:rFonts w:ascii="Arial" w:hAnsi="Arial"/>
          <w:color w:val="191C1E"/>
          <w:sz w:val="20"/>
        </w:rPr>
        <w:t>Los vecinos reportan muebles viejos, electrodomésticos en desuso o ramas de poda a través de llamados telefónicos a mesas de entrada o mensajes aislados por redes sociales. Esta modalidad manual impide trazar las coordenadas GPS, planificar recorridos lógicos y coordinar con los camiones recolectores, multiplicando el consumo de gasoil y el desgaste mecánico de los vehículos municipales.</w:t>
      </w:r>
    </w:p>
    <w:p>
      <w:pPr>
        <w:pStyle w:val="ListBullet"/>
        <w:spacing w:after="80" w:line="288" w:lineRule="auto"/>
      </w:pPr>
      <w:r>
        <w:rPr>
          <w:rFonts w:ascii="Arial" w:hAnsi="Arial"/>
          <w:b/>
          <w:color w:val="191C1E"/>
          <w:sz w:val="20"/>
        </w:rPr>
        <w:t xml:space="preserve">B. Desincentivo Psico-Económico: </w:t>
      </w:r>
      <w:r>
        <w:rPr>
          <w:rFonts w:ascii="Arial" w:hAnsi="Arial"/>
          <w:color w:val="191C1E"/>
          <w:sz w:val="20"/>
        </w:rPr>
        <w:t>El vecino que aparta residuos no recibe reconocimiento alguno, mientras que quien arroja basura en la vía pública rara vez es sancionado. La ausencia de un incentivo económico positivo quiebra la constancia ciudadana.</w:t>
      </w:r>
    </w:p>
    <w:p>
      <w:pPr>
        <w:pStyle w:val="ListBullet"/>
        <w:spacing w:after="80" w:line="288" w:lineRule="auto"/>
      </w:pPr>
      <w:r>
        <w:rPr>
          <w:rFonts w:ascii="Arial" w:hAnsi="Arial"/>
          <w:b/>
          <w:color w:val="191C1E"/>
          <w:sz w:val="20"/>
        </w:rPr>
        <w:t xml:space="preserve">C. Contaminación Cruzada por Desconocimiento: </w:t>
      </w:r>
      <w:r>
        <w:rPr>
          <w:rFonts w:ascii="Arial" w:hAnsi="Arial"/>
          <w:color w:val="191C1E"/>
          <w:sz w:val="20"/>
        </w:rPr>
        <w:t>Las plantas de separación de cooperativas locales reciben bolsas 'secas' altamente contaminadas con restos orgánicos o líquidos, lo que inutiliza toneladas de cartón y expone a los recuperadores a riesgos de salud.</w:t>
      </w:r>
    </w:p>
    <w:p>
      <w:pPr>
        <w:keepNext/>
        <w:spacing w:before="240" w:after="120"/>
      </w:pPr>
      <w:r>
        <w:rPr>
          <w:rFonts w:ascii="Arial" w:hAnsi="Arial"/>
          <w:b/>
          <w:color w:val="005AC2"/>
          <w:sz w:val="26"/>
        </w:rPr>
        <w:t>2.3. Justificación del Proyecto</w:t>
      </w:r>
    </w:p>
    <w:p>
      <w:pPr>
        <w:spacing w:after="120" w:line="300" w:lineRule="auto"/>
        <w:jc w:val="both"/>
      </w:pPr>
      <w:r>
        <w:rPr>
          <w:rFonts w:ascii="Arial" w:hAnsi="Arial"/>
          <w:b/>
          <w:color w:val="191C1E"/>
          <w:sz w:val="21"/>
        </w:rPr>
        <w:t xml:space="preserve">Fundamentación Integral: </w:t>
      </w:r>
      <w:r>
        <w:rPr>
          <w:rFonts w:ascii="Arial" w:hAnsi="Arial"/>
          <w:color w:val="191C1E"/>
          <w:sz w:val="21"/>
        </w:rPr>
        <w:t>EcoMapa Suite V2.1 transforma una problemática socio-ambiental y un gasto municipal deficitario en un proceso virtuoso de modernización tecnológica. Justifica su desarrollo desde tres dimensiones:</w:t>
      </w:r>
    </w:p>
    <w:p>
      <w:pPr>
        <w:pStyle w:val="ListBullet"/>
        <w:spacing w:after="80" w:line="288" w:lineRule="auto"/>
      </w:pPr>
      <w:r>
        <w:rPr>
          <w:rFonts w:ascii="Arial" w:hAnsi="Arial"/>
          <w:b/>
          <w:color w:val="191C1E"/>
          <w:sz w:val="20"/>
        </w:rPr>
        <w:t xml:space="preserve">Justificación Técnica y Económica: </w:t>
      </w:r>
      <w:r>
        <w:rPr>
          <w:rFonts w:ascii="Arial" w:hAnsi="Arial"/>
          <w:color w:val="191C1E"/>
          <w:sz w:val="20"/>
        </w:rPr>
        <w:t>Permite a los municipios contar con una infraestructura informática de nivel internacional (PostgreSQL 17, PostGIS, React 19, Kotlin Compose, Google Gemini) a una fracción del costo de un desarrollo a medida, amortizada mediante un abono mensual previsible.</w:t>
      </w:r>
    </w:p>
    <w:p>
      <w:pPr>
        <w:pStyle w:val="ListBullet"/>
        <w:spacing w:after="80" w:line="288" w:lineRule="auto"/>
      </w:pPr>
      <w:r>
        <w:rPr>
          <w:rFonts w:ascii="Arial" w:hAnsi="Arial"/>
          <w:b/>
          <w:color w:val="191C1E"/>
          <w:sz w:val="20"/>
        </w:rPr>
        <w:t xml:space="preserve">Justificación Ambiental: </w:t>
      </w:r>
      <w:r>
        <w:rPr>
          <w:rFonts w:ascii="Arial" w:hAnsi="Arial"/>
          <w:color w:val="191C1E"/>
          <w:sz w:val="20"/>
        </w:rPr>
        <w:t>Facilita la transición hacia el modelo de Ciudad Circular y Smart City, permitiendo medir de forma cuantitativa la reducción de huella de carbono y el volumen de plástico, vidrio y cartón desviado de los enterramientos sanitarios.</w:t>
      </w:r>
    </w:p>
    <w:p>
      <w:pPr>
        <w:pStyle w:val="ListBullet"/>
        <w:spacing w:after="80" w:line="288" w:lineRule="auto"/>
      </w:pPr>
      <w:r>
        <w:rPr>
          <w:rFonts w:ascii="Arial" w:hAnsi="Arial"/>
          <w:b/>
          <w:color w:val="191C1E"/>
          <w:sz w:val="20"/>
        </w:rPr>
        <w:t xml:space="preserve">Justificación Social: </w:t>
      </w:r>
      <w:r>
        <w:rPr>
          <w:rFonts w:ascii="Arial" w:hAnsi="Arial"/>
          <w:color w:val="191C1E"/>
          <w:sz w:val="20"/>
        </w:rPr>
        <w:t>Articula la colaboración comunitaria entre el ciudadano, el municipio, las cooperativas de recuperadores y el comercio de barrio, promoviendo una economía de proximidad.</w:t>
      </w:r>
    </w:p>
    <w:p>
      <w:pPr>
        <w:keepNext/>
        <w:spacing w:before="240" w:after="120"/>
      </w:pPr>
      <w:r>
        <w:rPr>
          <w:rFonts w:ascii="Arial" w:hAnsi="Arial"/>
          <w:b/>
          <w:color w:val="005AC2"/>
          <w:sz w:val="26"/>
        </w:rPr>
        <w:t>2.4. Impacto Esperado (Ambiental, Económico y Social)</w:t>
      </w:r>
    </w:p>
    <w:tbl>
      <w:tblPr>
        <w:tblW w:type="auto" w:w="0"/>
        <w:jc w:val="center"/>
        <w:tblLayout w:type="fixed"/>
        <w:tblLook w:firstColumn="1" w:firstRow="1" w:lastColumn="0" w:lastRow="0" w:noHBand="0" w:noVBand="1" w:val="04A0"/>
      </w:tblPr>
      <w:tblGrid>
        <w:gridCol w:w="3010"/>
        <w:gridCol w:w="3010"/>
        <w:gridCol w:w="3010"/>
      </w:tblGrid>
      <w:tr>
        <w:tc>
          <w:tcPr>
            <w:tcW w:type="dxa" w:w="2592"/>
            <w:shd w:fill="006C49"/>
            <w:tcMar>
              <w:top w:w="100" w:type="dxa"/>
              <w:bottom w:w="100" w:type="dxa"/>
              <w:left w:w="120" w:type="dxa"/>
              <w:right w:w="120" w:type="dxa"/>
            </w:tcMar>
          </w:tcPr>
          <w:p>
            <w:pPr>
              <w:spacing w:after="0"/>
            </w:pPr>
            <w:r>
              <w:rPr>
                <w:rFonts w:ascii="Arial" w:hAnsi="Arial"/>
                <w:b/>
                <w:color w:val="FFFFFF"/>
                <w:sz w:val="19"/>
              </w:rPr>
              <w:t>Dimensión de Impacto</w:t>
            </w:r>
          </w:p>
        </w:tc>
        <w:tc>
          <w:tcPr>
            <w:tcW w:type="dxa" w:w="3168"/>
            <w:shd w:fill="006C49"/>
            <w:tcMar>
              <w:top w:w="100" w:type="dxa"/>
              <w:bottom w:w="100" w:type="dxa"/>
              <w:left w:w="120" w:type="dxa"/>
              <w:right w:w="120" w:type="dxa"/>
            </w:tcMar>
          </w:tcPr>
          <w:p>
            <w:pPr>
              <w:spacing w:after="0"/>
            </w:pPr>
            <w:r>
              <w:rPr>
                <w:rFonts w:ascii="Arial" w:hAnsi="Arial"/>
                <w:b/>
                <w:color w:val="FFFFFF"/>
                <w:sz w:val="19"/>
              </w:rPr>
              <w:t>Indicador Clave (KPI)</w:t>
            </w:r>
          </w:p>
        </w:tc>
        <w:tc>
          <w:tcPr>
            <w:tcW w:type="dxa" w:w="3600"/>
            <w:shd w:fill="006C49"/>
            <w:tcMar>
              <w:top w:w="100" w:type="dxa"/>
              <w:bottom w:w="100" w:type="dxa"/>
              <w:left w:w="120" w:type="dxa"/>
              <w:right w:w="120" w:type="dxa"/>
            </w:tcMar>
          </w:tcPr>
          <w:p>
            <w:pPr>
              <w:spacing w:after="0"/>
            </w:pPr>
            <w:r>
              <w:rPr>
                <w:rFonts w:ascii="Arial" w:hAnsi="Arial"/>
                <w:b/>
                <w:color w:val="FFFFFF"/>
                <w:sz w:val="19"/>
              </w:rPr>
              <w:t>Meta Proyectada a 12 Meses</w:t>
            </w:r>
          </w:p>
        </w:tc>
      </w:tr>
      <w:tr>
        <w:tc>
          <w:tcPr>
            <w:tcW w:type="dxa" w:w="2592"/>
            <w:shd w:fill="F2F6F3"/>
            <w:tcMar>
              <w:top w:w="80" w:type="dxa"/>
              <w:bottom w:w="80" w:type="dxa"/>
              <w:left w:w="100" w:type="dxa"/>
              <w:right w:w="100" w:type="dxa"/>
            </w:tcMar>
          </w:tcPr>
          <w:p>
            <w:pPr>
              <w:spacing w:after="0"/>
            </w:pPr>
            <w:r>
              <w:rPr>
                <w:rFonts w:ascii="Arial" w:hAnsi="Arial"/>
                <w:b/>
                <w:color w:val="191C1E"/>
                <w:sz w:val="18"/>
              </w:rPr>
              <w:t>Ambiental</w:t>
            </w:r>
          </w:p>
        </w:tc>
        <w:tc>
          <w:tcPr>
            <w:tcW w:type="dxa" w:w="3168"/>
            <w:shd w:fill="F2F6F3"/>
            <w:tcMar>
              <w:top w:w="80" w:type="dxa"/>
              <w:bottom w:w="80" w:type="dxa"/>
              <w:left w:w="100" w:type="dxa"/>
              <w:right w:w="100" w:type="dxa"/>
            </w:tcMar>
          </w:tcPr>
          <w:p>
            <w:pPr>
              <w:spacing w:after="0"/>
            </w:pPr>
            <w:r>
              <w:rPr>
                <w:rFonts w:ascii="Arial" w:hAnsi="Arial"/>
                <w:color w:val="46554E"/>
                <w:sz w:val="18"/>
              </w:rPr>
              <w:t>Tasa de separación en origen y desvío de RSU</w:t>
            </w:r>
          </w:p>
        </w:tc>
        <w:tc>
          <w:tcPr>
            <w:tcW w:type="dxa" w:w="3600"/>
            <w:shd w:fill="F2F6F3"/>
            <w:tcMar>
              <w:top w:w="80" w:type="dxa"/>
              <w:bottom w:w="80" w:type="dxa"/>
              <w:left w:w="100" w:type="dxa"/>
              <w:right w:w="100" w:type="dxa"/>
            </w:tcMar>
          </w:tcPr>
          <w:p>
            <w:pPr>
              <w:spacing w:after="0"/>
            </w:pPr>
            <w:r>
              <w:rPr>
                <w:rFonts w:ascii="Arial" w:hAnsi="Arial"/>
                <w:color w:val="46554E"/>
                <w:sz w:val="18"/>
              </w:rPr>
              <w:t>+35% de material reciclable recuperado; 0 microbasurales por residuos voluminosos.</w:t>
            </w:r>
          </w:p>
        </w:tc>
      </w:tr>
      <w:tr>
        <w:tc>
          <w:tcPr>
            <w:tcW w:type="dxa" w:w="2592"/>
            <w:shd w:fill="FFFFFF"/>
            <w:tcMar>
              <w:top w:w="80" w:type="dxa"/>
              <w:bottom w:w="80" w:type="dxa"/>
              <w:left w:w="100" w:type="dxa"/>
              <w:right w:w="100" w:type="dxa"/>
            </w:tcMar>
          </w:tcPr>
          <w:p>
            <w:pPr>
              <w:spacing w:after="0"/>
            </w:pPr>
            <w:r>
              <w:rPr>
                <w:rFonts w:ascii="Arial" w:hAnsi="Arial"/>
                <w:b/>
                <w:color w:val="191C1E"/>
                <w:sz w:val="18"/>
              </w:rPr>
              <w:t>Económico Municipal</w:t>
            </w:r>
          </w:p>
        </w:tc>
        <w:tc>
          <w:tcPr>
            <w:tcW w:type="dxa" w:w="3168"/>
            <w:shd w:fill="FFFFFF"/>
            <w:tcMar>
              <w:top w:w="80" w:type="dxa"/>
              <w:bottom w:w="80" w:type="dxa"/>
              <w:left w:w="100" w:type="dxa"/>
              <w:right w:w="100" w:type="dxa"/>
            </w:tcMar>
          </w:tcPr>
          <w:p>
            <w:pPr>
              <w:spacing w:after="0"/>
            </w:pPr>
            <w:r>
              <w:rPr>
                <w:rFonts w:ascii="Arial" w:hAnsi="Arial"/>
                <w:color w:val="46554E"/>
                <w:sz w:val="18"/>
              </w:rPr>
              <w:t>Gasto en combustible y horas de cuadrilla</w:t>
            </w:r>
          </w:p>
        </w:tc>
        <w:tc>
          <w:tcPr>
            <w:tcW w:type="dxa" w:w="3600"/>
            <w:shd w:fill="FFFFFF"/>
            <w:tcMar>
              <w:top w:w="80" w:type="dxa"/>
              <w:bottom w:w="80" w:type="dxa"/>
              <w:left w:w="100" w:type="dxa"/>
              <w:right w:w="100" w:type="dxa"/>
            </w:tcMar>
          </w:tcPr>
          <w:p>
            <w:pPr>
              <w:spacing w:after="0"/>
            </w:pPr>
            <w:r>
              <w:rPr>
                <w:rFonts w:ascii="Arial" w:hAnsi="Arial"/>
                <w:color w:val="46554E"/>
                <w:sz w:val="18"/>
              </w:rPr>
              <w:t>Ahorro del 28% en kilómetros recorridos por camiones recolectores gracias al ruteo optimizado.</w:t>
            </w:r>
          </w:p>
        </w:tc>
      </w:tr>
      <w:tr>
        <w:tc>
          <w:tcPr>
            <w:tcW w:type="dxa" w:w="2592"/>
            <w:shd w:fill="F2F6F3"/>
            <w:tcMar>
              <w:top w:w="80" w:type="dxa"/>
              <w:bottom w:w="80" w:type="dxa"/>
              <w:left w:w="100" w:type="dxa"/>
              <w:right w:w="100" w:type="dxa"/>
            </w:tcMar>
          </w:tcPr>
          <w:p>
            <w:pPr>
              <w:spacing w:after="0"/>
            </w:pPr>
            <w:r>
              <w:rPr>
                <w:rFonts w:ascii="Arial" w:hAnsi="Arial"/>
                <w:b/>
                <w:color w:val="191C1E"/>
                <w:sz w:val="18"/>
              </w:rPr>
              <w:t>Social y Comercial</w:t>
            </w:r>
          </w:p>
        </w:tc>
        <w:tc>
          <w:tcPr>
            <w:tcW w:type="dxa" w:w="3168"/>
            <w:shd w:fill="F2F6F3"/>
            <w:tcMar>
              <w:top w:w="80" w:type="dxa"/>
              <w:bottom w:w="80" w:type="dxa"/>
              <w:left w:w="100" w:type="dxa"/>
              <w:right w:w="100" w:type="dxa"/>
            </w:tcMar>
          </w:tcPr>
          <w:p>
            <w:pPr>
              <w:spacing w:after="0"/>
            </w:pPr>
            <w:r>
              <w:rPr>
                <w:rFonts w:ascii="Arial" w:hAnsi="Arial"/>
                <w:color w:val="46554E"/>
                <w:sz w:val="18"/>
              </w:rPr>
              <w:t>Adopción ciudadana y canje de cupones</w:t>
            </w:r>
          </w:p>
        </w:tc>
        <w:tc>
          <w:tcPr>
            <w:tcW w:type="dxa" w:w="3600"/>
            <w:shd w:fill="F2F6F3"/>
            <w:tcMar>
              <w:top w:w="80" w:type="dxa"/>
              <w:bottom w:w="80" w:type="dxa"/>
              <w:left w:w="100" w:type="dxa"/>
              <w:right w:w="100" w:type="dxa"/>
            </w:tcMar>
          </w:tcPr>
          <w:p>
            <w:pPr>
              <w:spacing w:after="0"/>
            </w:pPr>
            <w:r>
              <w:rPr>
                <w:rFonts w:ascii="Arial" w:hAnsi="Arial"/>
                <w:color w:val="46554E"/>
                <w:sz w:val="18"/>
              </w:rPr>
              <w:t>+40% de vecinos activos en la app y más de 1.200 transacciones mensuales en comercios adheridos.</w:t>
            </w:r>
          </w:p>
        </w:tc>
      </w:tr>
    </w:tbl>
    <w:p>
      <w:pPr>
        <w:spacing w:after="160"/>
      </w:pPr>
    </w:p>
    <w:p>
      <w:r>
        <w:br w:type="page"/>
      </w:r>
    </w:p>
    <w:p>
      <w:pPr>
        <w:keepNext/>
        <w:spacing w:before="320" w:after="160"/>
      </w:pPr>
      <w:r>
        <w:rPr>
          <w:rFonts w:ascii="Arial" w:hAnsi="Arial"/>
          <w:b/>
          <w:color w:val="006C49"/>
          <w:sz w:val="32"/>
        </w:rPr>
        <w:t>3. MODELO DE NEGOCIO (LIENZO CANVAS)</w:t>
      </w:r>
    </w:p>
    <w:p>
      <w:pPr>
        <w:spacing w:after="120" w:line="300" w:lineRule="auto"/>
        <w:jc w:val="both"/>
      </w:pPr>
      <w:r>
        <w:rPr>
          <w:rFonts w:ascii="Arial" w:hAnsi="Arial"/>
          <w:b/>
          <w:color w:val="191C1E"/>
          <w:sz w:val="21"/>
        </w:rPr>
        <w:t xml:space="preserve">Estructura Comercial: </w:t>
      </w:r>
      <w:r>
        <w:rPr>
          <w:rFonts w:ascii="Arial" w:hAnsi="Arial"/>
          <w:color w:val="191C1E"/>
          <w:sz w:val="21"/>
        </w:rPr>
        <w:t>CivicLoop Technologies S.A. comercializa EcoMapa Suite V2.1 mediante un modelo de negocio híbrido B2G (Business-to-Government) y B2B (Business-to-Business), complementado por un servicio ciudadano gratuito B2C financiado por las suscripciones institucionales.</w:t>
      </w:r>
    </w:p>
    <w:p>
      <w:pPr>
        <w:keepNext/>
        <w:spacing w:before="240" w:after="120"/>
      </w:pPr>
      <w:r>
        <w:rPr>
          <w:rFonts w:ascii="Arial" w:hAnsi="Arial"/>
          <w:b/>
          <w:color w:val="005AC2"/>
          <w:sz w:val="26"/>
        </w:rPr>
        <w:t>3.1. Segmentos de Clientes</w:t>
      </w:r>
    </w:p>
    <w:p>
      <w:pPr>
        <w:pStyle w:val="ListBullet"/>
        <w:spacing w:after="80" w:line="288" w:lineRule="auto"/>
      </w:pPr>
      <w:r>
        <w:rPr>
          <w:rFonts w:ascii="Arial" w:hAnsi="Arial"/>
          <w:b/>
          <w:color w:val="191C1E"/>
          <w:sz w:val="20"/>
        </w:rPr>
        <w:t xml:space="preserve">Municipios y Comunas (B2G): </w:t>
      </w:r>
      <w:r>
        <w:rPr>
          <w:rFonts w:ascii="Arial" w:hAnsi="Arial"/>
          <w:color w:val="191C1E"/>
          <w:sz w:val="20"/>
        </w:rPr>
        <w:t>Secretarías de Ambiente, Servicios Públicos y Modernización en ciudades de 2.000 a 200.000 habitantes que buscan digitalizar su gestión y certificar normas ambientales.</w:t>
      </w:r>
    </w:p>
    <w:p>
      <w:pPr>
        <w:pStyle w:val="ListBullet"/>
        <w:spacing w:after="80" w:line="288" w:lineRule="auto"/>
      </w:pPr>
      <w:r>
        <w:rPr>
          <w:rFonts w:ascii="Arial" w:hAnsi="Arial"/>
          <w:b/>
          <w:color w:val="191C1E"/>
          <w:sz w:val="20"/>
        </w:rPr>
        <w:t xml:space="preserve">Empresas Productoras REP (B2B): </w:t>
      </w:r>
      <w:r>
        <w:rPr>
          <w:rFonts w:ascii="Arial" w:hAnsi="Arial"/>
          <w:color w:val="191C1E"/>
          <w:sz w:val="20"/>
        </w:rPr>
        <w:t>Compañías fabricantes e importadoras de electrodomésticos, envases plásticos y baterías alcanzadas por normativas de responsabilidad extendida.</w:t>
      </w:r>
    </w:p>
    <w:p>
      <w:pPr>
        <w:pStyle w:val="ListBullet"/>
        <w:spacing w:after="80" w:line="288" w:lineRule="auto"/>
      </w:pPr>
      <w:r>
        <w:rPr>
          <w:rFonts w:ascii="Arial" w:hAnsi="Arial"/>
          <w:b/>
          <w:color w:val="191C1E"/>
          <w:sz w:val="20"/>
        </w:rPr>
        <w:t xml:space="preserve">Comercios Minoristas Locales (B2B): </w:t>
      </w:r>
      <w:r>
        <w:rPr>
          <w:rFonts w:ascii="Arial" w:hAnsi="Arial"/>
          <w:color w:val="191C1E"/>
          <w:sz w:val="20"/>
        </w:rPr>
        <w:t>Comercios de cercanía (cafeterías, viveros, supermercados, dietéticas) que buscan posicionamiento de marca y nuevos clientes.</w:t>
      </w:r>
    </w:p>
    <w:p>
      <w:pPr>
        <w:pStyle w:val="ListBullet"/>
        <w:spacing w:after="80" w:line="288" w:lineRule="auto"/>
      </w:pPr>
      <w:r>
        <w:rPr>
          <w:rFonts w:ascii="Arial" w:hAnsi="Arial"/>
          <w:b/>
          <w:color w:val="191C1E"/>
          <w:sz w:val="20"/>
        </w:rPr>
        <w:t xml:space="preserve">Comunidad Ciudadana (B2C): </w:t>
      </w:r>
      <w:r>
        <w:rPr>
          <w:rFonts w:ascii="Arial" w:hAnsi="Arial"/>
          <w:color w:val="191C1E"/>
          <w:sz w:val="20"/>
        </w:rPr>
        <w:t>Población general que utiliza la aplicación móvil gratuita para geolocalizar campanas y canjear beneficios.</w:t>
      </w:r>
    </w:p>
    <w:p>
      <w:pPr>
        <w:keepNext/>
        <w:spacing w:before="240" w:after="120"/>
      </w:pPr>
      <w:r>
        <w:rPr>
          <w:rFonts w:ascii="Arial" w:hAnsi="Arial"/>
          <w:b/>
          <w:color w:val="005AC2"/>
          <w:sz w:val="26"/>
        </w:rPr>
        <w:t>3.2. Propuesta de Valor</w:t>
      </w:r>
    </w:p>
    <w:p>
      <w:pPr>
        <w:pStyle w:val="ListBullet"/>
        <w:spacing w:after="80" w:line="288" w:lineRule="auto"/>
      </w:pPr>
      <w:r>
        <w:rPr>
          <w:rFonts w:ascii="Arial" w:hAnsi="Arial"/>
          <w:b/>
          <w:color w:val="191C1E"/>
          <w:sz w:val="20"/>
        </w:rPr>
        <w:t xml:space="preserve">Para Gobiernos Locales: </w:t>
      </w:r>
      <w:r>
        <w:rPr>
          <w:rFonts w:ascii="Arial" w:hAnsi="Arial"/>
          <w:color w:val="191C1E"/>
          <w:sz w:val="20"/>
        </w:rPr>
        <w:t>Plataforma llave en mano con despliegue en menos de 72 horas, tablero de control de cuadrillas, reducción directa del 28% en combustible y reportes oficiales en PDF con sellos institucionales.</w:t>
      </w:r>
    </w:p>
    <w:p>
      <w:pPr>
        <w:pStyle w:val="ListBullet"/>
        <w:spacing w:after="80" w:line="288" w:lineRule="auto"/>
      </w:pPr>
      <w:r>
        <w:rPr>
          <w:rFonts w:ascii="Arial" w:hAnsi="Arial"/>
          <w:b/>
          <w:color w:val="191C1E"/>
          <w:sz w:val="20"/>
        </w:rPr>
        <w:t xml:space="preserve">Para Ciudadanos: </w:t>
      </w:r>
      <w:r>
        <w:rPr>
          <w:rFonts w:ascii="Arial" w:hAnsi="Arial"/>
          <w:color w:val="191C1E"/>
          <w:sz w:val="20"/>
        </w:rPr>
        <w:t>Acceso inmediato sin registro forzoso, mapa en vivo con ruteo a contenedores, IA visual que responde en menos de 1 segundo qué hacer con cada residuo y billetera de descuentos reales.</w:t>
      </w:r>
    </w:p>
    <w:p>
      <w:pPr>
        <w:pStyle w:val="ListBullet"/>
        <w:spacing w:after="80" w:line="288" w:lineRule="auto"/>
      </w:pPr>
      <w:r>
        <w:rPr>
          <w:rFonts w:ascii="Arial" w:hAnsi="Arial"/>
          <w:b/>
          <w:color w:val="191C1E"/>
          <w:sz w:val="20"/>
        </w:rPr>
        <w:t xml:space="preserve">Para Comercios Adheridos: </w:t>
      </w:r>
      <w:r>
        <w:rPr>
          <w:rFonts w:ascii="Arial" w:hAnsi="Arial"/>
          <w:color w:val="191C1E"/>
          <w:sz w:val="20"/>
        </w:rPr>
        <w:t>Canal publicitario de impacto directo, atracción de clientes motivados y asociación a valores de sustentabilidad urbana.</w:t>
      </w:r>
    </w:p>
    <w:p>
      <w:pPr>
        <w:keepNext/>
        <w:spacing w:before="240" w:after="120"/>
      </w:pPr>
      <w:r>
        <w:rPr>
          <w:rFonts w:ascii="Arial" w:hAnsi="Arial"/>
          <w:b/>
          <w:color w:val="005AC2"/>
          <w:sz w:val="26"/>
        </w:rPr>
        <w:t>3.3. Canales de Distribución</w:t>
      </w:r>
    </w:p>
    <w:p>
      <w:pPr>
        <w:pStyle w:val="ListBullet"/>
        <w:spacing w:after="80" w:line="288" w:lineRule="auto"/>
      </w:pPr>
      <w:r>
        <w:rPr>
          <w:rFonts w:ascii="Arial" w:hAnsi="Arial"/>
          <w:b/>
          <w:color w:val="191C1E"/>
          <w:sz w:val="20"/>
        </w:rPr>
        <w:t xml:space="preserve">Aplicación Móvil: </w:t>
      </w:r>
      <w:r>
        <w:rPr>
          <w:rFonts w:ascii="Arial" w:hAnsi="Arial"/>
          <w:color w:val="191C1E"/>
          <w:sz w:val="20"/>
        </w:rPr>
        <w:t>Distribución directa de paquetes APK optimizados (EcoMapa-v2.1-Demo.apk) y publicación oficial en Google Play Store.</w:t>
      </w:r>
    </w:p>
    <w:p>
      <w:pPr>
        <w:pStyle w:val="ListBullet"/>
        <w:spacing w:after="80" w:line="288" w:lineRule="auto"/>
      </w:pPr>
      <w:r>
        <w:rPr>
          <w:rFonts w:ascii="Arial" w:hAnsi="Arial"/>
          <w:b/>
          <w:color w:val="191C1E"/>
          <w:sz w:val="20"/>
        </w:rPr>
        <w:t xml:space="preserve">Plataformas Web: </w:t>
      </w:r>
      <w:r>
        <w:rPr>
          <w:rFonts w:ascii="Arial" w:hAnsi="Arial"/>
          <w:color w:val="191C1E"/>
          <w:sz w:val="20"/>
        </w:rPr>
        <w:t>Acceso seguro vía navegador a la Consola SuperAdmin corporativa (puerto 5174) y al Portal Territorial Municipal (puerto 5173).</w:t>
      </w:r>
    </w:p>
    <w:p>
      <w:pPr>
        <w:pStyle w:val="ListBullet"/>
        <w:spacing w:after="80" w:line="288" w:lineRule="auto"/>
      </w:pPr>
      <w:r>
        <w:rPr>
          <w:rFonts w:ascii="Arial" w:hAnsi="Arial"/>
          <w:b/>
          <w:color w:val="191C1E"/>
          <w:sz w:val="20"/>
        </w:rPr>
        <w:t xml:space="preserve">Puntos de Venta Físicos: </w:t>
      </w:r>
      <w:r>
        <w:rPr>
          <w:rFonts w:ascii="Arial" w:hAnsi="Arial"/>
          <w:color w:val="191C1E"/>
          <w:sz w:val="20"/>
        </w:rPr>
        <w:t>Mostradores comerciales donde el personal valida los códigos QR y de barras generados por la app.</w:t>
      </w:r>
    </w:p>
    <w:p>
      <w:pPr>
        <w:keepNext/>
        <w:spacing w:before="240" w:after="120"/>
      </w:pPr>
      <w:r>
        <w:rPr>
          <w:rFonts w:ascii="Arial" w:hAnsi="Arial"/>
          <w:b/>
          <w:color w:val="005AC2"/>
          <w:sz w:val="26"/>
        </w:rPr>
        <w:t>3.4. Relación con los Clientes</w:t>
      </w:r>
    </w:p>
    <w:p>
      <w:pPr>
        <w:pStyle w:val="ListBullet"/>
        <w:spacing w:after="80" w:line="288" w:lineRule="auto"/>
      </w:pPr>
      <w:r>
        <w:rPr>
          <w:rFonts w:ascii="Arial" w:hAnsi="Arial"/>
          <w:b/>
          <w:color w:val="191C1E"/>
          <w:sz w:val="20"/>
        </w:rPr>
        <w:t xml:space="preserve">Soporte B2G y Acuerdos SLA: </w:t>
      </w:r>
      <w:r>
        <w:rPr>
          <w:rFonts w:ascii="Arial" w:hAnsi="Arial"/>
          <w:color w:val="191C1E"/>
          <w:sz w:val="20"/>
        </w:rPr>
        <w:t>Mesa de ayuda técnica garantizada con tiempo de respuesta inferior a 12 horas y capacitaciones operativas bimestrales a cuadrillas.</w:t>
      </w:r>
    </w:p>
    <w:p>
      <w:pPr>
        <w:pStyle w:val="ListBullet"/>
        <w:spacing w:after="80" w:line="288" w:lineRule="auto"/>
      </w:pPr>
      <w:r>
        <w:rPr>
          <w:rFonts w:ascii="Arial" w:hAnsi="Arial"/>
          <w:b/>
          <w:color w:val="191C1E"/>
          <w:sz w:val="20"/>
        </w:rPr>
        <w:t xml:space="preserve">Interacción Automatizada B2C: </w:t>
      </w:r>
      <w:r>
        <w:rPr>
          <w:rFonts w:ascii="Arial" w:hAnsi="Arial"/>
          <w:color w:val="191C1E"/>
          <w:sz w:val="20"/>
        </w:rPr>
        <w:t>Acompañamiento continuo a través del asistente EcoIA con lenguaje natural cordial y gamificación con rachas y medallas ambientales.</w:t>
      </w:r>
    </w:p>
    <w:p>
      <w:pPr>
        <w:keepNext/>
        <w:spacing w:before="240" w:after="120"/>
      </w:pPr>
      <w:r>
        <w:rPr>
          <w:rFonts w:ascii="Arial" w:hAnsi="Arial"/>
          <w:b/>
          <w:color w:val="005AC2"/>
          <w:sz w:val="26"/>
        </w:rPr>
        <w:t>3.5. Fuentes de Ingresos (MRR SaaS)</w:t>
      </w:r>
    </w:p>
    <w:p>
      <w:pPr>
        <w:pStyle w:val="ListBullet"/>
        <w:spacing w:after="80" w:line="288" w:lineRule="auto"/>
      </w:pPr>
      <w:r>
        <w:rPr>
          <w:rFonts w:ascii="Arial" w:hAnsi="Arial"/>
          <w:b/>
          <w:color w:val="191C1E"/>
          <w:sz w:val="20"/>
        </w:rPr>
        <w:t xml:space="preserve">Abono Municipal Plan Base: </w:t>
      </w:r>
      <w:r>
        <w:rPr>
          <w:rFonts w:ascii="Arial" w:hAnsi="Arial"/>
          <w:color w:val="191C1E"/>
          <w:sz w:val="20"/>
        </w:rPr>
        <w:t>USD 1.200 / mes (Hasta 40 puntos limpios y 5.000 consultas IA mensuales).</w:t>
      </w:r>
    </w:p>
    <w:p>
      <w:pPr>
        <w:pStyle w:val="ListBullet"/>
        <w:spacing w:after="80" w:line="288" w:lineRule="auto"/>
      </w:pPr>
      <w:r>
        <w:rPr>
          <w:rFonts w:ascii="Arial" w:hAnsi="Arial"/>
          <w:b/>
          <w:color w:val="191C1E"/>
          <w:sz w:val="20"/>
        </w:rPr>
        <w:t xml:space="preserve">Abono Municipal Plan Ciudad Circular Pro: </w:t>
      </w:r>
      <w:r>
        <w:rPr>
          <w:rFonts w:ascii="Arial" w:hAnsi="Arial"/>
          <w:color w:val="191C1E"/>
          <w:sz w:val="20"/>
        </w:rPr>
        <w:t>USD 2.800 / mes (Hasta 120 puntos limpios, 20.000 consultas IA, módulo de retiros y reportes PDF).</w:t>
      </w:r>
    </w:p>
    <w:p>
      <w:pPr>
        <w:pStyle w:val="ListBullet"/>
        <w:spacing w:after="80" w:line="288" w:lineRule="auto"/>
      </w:pPr>
      <w:r>
        <w:rPr>
          <w:rFonts w:ascii="Arial" w:hAnsi="Arial"/>
          <w:b/>
          <w:color w:val="191C1E"/>
          <w:sz w:val="20"/>
        </w:rPr>
        <w:t xml:space="preserve">Abono Municipal Plan Metropolitano Triple Impacto: </w:t>
      </w:r>
      <w:r>
        <w:rPr>
          <w:rFonts w:ascii="Arial" w:hAnsi="Arial"/>
          <w:color w:val="191C1E"/>
          <w:sz w:val="20"/>
        </w:rPr>
        <w:t>USD 4.700 / mes (Puntos ilimitados, IA ilimitada, ruteo avanzado y soporte 24/7).</w:t>
      </w:r>
    </w:p>
    <w:p>
      <w:pPr>
        <w:pStyle w:val="ListBullet"/>
        <w:spacing w:after="80" w:line="288" w:lineRule="auto"/>
      </w:pPr>
      <w:r>
        <w:rPr>
          <w:rFonts w:ascii="Arial" w:hAnsi="Arial"/>
          <w:b/>
          <w:color w:val="191C1E"/>
          <w:sz w:val="20"/>
        </w:rPr>
        <w:t xml:space="preserve">Licencias Corporativas REP: </w:t>
      </w:r>
      <w:r>
        <w:rPr>
          <w:rFonts w:ascii="Arial" w:hAnsi="Arial"/>
          <w:color w:val="191C1E"/>
          <w:sz w:val="20"/>
        </w:rPr>
        <w:t>USD 850 / mes por empresa para trazabilidad de materiales reciclados.</w:t>
      </w:r>
    </w:p>
    <w:p>
      <w:pPr>
        <w:pStyle w:val="ListBullet"/>
        <w:spacing w:after="80" w:line="288" w:lineRule="auto"/>
      </w:pPr>
      <w:r>
        <w:rPr>
          <w:rFonts w:ascii="Arial" w:hAnsi="Arial"/>
          <w:b/>
          <w:color w:val="191C1E"/>
          <w:sz w:val="20"/>
        </w:rPr>
        <w:t xml:space="preserve">Comisión Transaccional por Cupón: </w:t>
      </w:r>
      <w:r>
        <w:rPr>
          <w:rFonts w:ascii="Arial" w:hAnsi="Arial"/>
          <w:color w:val="191C1E"/>
          <w:sz w:val="20"/>
        </w:rPr>
        <w:t>Pequeño arancel mensual para comercios premium en el catálogo de beneficios.</w:t>
      </w:r>
    </w:p>
    <w:p>
      <w:pPr>
        <w:keepNext/>
        <w:spacing w:before="240" w:after="120"/>
      </w:pPr>
      <w:r>
        <w:rPr>
          <w:rFonts w:ascii="Arial" w:hAnsi="Arial"/>
          <w:b/>
          <w:color w:val="005AC2"/>
          <w:sz w:val="26"/>
        </w:rPr>
        <w:t>3.6. Recursos Clave</w:t>
      </w:r>
    </w:p>
    <w:p>
      <w:pPr>
        <w:pStyle w:val="ListBullet"/>
        <w:spacing w:after="80" w:line="288" w:lineRule="auto"/>
      </w:pPr>
      <w:r>
        <w:rPr>
          <w:rFonts w:ascii="Arial" w:hAnsi="Arial"/>
          <w:b/>
          <w:color w:val="191C1E"/>
          <w:sz w:val="20"/>
        </w:rPr>
        <w:t xml:space="preserve">Infraestructura Cloud: </w:t>
      </w:r>
      <w:r>
        <w:rPr>
          <w:rFonts w:ascii="Arial" w:hAnsi="Arial"/>
          <w:color w:val="191C1E"/>
          <w:sz w:val="20"/>
        </w:rPr>
        <w:t>Clúster Supabase administrado con PostgreSQL 17, PostGIS y Supabase Storage en región sa-east-1.</w:t>
      </w:r>
    </w:p>
    <w:p>
      <w:pPr>
        <w:pStyle w:val="ListBullet"/>
        <w:spacing w:after="80" w:line="288" w:lineRule="auto"/>
      </w:pPr>
      <w:r>
        <w:rPr>
          <w:rFonts w:ascii="Arial" w:hAnsi="Arial"/>
          <w:b/>
          <w:color w:val="191C1E"/>
          <w:sz w:val="20"/>
        </w:rPr>
        <w:t xml:space="preserve">Motor de Inteligencia Artificial: </w:t>
      </w:r>
      <w:r>
        <w:rPr>
          <w:rFonts w:ascii="Arial" w:hAnsi="Arial"/>
          <w:color w:val="191C1E"/>
          <w:sz w:val="20"/>
        </w:rPr>
        <w:t>Google Gemini API con modelos Gemini 3.5 Flash-Lite multimodal con alta cuota de disponibilidad.</w:t>
      </w:r>
    </w:p>
    <w:p>
      <w:pPr>
        <w:pStyle w:val="ListBullet"/>
        <w:spacing w:after="80" w:line="288" w:lineRule="auto"/>
      </w:pPr>
      <w:r>
        <w:rPr>
          <w:rFonts w:ascii="Arial" w:hAnsi="Arial"/>
          <w:b/>
          <w:color w:val="191C1E"/>
          <w:sz w:val="20"/>
        </w:rPr>
        <w:t xml:space="preserve">Propiedad Intelectual: </w:t>
      </w:r>
      <w:r>
        <w:rPr>
          <w:rFonts w:ascii="Arial" w:hAnsi="Arial"/>
          <w:color w:val="191C1E"/>
          <w:sz w:val="20"/>
        </w:rPr>
        <w:t>Código fuente modular en Kotlin Compose y React 19, algoritmos espaciales y biblioteca de componentes.</w:t>
      </w:r>
    </w:p>
    <w:p>
      <w:pPr>
        <w:keepNext/>
        <w:spacing w:before="240" w:after="120"/>
      </w:pPr>
      <w:r>
        <w:rPr>
          <w:rFonts w:ascii="Arial" w:hAnsi="Arial"/>
          <w:b/>
          <w:color w:val="005AC2"/>
          <w:sz w:val="26"/>
        </w:rPr>
        <w:t>3.7. Actividades Clave</w:t>
      </w:r>
    </w:p>
    <w:p>
      <w:pPr>
        <w:pStyle w:val="ListBullet"/>
        <w:spacing w:after="80" w:line="288" w:lineRule="auto"/>
      </w:pPr>
      <w:r>
        <w:rPr>
          <w:rFonts w:ascii="Arial" w:hAnsi="Arial"/>
          <w:b/>
          <w:color w:val="191C1E"/>
          <w:sz w:val="20"/>
        </w:rPr>
        <w:t xml:space="preserve">Ingeniería y Mantenimiento: </w:t>
      </w:r>
      <w:r>
        <w:rPr>
          <w:rFonts w:ascii="Arial" w:hAnsi="Arial"/>
          <w:color w:val="191C1E"/>
          <w:sz w:val="20"/>
        </w:rPr>
        <w:t>Evolución continua del código, control de versiones en GitHub y resolución de incidencias.</w:t>
      </w:r>
    </w:p>
    <w:p>
      <w:pPr>
        <w:pStyle w:val="ListBullet"/>
        <w:spacing w:after="80" w:line="288" w:lineRule="auto"/>
      </w:pPr>
      <w:r>
        <w:rPr>
          <w:rFonts w:ascii="Arial" w:hAnsi="Arial"/>
          <w:b/>
          <w:color w:val="191C1E"/>
          <w:sz w:val="20"/>
        </w:rPr>
        <w:t xml:space="preserve">Digitalización y Relevamiento: </w:t>
      </w:r>
      <w:r>
        <w:rPr>
          <w:rFonts w:ascii="Arial" w:hAnsi="Arial"/>
          <w:color w:val="191C1E"/>
          <w:sz w:val="20"/>
        </w:rPr>
        <w:t>Carga y validación de coordenadas de contenedores en PostGIS para nuevas ciudades adheridas.</w:t>
      </w:r>
    </w:p>
    <w:p>
      <w:pPr>
        <w:pStyle w:val="ListBullet"/>
        <w:spacing w:after="80" w:line="288" w:lineRule="auto"/>
      </w:pPr>
      <w:r>
        <w:rPr>
          <w:rFonts w:ascii="Arial" w:hAnsi="Arial"/>
          <w:b/>
          <w:color w:val="191C1E"/>
          <w:sz w:val="20"/>
        </w:rPr>
        <w:t xml:space="preserve">Aseguramiento de Calidad: </w:t>
      </w:r>
      <w:r>
        <w:rPr>
          <w:rFonts w:ascii="Arial" w:hAnsi="Arial"/>
          <w:color w:val="191C1E"/>
          <w:sz w:val="20"/>
        </w:rPr>
        <w:t>Pruebas de regresión, auditorías de seguridad RLS y calibración de prompts de IA.</w:t>
      </w:r>
    </w:p>
    <w:p>
      <w:pPr>
        <w:keepNext/>
        <w:spacing w:before="240" w:after="120"/>
      </w:pPr>
      <w:r>
        <w:rPr>
          <w:rFonts w:ascii="Arial" w:hAnsi="Arial"/>
          <w:b/>
          <w:color w:val="005AC2"/>
          <w:sz w:val="26"/>
        </w:rPr>
        <w:t>3.8. Socios Clave</w:t>
      </w:r>
    </w:p>
    <w:p>
      <w:pPr>
        <w:pStyle w:val="ListBullet"/>
        <w:spacing w:after="80" w:line="288" w:lineRule="auto"/>
      </w:pPr>
      <w:r>
        <w:rPr>
          <w:rFonts w:ascii="Arial" w:hAnsi="Arial"/>
          <w:b/>
          <w:color w:val="191C1E"/>
          <w:sz w:val="20"/>
        </w:rPr>
        <w:t xml:space="preserve">Entes Municipales: </w:t>
      </w:r>
      <w:r>
        <w:rPr>
          <w:rFonts w:ascii="Arial" w:hAnsi="Arial"/>
          <w:color w:val="191C1E"/>
          <w:sz w:val="20"/>
        </w:rPr>
        <w:t>Municipalidades de Villa del Rosario, Matorrales, Córdoba Capital y comunas de la región.</w:t>
      </w:r>
    </w:p>
    <w:p>
      <w:pPr>
        <w:pStyle w:val="ListBullet"/>
        <w:spacing w:after="80" w:line="288" w:lineRule="auto"/>
      </w:pPr>
      <w:r>
        <w:rPr>
          <w:rFonts w:ascii="Arial" w:hAnsi="Arial"/>
          <w:b/>
          <w:color w:val="191C1E"/>
          <w:sz w:val="20"/>
        </w:rPr>
        <w:t xml:space="preserve">Cooperativas de Trabajo: </w:t>
      </w:r>
      <w:r>
        <w:rPr>
          <w:rFonts w:ascii="Arial" w:hAnsi="Arial"/>
          <w:color w:val="191C1E"/>
          <w:sz w:val="20"/>
        </w:rPr>
        <w:t>Organizaciones de recuperadores urbanos que operan las plantas de clasificación.</w:t>
      </w:r>
    </w:p>
    <w:p>
      <w:pPr>
        <w:pStyle w:val="ListBullet"/>
        <w:spacing w:after="80" w:line="288" w:lineRule="auto"/>
      </w:pPr>
      <w:r>
        <w:rPr>
          <w:rFonts w:ascii="Arial" w:hAnsi="Arial"/>
          <w:b/>
          <w:color w:val="191C1E"/>
          <w:sz w:val="20"/>
        </w:rPr>
        <w:t xml:space="preserve">Proveedores Tecnológicos: </w:t>
      </w:r>
      <w:r>
        <w:rPr>
          <w:rFonts w:ascii="Arial" w:hAnsi="Arial"/>
          <w:color w:val="191C1E"/>
          <w:sz w:val="20"/>
        </w:rPr>
        <w:t>Google Cloud Platform, Supabase Inc. y OpenStreetMap Foundation.</w:t>
      </w:r>
    </w:p>
    <w:p>
      <w:pPr>
        <w:keepNext/>
        <w:spacing w:before="240" w:after="120"/>
      </w:pPr>
      <w:r>
        <w:rPr>
          <w:rFonts w:ascii="Arial" w:hAnsi="Arial"/>
          <w:b/>
          <w:color w:val="005AC2"/>
          <w:sz w:val="26"/>
        </w:rPr>
        <w:t>3.9. Estructura de Costos</w:t>
      </w:r>
    </w:p>
    <w:p>
      <w:pPr>
        <w:pStyle w:val="ListBullet"/>
        <w:spacing w:after="80" w:line="288" w:lineRule="auto"/>
      </w:pPr>
      <w:r>
        <w:rPr>
          <w:rFonts w:ascii="Arial" w:hAnsi="Arial"/>
          <w:b/>
          <w:color w:val="191C1E"/>
          <w:sz w:val="20"/>
        </w:rPr>
        <w:t xml:space="preserve">Costos de Infraestructura Cloud: </w:t>
      </w:r>
      <w:r>
        <w:rPr>
          <w:rFonts w:ascii="Arial" w:hAnsi="Arial"/>
          <w:color w:val="191C1E"/>
          <w:sz w:val="20"/>
        </w:rPr>
        <w:t>Abono de clúster Supabase Pro y almacenamiento de imágenes.</w:t>
      </w:r>
    </w:p>
    <w:p>
      <w:pPr>
        <w:pStyle w:val="ListBullet"/>
        <w:spacing w:after="80" w:line="288" w:lineRule="auto"/>
      </w:pPr>
      <w:r>
        <w:rPr>
          <w:rFonts w:ascii="Arial" w:hAnsi="Arial"/>
          <w:b/>
          <w:color w:val="191C1E"/>
          <w:sz w:val="20"/>
        </w:rPr>
        <w:t xml:space="preserve">Consumo de Tokens de IA: </w:t>
      </w:r>
      <w:r>
        <w:rPr>
          <w:rFonts w:ascii="Arial" w:hAnsi="Arial"/>
          <w:color w:val="191C1E"/>
          <w:sz w:val="20"/>
        </w:rPr>
        <w:t>Facturación de llamadas a la API de Google Gemini (extremadamente reducida gracias a la optimización con Gemini Flash-Lite).</w:t>
      </w:r>
    </w:p>
    <w:p>
      <w:pPr>
        <w:pStyle w:val="ListBullet"/>
        <w:spacing w:after="80" w:line="288" w:lineRule="auto"/>
      </w:pPr>
      <w:r>
        <w:rPr>
          <w:rFonts w:ascii="Arial" w:hAnsi="Arial"/>
          <w:b/>
          <w:color w:val="191C1E"/>
          <w:sz w:val="20"/>
        </w:rPr>
        <w:t xml:space="preserve">Licencias y Mantenimiento: </w:t>
      </w:r>
      <w:r>
        <w:rPr>
          <w:rFonts w:ascii="Arial" w:hAnsi="Arial"/>
          <w:color w:val="191C1E"/>
          <w:sz w:val="20"/>
        </w:rPr>
        <w:t>Cuentas de desarrollador en Google Play, dominios, certificados SSL y costos de conectividad.</w:t>
      </w:r>
    </w:p>
    <w:p>
      <w:pPr>
        <w:pStyle w:val="ListBullet"/>
        <w:spacing w:after="80" w:line="288" w:lineRule="auto"/>
      </w:pPr>
      <w:r>
        <w:rPr>
          <w:rFonts w:ascii="Arial" w:hAnsi="Arial"/>
          <w:b/>
          <w:color w:val="191C1E"/>
          <w:sz w:val="20"/>
        </w:rPr>
        <w:t xml:space="preserve">Capital Humano: </w:t>
      </w:r>
      <w:r>
        <w:rPr>
          <w:rFonts w:ascii="Arial" w:hAnsi="Arial"/>
          <w:color w:val="191C1E"/>
          <w:sz w:val="20"/>
        </w:rPr>
        <w:t>Honorarios de ingeniería de software, soporte técnico y gestión comercial.</w:t>
      </w:r>
    </w:p>
    <w:p>
      <w:r>
        <w:br w:type="page"/>
      </w:r>
    </w:p>
    <w:p>
      <w:pPr>
        <w:keepNext/>
        <w:spacing w:before="320" w:after="160"/>
      </w:pPr>
      <w:r>
        <w:rPr>
          <w:rFonts w:ascii="Arial" w:hAnsi="Arial"/>
          <w:b/>
          <w:color w:val="006C49"/>
          <w:sz w:val="32"/>
        </w:rPr>
        <w:t>4. REQUERIMIENTOS DEL SISTEMA</w:t>
      </w:r>
    </w:p>
    <w:p>
      <w:pPr>
        <w:keepNext/>
        <w:spacing w:before="240" w:after="120"/>
      </w:pPr>
      <w:r>
        <w:rPr>
          <w:rFonts w:ascii="Arial" w:hAnsi="Arial"/>
          <w:b/>
          <w:color w:val="005AC2"/>
          <w:sz w:val="26"/>
        </w:rPr>
        <w:t>4.1. Requerimientos Funcionales por Módulo</w:t>
      </w:r>
    </w:p>
    <w:p>
      <w:pPr>
        <w:keepNext/>
        <w:spacing w:before="160" w:after="80"/>
      </w:pPr>
      <w:r>
        <w:rPr>
          <w:rFonts w:ascii="Arial" w:hAnsi="Arial"/>
          <w:b/>
          <w:color w:val="191C1E"/>
          <w:sz w:val="22"/>
        </w:rPr>
        <w:t>4.1.1. Módulo Móvil Ciudadano (EcoMapa Android)</w:t>
      </w:r>
    </w:p>
    <w:p>
      <w:pPr>
        <w:pStyle w:val="ListBullet"/>
        <w:spacing w:after="80" w:line="288" w:lineRule="auto"/>
      </w:pPr>
      <w:r>
        <w:rPr>
          <w:rFonts w:ascii="Arial" w:hAnsi="Arial"/>
          <w:b/>
          <w:color w:val="191C1E"/>
          <w:sz w:val="20"/>
        </w:rPr>
        <w:t xml:space="preserve">RF-C01 (Acceso Libre y Rápido): </w:t>
      </w:r>
      <w:r>
        <w:rPr>
          <w:rFonts w:ascii="Arial" w:hAnsi="Arial"/>
          <w:color w:val="191C1E"/>
          <w:sz w:val="20"/>
        </w:rPr>
        <w:t>El usuario puede ingresar a la pantalla principal sin necesidad de registrar credenciales obligatorias, visualizando el mapa y dialogando con la IA.</w:t>
      </w:r>
    </w:p>
    <w:p>
      <w:pPr>
        <w:pStyle w:val="ListBullet"/>
        <w:spacing w:after="80" w:line="288" w:lineRule="auto"/>
      </w:pPr>
      <w:r>
        <w:rPr>
          <w:rFonts w:ascii="Arial" w:hAnsi="Arial"/>
          <w:b/>
          <w:color w:val="191C1E"/>
          <w:sz w:val="20"/>
        </w:rPr>
        <w:t xml:space="preserve">RF-C02 (Geolocalización Automática): </w:t>
      </w:r>
      <w:r>
        <w:rPr>
          <w:rFonts w:ascii="Arial" w:hAnsi="Arial"/>
          <w:color w:val="191C1E"/>
          <w:sz w:val="20"/>
        </w:rPr>
        <w:t>El sistema obtiene la posición GPS en tiempo real mediante FusedLocationProviderClient y ubica al usuario con un marcador animado.</w:t>
      </w:r>
    </w:p>
    <w:p>
      <w:pPr>
        <w:pStyle w:val="ListBullet"/>
        <w:spacing w:after="80" w:line="288" w:lineRule="auto"/>
      </w:pPr>
      <w:r>
        <w:rPr>
          <w:rFonts w:ascii="Arial" w:hAnsi="Arial"/>
          <w:b/>
          <w:color w:val="191C1E"/>
          <w:sz w:val="20"/>
        </w:rPr>
        <w:t xml:space="preserve">RF-C03 (Marcadores Cartográficos Enriquecidos): </w:t>
      </w:r>
      <w:r>
        <w:rPr>
          <w:rFonts w:ascii="Arial" w:hAnsi="Arial"/>
          <w:color w:val="191C1E"/>
          <w:sz w:val="20"/>
        </w:rPr>
        <w:t>El mapa OpenStreetMap renderiza los contenedores con pines personalizados que contienen la pastilla con letras legibles ('PLÁSTICOS', 'VIDRIO', 'CARTÓN', 'ELECTRÓNICOS') y el color normativo.</w:t>
      </w:r>
    </w:p>
    <w:p>
      <w:pPr>
        <w:pStyle w:val="ListBullet"/>
        <w:spacing w:after="80" w:line="288" w:lineRule="auto"/>
      </w:pPr>
      <w:r>
        <w:rPr>
          <w:rFonts w:ascii="Arial" w:hAnsi="Arial"/>
          <w:b/>
          <w:color w:val="191C1E"/>
          <w:sz w:val="20"/>
        </w:rPr>
        <w:t xml:space="preserve">RF-C04 (Escáner Visual 'Analizá tu Residuo'): </w:t>
      </w:r>
      <w:r>
        <w:rPr>
          <w:rFonts w:ascii="Arial" w:hAnsi="Arial"/>
          <w:color w:val="191C1E"/>
          <w:sz w:val="20"/>
        </w:rPr>
        <w:t>La aplicación integra un módulo de cámara fotográfica que captura el residuo, lo comprime a Base64 y lo envía a la Edge Function de Google Gemini para reconocimiento inmediato.</w:t>
      </w:r>
    </w:p>
    <w:p>
      <w:pPr>
        <w:pStyle w:val="ListBullet"/>
        <w:spacing w:after="80" w:line="288" w:lineRule="auto"/>
      </w:pPr>
      <w:r>
        <w:rPr>
          <w:rFonts w:ascii="Arial" w:hAnsi="Arial"/>
          <w:b/>
          <w:color w:val="191C1E"/>
          <w:sz w:val="20"/>
        </w:rPr>
        <w:t xml:space="preserve">RF-C05 (Navegación GPS Turn-by-Turn): </w:t>
      </w:r>
      <w:r>
        <w:rPr>
          <w:rFonts w:ascii="Arial" w:hAnsi="Arial"/>
          <w:color w:val="191C1E"/>
          <w:sz w:val="20"/>
        </w:rPr>
        <w:t>Al detectar un residuo reciclable común, la pantalla presenta un botón de acción principal '🧭 Cómo llegar al contenedor (Google Maps)' que lanza la navegación paso a paso hacia las coordenadas exactas.</w:t>
      </w:r>
    </w:p>
    <w:p>
      <w:pPr>
        <w:pStyle w:val="ListBullet"/>
        <w:spacing w:after="80" w:line="288" w:lineRule="auto"/>
      </w:pPr>
      <w:r>
        <w:rPr>
          <w:rFonts w:ascii="Arial" w:hAnsi="Arial"/>
          <w:b/>
          <w:color w:val="191C1E"/>
          <w:sz w:val="20"/>
        </w:rPr>
        <w:t xml:space="preserve">RF-C06 (Detección de Voluminosos): </w:t>
      </w:r>
      <w:r>
        <w:rPr>
          <w:rFonts w:ascii="Arial" w:hAnsi="Arial"/>
          <w:color w:val="191C1E"/>
          <w:sz w:val="20"/>
        </w:rPr>
        <w:t>Al detectar un residuo voluminoso o pesado, el sistema orienta al usuario para que solicite el servicio municipal de recolección en su puerta, pre-cargando la categoría identificada.</w:t>
      </w:r>
    </w:p>
    <w:p>
      <w:pPr>
        <w:pStyle w:val="ListBullet"/>
        <w:spacing w:after="80" w:line="288" w:lineRule="auto"/>
      </w:pPr>
      <w:r>
        <w:rPr>
          <w:rFonts w:ascii="Arial" w:hAnsi="Arial"/>
          <w:b/>
          <w:color w:val="191C1E"/>
          <w:sz w:val="20"/>
        </w:rPr>
        <w:t xml:space="preserve">RF-C07 (Solicitud de Retiro a Domicilio): </w:t>
      </w:r>
      <w:r>
        <w:rPr>
          <w:rFonts w:ascii="Arial" w:hAnsi="Arial"/>
          <w:color w:val="191C1E"/>
          <w:sz w:val="20"/>
        </w:rPr>
        <w:t>La app permite al vecino fijar su ubicación en el mapa, detallar dirección y horario, y enviar la orden de retiro a la base de datos municipal.</w:t>
      </w:r>
    </w:p>
    <w:p>
      <w:pPr>
        <w:pStyle w:val="ListBullet"/>
        <w:spacing w:after="80" w:line="288" w:lineRule="auto"/>
      </w:pPr>
      <w:r>
        <w:rPr>
          <w:rFonts w:ascii="Arial" w:hAnsi="Arial"/>
          <w:b/>
          <w:color w:val="191C1E"/>
          <w:sz w:val="20"/>
        </w:rPr>
        <w:t xml:space="preserve">RF-C08 (Billetera y Cupones Offline): </w:t>
      </w:r>
      <w:r>
        <w:rPr>
          <w:rFonts w:ascii="Arial" w:hAnsi="Arial"/>
          <w:color w:val="191C1E"/>
          <w:sz w:val="20"/>
        </w:rPr>
        <w:t>El usuario acumula EcoPuntos por sus consultas y puede canjearlos en comercios adheridos generando cupones con código QR y código de barras (librería ZXing) descargables a la galería en formato PNG.</w:t>
      </w:r>
    </w:p>
    <w:p>
      <w:pPr>
        <w:keepNext/>
        <w:spacing w:before="160" w:after="80"/>
      </w:pPr>
      <w:r>
        <w:rPr>
          <w:rFonts w:ascii="Arial" w:hAnsi="Arial"/>
          <w:b/>
          <w:color w:val="191C1E"/>
          <w:sz w:val="22"/>
        </w:rPr>
        <w:t>4.1.2. Módulo Operativo Municipal (Portal Web Tenant - Puerto 5173)</w:t>
      </w:r>
    </w:p>
    <w:p>
      <w:pPr>
        <w:pStyle w:val="ListBullet"/>
        <w:spacing w:after="80" w:line="288" w:lineRule="auto"/>
      </w:pPr>
      <w:r>
        <w:rPr>
          <w:rFonts w:ascii="Arial" w:hAnsi="Arial"/>
          <w:b/>
          <w:color w:val="191C1E"/>
          <w:sz w:val="20"/>
        </w:rPr>
        <w:t xml:space="preserve">RF-M01 (Autenticación Multi-Tenant): </w:t>
      </w:r>
      <w:r>
        <w:rPr>
          <w:rFonts w:ascii="Arial" w:hAnsi="Arial"/>
          <w:color w:val="191C1E"/>
          <w:sz w:val="20"/>
        </w:rPr>
        <w:t>Control de acceso para operadores municipales con aislamiento estricto por jurisdicción (tenant_id).</w:t>
      </w:r>
    </w:p>
    <w:p>
      <w:pPr>
        <w:pStyle w:val="ListBullet"/>
        <w:spacing w:after="80" w:line="288" w:lineRule="auto"/>
      </w:pPr>
      <w:r>
        <w:rPr>
          <w:rFonts w:ascii="Arial" w:hAnsi="Arial"/>
          <w:b/>
          <w:color w:val="191C1E"/>
          <w:sz w:val="20"/>
        </w:rPr>
        <w:t xml:space="preserve">RF-M02 (Administración de Puntos Limpios): </w:t>
      </w:r>
      <w:r>
        <w:rPr>
          <w:rFonts w:ascii="Arial" w:hAnsi="Arial"/>
          <w:color w:val="191C1E"/>
          <w:sz w:val="20"/>
        </w:rPr>
        <w:t>Consola cartográfica con Leaflet para visualizar campanas, registrar nuevos puntos limpios y marcar estados de llenado (disponible, lleno, mantenimiento).</w:t>
      </w:r>
    </w:p>
    <w:p>
      <w:pPr>
        <w:pStyle w:val="ListBullet"/>
        <w:spacing w:after="80" w:line="288" w:lineRule="auto"/>
      </w:pPr>
      <w:r>
        <w:rPr>
          <w:rFonts w:ascii="Arial" w:hAnsi="Arial"/>
          <w:b/>
          <w:color w:val="191C1E"/>
          <w:sz w:val="20"/>
        </w:rPr>
        <w:t xml:space="preserve">RF-M03 (Despacho Logístico de Cuadrillas): </w:t>
      </w:r>
      <w:r>
        <w:rPr>
          <w:rFonts w:ascii="Arial" w:hAnsi="Arial"/>
          <w:color w:val="191C1E"/>
          <w:sz w:val="20"/>
        </w:rPr>
        <w:t>Recepción en tiempo real de pedidos de retiro de vecinos, visualización en mapa y asignación de cuadrillas y camiones.</w:t>
      </w:r>
    </w:p>
    <w:p>
      <w:pPr>
        <w:pStyle w:val="ListBullet"/>
        <w:spacing w:after="80" w:line="288" w:lineRule="auto"/>
      </w:pPr>
      <w:r>
        <w:rPr>
          <w:rFonts w:ascii="Arial" w:hAnsi="Arial"/>
          <w:b/>
          <w:color w:val="191C1E"/>
          <w:sz w:val="20"/>
        </w:rPr>
        <w:t xml:space="preserve">RF-M04 (Auditoría Ambiental en PDF): </w:t>
      </w:r>
      <w:r>
        <w:rPr>
          <w:rFonts w:ascii="Arial" w:hAnsi="Arial"/>
          <w:color w:val="191C1E"/>
          <w:sz w:val="20"/>
        </w:rPr>
        <w:t>Módulo de emisión de reportes oficiales de sustentabilidad en formato PDF con formato imprimible limpio, sellos y firmas.</w:t>
      </w:r>
    </w:p>
    <w:p>
      <w:pPr>
        <w:pStyle w:val="ListBullet"/>
        <w:spacing w:after="80" w:line="288" w:lineRule="auto"/>
      </w:pPr>
      <w:r>
        <w:rPr>
          <w:rFonts w:ascii="Arial" w:hAnsi="Arial"/>
          <w:b/>
          <w:color w:val="191C1E"/>
          <w:sz w:val="20"/>
        </w:rPr>
        <w:t xml:space="preserve">RF-M05 (Gestión de Recompensas B2B): </w:t>
      </w:r>
      <w:r>
        <w:rPr>
          <w:rFonts w:ascii="Arial" w:hAnsi="Arial"/>
          <w:color w:val="191C1E"/>
          <w:sz w:val="20"/>
        </w:rPr>
        <w:t>Administración de convenios con comercios barriales, alta de beneficios y auditoría de canjes realizados.</w:t>
      </w:r>
    </w:p>
    <w:p>
      <w:pPr>
        <w:keepNext/>
        <w:spacing w:before="160" w:after="80"/>
      </w:pPr>
      <w:r>
        <w:rPr>
          <w:rFonts w:ascii="Arial" w:hAnsi="Arial"/>
          <w:b/>
          <w:color w:val="191C1E"/>
          <w:sz w:val="22"/>
        </w:rPr>
        <w:t>4.1.3. Módulo Corporativo Matriz (Consola SuperAdmin - Puerto 5174)</w:t>
      </w:r>
    </w:p>
    <w:p>
      <w:pPr>
        <w:pStyle w:val="ListBullet"/>
        <w:spacing w:after="80" w:line="288" w:lineRule="auto"/>
      </w:pPr>
      <w:r>
        <w:rPr>
          <w:rFonts w:ascii="Arial" w:hAnsi="Arial"/>
          <w:b/>
          <w:color w:val="191C1E"/>
          <w:sz w:val="20"/>
        </w:rPr>
        <w:t xml:space="preserve">RF-S01 (Métricas Financieras SaaS): </w:t>
      </w:r>
      <w:r>
        <w:rPr>
          <w:rFonts w:ascii="Arial" w:hAnsi="Arial"/>
          <w:color w:val="191C1E"/>
          <w:sz w:val="20"/>
        </w:rPr>
        <w:t>Panel consolidado con métricas de ingresos recurrentes mensuales (MRR), anuales (ARR) y churn rate.</w:t>
      </w:r>
    </w:p>
    <w:p>
      <w:pPr>
        <w:pStyle w:val="ListBullet"/>
        <w:spacing w:after="80" w:line="288" w:lineRule="auto"/>
      </w:pPr>
      <w:r>
        <w:rPr>
          <w:rFonts w:ascii="Arial" w:hAnsi="Arial"/>
          <w:b/>
          <w:color w:val="191C1E"/>
          <w:sz w:val="20"/>
        </w:rPr>
        <w:t xml:space="preserve">RF-S02 (Gestión de Jurisdicciones): </w:t>
      </w:r>
      <w:r>
        <w:rPr>
          <w:rFonts w:ascii="Arial" w:hAnsi="Arial"/>
          <w:color w:val="191C1E"/>
          <w:sz w:val="20"/>
        </w:rPr>
        <w:t>Alta, baja y modificación de municipios adheridos, asignación de planes comerciales y topes de uso.</w:t>
      </w:r>
    </w:p>
    <w:p>
      <w:pPr>
        <w:pStyle w:val="ListBullet"/>
        <w:spacing w:after="80" w:line="288" w:lineRule="auto"/>
      </w:pPr>
      <w:r>
        <w:rPr>
          <w:rFonts w:ascii="Arial" w:hAnsi="Arial"/>
          <w:b/>
          <w:color w:val="191C1E"/>
          <w:sz w:val="20"/>
        </w:rPr>
        <w:t xml:space="preserve">RF-S03 (Telemetría de Inteligencia Artificial): </w:t>
      </w:r>
      <w:r>
        <w:rPr>
          <w:rFonts w:ascii="Arial" w:hAnsi="Arial"/>
          <w:color w:val="191C1E"/>
          <w:sz w:val="20"/>
        </w:rPr>
        <w:t>Supervisión de tiempos de respuesta y consumo de tokens de las Edge Functions de Google Gemini.</w:t>
      </w:r>
    </w:p>
    <w:p>
      <w:pPr>
        <w:keepNext/>
        <w:spacing w:before="240" w:after="120"/>
      </w:pPr>
      <w:r>
        <w:rPr>
          <w:rFonts w:ascii="Arial" w:hAnsi="Arial"/>
          <w:b/>
          <w:color w:val="005AC2"/>
          <w:sz w:val="26"/>
        </w:rPr>
        <w:t>4.2. Especificación Formal de Casos de Uso Críticos</w:t>
      </w:r>
    </w:p>
    <w:p>
      <w:pPr>
        <w:keepNext/>
        <w:spacing w:before="160" w:after="80"/>
      </w:pPr>
      <w:r>
        <w:rPr>
          <w:rFonts w:ascii="Arial" w:hAnsi="Arial"/>
          <w:b/>
          <w:color w:val="191C1E"/>
          <w:sz w:val="22"/>
        </w:rPr>
        <w:t>Caso de Uso CU-01: Clasificación de Residuo por Cámara y Navegación GPS Turn-by-Turn</w:t>
      </w:r>
    </w:p>
    <w:tbl>
      <w:tblPr>
        <w:tblW w:type="auto" w:w="0"/>
        <w:jc w:val="center"/>
        <w:tblLayout w:type="fixed"/>
        <w:tblLook w:firstColumn="1" w:firstRow="1" w:lastColumn="0" w:lastRow="0" w:noHBand="0" w:noVBand="1" w:val="04A0"/>
      </w:tblPr>
      <w:tblGrid>
        <w:gridCol w:w="4514"/>
        <w:gridCol w:w="4514"/>
      </w:tblGrid>
      <w:tr>
        <w:tc>
          <w:tcPr>
            <w:tcW w:type="dxa" w:w="2592"/>
            <w:shd w:fill="F2F6F3"/>
            <w:tcMar>
              <w:top w:w="60" w:type="dxa"/>
              <w:bottom w:w="60" w:type="dxa"/>
              <w:left w:w="80" w:type="dxa"/>
              <w:right w:w="80" w:type="dxa"/>
            </w:tcMar>
          </w:tcPr>
          <w:p>
            <w:r>
              <w:rPr>
                <w:rFonts w:ascii="Arial" w:hAnsi="Arial"/>
                <w:b/>
                <w:color w:val="191C1E"/>
                <w:sz w:val="18"/>
              </w:rPr>
              <w:t>Identificador / Nombre</w:t>
            </w:r>
          </w:p>
        </w:tc>
        <w:tc>
          <w:tcPr>
            <w:tcW w:type="dxa" w:w="6768"/>
            <w:shd w:fill="FFFFFF"/>
            <w:tcMar>
              <w:top w:w="60" w:type="dxa"/>
              <w:bottom w:w="60" w:type="dxa"/>
              <w:left w:w="80" w:type="dxa"/>
              <w:right w:w="80" w:type="dxa"/>
            </w:tcMar>
          </w:tcPr>
          <w:p>
            <w:r>
              <w:rPr>
                <w:rFonts w:ascii="Arial" w:hAnsi="Arial"/>
                <w:color w:val="191C1E"/>
                <w:sz w:val="18"/>
              </w:rPr>
              <w:t>CU-01: Clasificación Visual y Navegación GPS al Contenedor</w:t>
            </w:r>
          </w:p>
        </w:tc>
      </w:tr>
      <w:tr>
        <w:tc>
          <w:tcPr>
            <w:tcW w:type="dxa" w:w="2592"/>
            <w:shd w:fill="F2F6F3"/>
            <w:tcMar>
              <w:top w:w="60" w:type="dxa"/>
              <w:bottom w:w="60" w:type="dxa"/>
              <w:left w:w="80" w:type="dxa"/>
              <w:right w:w="80" w:type="dxa"/>
            </w:tcMar>
          </w:tcPr>
          <w:p>
            <w:r>
              <w:rPr>
                <w:rFonts w:ascii="Arial" w:hAnsi="Arial"/>
                <w:b/>
                <w:color w:val="191C1E"/>
                <w:sz w:val="18"/>
              </w:rPr>
              <w:t>Actores Principales</w:t>
            </w:r>
          </w:p>
        </w:tc>
        <w:tc>
          <w:tcPr>
            <w:tcW w:type="dxa" w:w="6768"/>
            <w:shd w:fill="FFFFFF"/>
            <w:tcMar>
              <w:top w:w="60" w:type="dxa"/>
              <w:bottom w:w="60" w:type="dxa"/>
              <w:left w:w="80" w:type="dxa"/>
              <w:right w:w="80" w:type="dxa"/>
            </w:tcMar>
          </w:tcPr>
          <w:p>
            <w:r>
              <w:rPr>
                <w:rFonts w:ascii="Arial" w:hAnsi="Arial"/>
                <w:color w:val="191C1E"/>
                <w:sz w:val="18"/>
              </w:rPr>
              <w:t>Ciudadano (Actor Primario) — Motor Google Gemini Vision (Sistema Externo)</w:t>
            </w:r>
          </w:p>
        </w:tc>
      </w:tr>
      <w:tr>
        <w:tc>
          <w:tcPr>
            <w:tcW w:type="dxa" w:w="2592"/>
            <w:shd w:fill="F2F6F3"/>
            <w:tcMar>
              <w:top w:w="60" w:type="dxa"/>
              <w:bottom w:w="60" w:type="dxa"/>
              <w:left w:w="80" w:type="dxa"/>
              <w:right w:w="80" w:type="dxa"/>
            </w:tcMar>
          </w:tcPr>
          <w:p>
            <w:r>
              <w:rPr>
                <w:rFonts w:ascii="Arial" w:hAnsi="Arial"/>
                <w:b/>
                <w:color w:val="191C1E"/>
                <w:sz w:val="18"/>
              </w:rPr>
              <w:t>Precondiciones</w:t>
            </w:r>
          </w:p>
        </w:tc>
        <w:tc>
          <w:tcPr>
            <w:tcW w:type="dxa" w:w="6768"/>
            <w:shd w:fill="FFFFFF"/>
            <w:tcMar>
              <w:top w:w="60" w:type="dxa"/>
              <w:bottom w:w="60" w:type="dxa"/>
              <w:left w:w="80" w:type="dxa"/>
              <w:right w:w="80" w:type="dxa"/>
            </w:tcMar>
          </w:tcPr>
          <w:p>
            <w:r>
              <w:rPr>
                <w:rFonts w:ascii="Arial" w:hAnsi="Arial"/>
                <w:color w:val="191C1E"/>
                <w:sz w:val="18"/>
              </w:rPr>
              <w:t>Dispositivo móvil con permisos de cámara y ubicación GPS concedidos.</w:t>
            </w:r>
          </w:p>
        </w:tc>
      </w:tr>
      <w:tr>
        <w:tc>
          <w:tcPr>
            <w:tcW w:type="dxa" w:w="2592"/>
            <w:shd w:fill="F2F6F3"/>
            <w:tcMar>
              <w:top w:w="60" w:type="dxa"/>
              <w:bottom w:w="60" w:type="dxa"/>
              <w:left w:w="80" w:type="dxa"/>
              <w:right w:w="80" w:type="dxa"/>
            </w:tcMar>
          </w:tcPr>
          <w:p>
            <w:r>
              <w:rPr>
                <w:rFonts w:ascii="Arial" w:hAnsi="Arial"/>
                <w:b/>
                <w:color w:val="191C1E"/>
                <w:sz w:val="18"/>
              </w:rPr>
              <w:t>Flujo Principal</w:t>
            </w:r>
          </w:p>
        </w:tc>
        <w:tc>
          <w:tcPr>
            <w:tcW w:type="dxa" w:w="6768"/>
            <w:shd w:fill="FFFFFF"/>
            <w:tcMar>
              <w:top w:w="60" w:type="dxa"/>
              <w:bottom w:w="60" w:type="dxa"/>
              <w:left w:w="80" w:type="dxa"/>
              <w:right w:w="80" w:type="dxa"/>
            </w:tcMar>
          </w:tcPr>
          <w:p>
            <w:r>
              <w:rPr>
                <w:rFonts w:ascii="Arial" w:hAnsi="Arial"/>
                <w:color w:val="191C1E"/>
                <w:sz w:val="18"/>
              </w:rPr>
              <w:t>1. El ciudadano pulsa 'Analizá tu Residuo' en la app móvil.</w:t>
              <w:br/>
              <w:t>2. El sistema obtiene las coordenadas GPS reales y abre la cámara del teléfono.</w:t>
              <w:br/>
              <w:t>3. El usuario toma la fotografía del residuo (ej. botella PET de gaseosa).</w:t>
              <w:br/>
              <w:t>4. La app comprime la foto a Base64 y envía la imagen y coordenadas a la Edge Function 'classify-image'.</w:t>
              <w:br/>
              <w:t>5. Google Gemini analiza la imagen, identifica 'Plástico PET / Botellas' y selecciona el contenedor amarillo más cercano (ej. Plaza San Martín a 60 metros).</w:t>
              <w:br/>
              <w:t>6. La app despliega la tarjeta con foto del contenedor, distancia exacta y el botón principal '🧭 Cómo llegar al contenedor (Google Maps)'.</w:t>
              <w:br/>
              <w:t>7. El usuario pulsa el botón y la app abre directamente Google Maps en modo navegación paso a paso guiada por voz.</w:t>
            </w:r>
          </w:p>
        </w:tc>
      </w:tr>
      <w:tr>
        <w:tc>
          <w:tcPr>
            <w:tcW w:type="dxa" w:w="2592"/>
            <w:shd w:fill="F2F6F3"/>
            <w:tcMar>
              <w:top w:w="60" w:type="dxa"/>
              <w:bottom w:w="60" w:type="dxa"/>
              <w:left w:w="80" w:type="dxa"/>
              <w:right w:w="80" w:type="dxa"/>
            </w:tcMar>
          </w:tcPr>
          <w:p>
            <w:r>
              <w:rPr>
                <w:rFonts w:ascii="Arial" w:hAnsi="Arial"/>
                <w:b/>
                <w:color w:val="191C1E"/>
                <w:sz w:val="18"/>
              </w:rPr>
              <w:t>Flujo Alternativo (Objeto Voluminoso)</w:t>
            </w:r>
          </w:p>
        </w:tc>
        <w:tc>
          <w:tcPr>
            <w:tcW w:type="dxa" w:w="6768"/>
            <w:shd w:fill="FFFFFF"/>
            <w:tcMar>
              <w:top w:w="60" w:type="dxa"/>
              <w:bottom w:w="60" w:type="dxa"/>
              <w:left w:w="80" w:type="dxa"/>
              <w:right w:w="80" w:type="dxa"/>
            </w:tcMar>
          </w:tcPr>
          <w:p>
            <w:r>
              <w:rPr>
                <w:rFonts w:ascii="Arial" w:hAnsi="Arial"/>
                <w:color w:val="191C1E"/>
                <w:sz w:val="18"/>
              </w:rPr>
              <w:t>En el paso 5, la IA detecta una heladera o mueble roto. La app muestra la tarjeta de 'Retiro a Domicilio 🚛', pre-carga la categoría y permite coordinar la recolección sin moverse de su casa.</w:t>
            </w:r>
          </w:p>
        </w:tc>
      </w:tr>
      <w:tr>
        <w:tc>
          <w:tcPr>
            <w:tcW w:type="dxa" w:w="2592"/>
            <w:shd w:fill="F2F6F3"/>
            <w:tcMar>
              <w:top w:w="60" w:type="dxa"/>
              <w:bottom w:w="60" w:type="dxa"/>
              <w:left w:w="80" w:type="dxa"/>
              <w:right w:w="80" w:type="dxa"/>
            </w:tcMar>
          </w:tcPr>
          <w:p>
            <w:r>
              <w:rPr>
                <w:rFonts w:ascii="Arial" w:hAnsi="Arial"/>
                <w:b/>
                <w:color w:val="191C1E"/>
                <w:sz w:val="18"/>
              </w:rPr>
              <w:t>Flujo Alternativo (Falla de Conexión)</w:t>
            </w:r>
          </w:p>
        </w:tc>
        <w:tc>
          <w:tcPr>
            <w:tcW w:type="dxa" w:w="6768"/>
            <w:shd w:fill="FFFFFF"/>
            <w:tcMar>
              <w:top w:w="60" w:type="dxa"/>
              <w:bottom w:w="60" w:type="dxa"/>
              <w:left w:w="80" w:type="dxa"/>
              <w:right w:w="80" w:type="dxa"/>
            </w:tcMar>
          </w:tcPr>
          <w:p>
            <w:r>
              <w:rPr>
                <w:rFonts w:ascii="Arial" w:hAnsi="Arial"/>
                <w:color w:val="191C1E"/>
                <w:sz w:val="18"/>
              </w:rPr>
              <w:t>Si la llamada de red falla o hay timeout, el sistema muestra pantalla de reintento amigable permitiendo reintentar la toma de foto.</w:t>
            </w:r>
          </w:p>
        </w:tc>
      </w:tr>
      <w:tr>
        <w:tc>
          <w:tcPr>
            <w:tcW w:type="dxa" w:w="2592"/>
            <w:shd w:fill="F2F6F3"/>
            <w:tcMar>
              <w:top w:w="60" w:type="dxa"/>
              <w:bottom w:w="60" w:type="dxa"/>
              <w:left w:w="80" w:type="dxa"/>
              <w:right w:w="80" w:type="dxa"/>
            </w:tcMar>
          </w:tcPr>
          <w:p>
            <w:r>
              <w:rPr>
                <w:rFonts w:ascii="Arial" w:hAnsi="Arial"/>
                <w:b/>
                <w:color w:val="191C1E"/>
                <w:sz w:val="18"/>
              </w:rPr>
              <w:t>Postcondiciones</w:t>
            </w:r>
          </w:p>
        </w:tc>
        <w:tc>
          <w:tcPr>
            <w:tcW w:type="dxa" w:w="6768"/>
            <w:shd w:fill="FFFFFF"/>
            <w:tcMar>
              <w:top w:w="60" w:type="dxa"/>
              <w:bottom w:w="60" w:type="dxa"/>
              <w:left w:w="80" w:type="dxa"/>
              <w:right w:w="80" w:type="dxa"/>
            </w:tcMar>
          </w:tcPr>
          <w:p>
            <w:r>
              <w:rPr>
                <w:rFonts w:ascii="Arial" w:hAnsi="Arial"/>
                <w:color w:val="191C1E"/>
                <w:sz w:val="18"/>
              </w:rPr>
              <w:t>Residuo clasificado con directivas de preparación, navegación activada y +30 EcoPuntos acreditados en la billetera.</w:t>
            </w:r>
          </w:p>
        </w:tc>
      </w:tr>
    </w:tbl>
    <w:p>
      <w:pPr>
        <w:spacing w:after="160"/>
      </w:pPr>
    </w:p>
    <w:p>
      <w:pPr>
        <w:keepNext/>
        <w:spacing w:before="160" w:after="80"/>
      </w:pPr>
      <w:r>
        <w:rPr>
          <w:rFonts w:ascii="Arial" w:hAnsi="Arial"/>
          <w:b/>
          <w:color w:val="191C1E"/>
          <w:sz w:val="22"/>
        </w:rPr>
        <w:t>Caso de Uso CU-02: Consulta Conversacional y Asesoría Ambiental con Google Gemini</w:t>
      </w:r>
    </w:p>
    <w:tbl>
      <w:tblPr>
        <w:tblW w:type="auto" w:w="0"/>
        <w:jc w:val="center"/>
        <w:tblLayout w:type="fixed"/>
        <w:tblLook w:firstColumn="1" w:firstRow="1" w:lastColumn="0" w:lastRow="0" w:noHBand="0" w:noVBand="1" w:val="04A0"/>
      </w:tblPr>
      <w:tblGrid>
        <w:gridCol w:w="4514"/>
        <w:gridCol w:w="4514"/>
      </w:tblGrid>
      <w:tr>
        <w:tc>
          <w:tcPr>
            <w:tcW w:type="dxa" w:w="2592"/>
            <w:shd w:fill="F2F6F3"/>
            <w:tcMar>
              <w:top w:w="60" w:type="dxa"/>
              <w:bottom w:w="60" w:type="dxa"/>
              <w:left w:w="80" w:type="dxa"/>
              <w:right w:w="80" w:type="dxa"/>
            </w:tcMar>
          </w:tcPr>
          <w:p>
            <w:r>
              <w:rPr>
                <w:rFonts w:ascii="Arial" w:hAnsi="Arial"/>
                <w:b/>
                <w:sz w:val="18"/>
              </w:rPr>
              <w:t>Identificador / Nombre</w:t>
            </w:r>
          </w:p>
        </w:tc>
        <w:tc>
          <w:tcPr>
            <w:tcW w:type="dxa" w:w="6768"/>
            <w:shd w:fill="FFFFFF"/>
            <w:tcMar>
              <w:top w:w="60" w:type="dxa"/>
              <w:bottom w:w="60" w:type="dxa"/>
              <w:left w:w="80" w:type="dxa"/>
              <w:right w:w="80" w:type="dxa"/>
            </w:tcMar>
          </w:tcPr>
          <w:p>
            <w:r>
              <w:rPr>
                <w:rFonts w:ascii="Arial" w:hAnsi="Arial"/>
                <w:sz w:val="18"/>
              </w:rPr>
              <w:t>CU-02: Diálogo Ambiental y Resolución de Dudas con Gemini</w:t>
            </w:r>
          </w:p>
        </w:tc>
      </w:tr>
      <w:tr>
        <w:tc>
          <w:tcPr>
            <w:tcW w:type="dxa" w:w="2592"/>
            <w:shd w:fill="F2F6F3"/>
            <w:tcMar>
              <w:top w:w="60" w:type="dxa"/>
              <w:bottom w:w="60" w:type="dxa"/>
              <w:left w:w="80" w:type="dxa"/>
              <w:right w:w="80" w:type="dxa"/>
            </w:tcMar>
          </w:tcPr>
          <w:p>
            <w:r>
              <w:rPr>
                <w:rFonts w:ascii="Arial" w:hAnsi="Arial"/>
                <w:b/>
                <w:sz w:val="18"/>
              </w:rPr>
              <w:t>Actores Principales</w:t>
            </w:r>
          </w:p>
        </w:tc>
        <w:tc>
          <w:tcPr>
            <w:tcW w:type="dxa" w:w="6768"/>
            <w:shd w:fill="FFFFFF"/>
            <w:tcMar>
              <w:top w:w="60" w:type="dxa"/>
              <w:bottom w:w="60" w:type="dxa"/>
              <w:left w:w="80" w:type="dxa"/>
              <w:right w:w="80" w:type="dxa"/>
            </w:tcMar>
          </w:tcPr>
          <w:p>
            <w:r>
              <w:rPr>
                <w:rFonts w:ascii="Arial" w:hAnsi="Arial"/>
                <w:sz w:val="18"/>
              </w:rPr>
              <w:t>Ciudadano (Actor Primario) — Agente EcoIA (Google Gemini)</w:t>
            </w:r>
          </w:p>
        </w:tc>
      </w:tr>
      <w:tr>
        <w:tc>
          <w:tcPr>
            <w:tcW w:type="dxa" w:w="2592"/>
            <w:shd w:fill="F2F6F3"/>
            <w:tcMar>
              <w:top w:w="60" w:type="dxa"/>
              <w:bottom w:w="60" w:type="dxa"/>
              <w:left w:w="80" w:type="dxa"/>
              <w:right w:w="80" w:type="dxa"/>
            </w:tcMar>
          </w:tcPr>
          <w:p>
            <w:r>
              <w:rPr>
                <w:rFonts w:ascii="Arial" w:hAnsi="Arial"/>
                <w:b/>
                <w:sz w:val="18"/>
              </w:rPr>
              <w:t>Precondiciones</w:t>
            </w:r>
          </w:p>
        </w:tc>
        <w:tc>
          <w:tcPr>
            <w:tcW w:type="dxa" w:w="6768"/>
            <w:shd w:fill="FFFFFF"/>
            <w:tcMar>
              <w:top w:w="60" w:type="dxa"/>
              <w:bottom w:w="60" w:type="dxa"/>
              <w:left w:w="80" w:type="dxa"/>
              <w:right w:w="80" w:type="dxa"/>
            </w:tcMar>
          </w:tcPr>
          <w:p>
            <w:r>
              <w:rPr>
                <w:rFonts w:ascii="Arial" w:hAnsi="Arial"/>
                <w:sz w:val="18"/>
              </w:rPr>
              <w:t>Conexión a internet activa en el teléfono.</w:t>
            </w:r>
          </w:p>
        </w:tc>
      </w:tr>
      <w:tr>
        <w:tc>
          <w:tcPr>
            <w:tcW w:type="dxa" w:w="2592"/>
            <w:shd w:fill="F2F6F3"/>
            <w:tcMar>
              <w:top w:w="60" w:type="dxa"/>
              <w:bottom w:w="60" w:type="dxa"/>
              <w:left w:w="80" w:type="dxa"/>
              <w:right w:w="80" w:type="dxa"/>
            </w:tcMar>
          </w:tcPr>
          <w:p>
            <w:r>
              <w:rPr>
                <w:rFonts w:ascii="Arial" w:hAnsi="Arial"/>
                <w:b/>
                <w:sz w:val="18"/>
              </w:rPr>
              <w:t>Flujo Principal</w:t>
            </w:r>
          </w:p>
        </w:tc>
        <w:tc>
          <w:tcPr>
            <w:tcW w:type="dxa" w:w="6768"/>
            <w:shd w:fill="FFFFFF"/>
            <w:tcMar>
              <w:top w:w="60" w:type="dxa"/>
              <w:bottom w:w="60" w:type="dxa"/>
              <w:left w:w="80" w:type="dxa"/>
              <w:right w:w="80" w:type="dxa"/>
            </w:tcMar>
          </w:tcPr>
          <w:p>
            <w:r>
              <w:rPr>
                <w:rFonts w:ascii="Arial" w:hAnsi="Arial"/>
                <w:sz w:val="18"/>
              </w:rPr>
              <w:t>1. El ciudadano ingresa a la pestaña 'EcoIA Asistente'.</w:t>
              <w:br/>
              <w:t>2. El usuario escribe una consulta (ej. 'Tengo unas pilas de reloj viejas, ¿dónde van?').</w:t>
              <w:br/>
              <w:t>3. La app envía el mensaje junto con las coordenadas GPS del usuario a la Edge Function 'classify'.</w:t>
              <w:br/>
              <w:t>4. Google Gemini procesa la consulta con personalidad cordobesa/argentina cercana y resuelve el punto rojo/RAEE más próximo.</w:t>
              <w:br/>
              <w:t>5. La app renderiza la burbuja de chat con la respuesta amigable, la distancia exacta y el botón de navegación.</w:t>
              <w:br/>
              <w:t>6. Se acreditan los EcoPuntos correspondientes en la billetera local.</w:t>
            </w:r>
          </w:p>
        </w:tc>
      </w:tr>
      <w:tr>
        <w:tc>
          <w:tcPr>
            <w:tcW w:type="dxa" w:w="2592"/>
            <w:shd w:fill="F2F6F3"/>
            <w:tcMar>
              <w:top w:w="60" w:type="dxa"/>
              <w:bottom w:w="60" w:type="dxa"/>
              <w:left w:w="80" w:type="dxa"/>
              <w:right w:w="80" w:type="dxa"/>
            </w:tcMar>
          </w:tcPr>
          <w:p>
            <w:r>
              <w:rPr>
                <w:rFonts w:ascii="Arial" w:hAnsi="Arial"/>
                <w:b/>
                <w:sz w:val="18"/>
              </w:rPr>
              <w:t>Flujo Alternativo (Saludo o Consulta General)</w:t>
            </w:r>
          </w:p>
        </w:tc>
        <w:tc>
          <w:tcPr>
            <w:tcW w:type="dxa" w:w="6768"/>
            <w:shd w:fill="FFFFFF"/>
            <w:tcMar>
              <w:top w:w="60" w:type="dxa"/>
              <w:bottom w:w="60" w:type="dxa"/>
              <w:left w:w="80" w:type="dxa"/>
              <w:right w:w="80" w:type="dxa"/>
            </w:tcMar>
          </w:tcPr>
          <w:p>
            <w:r>
              <w:rPr>
                <w:rFonts w:ascii="Arial" w:hAnsi="Arial"/>
                <w:sz w:val="18"/>
              </w:rPr>
              <w:t>En el paso 2, el usuario solo escribe 'hola' o 'buenas tardes'. Gemini reconoce el saludo, saluda amigablemente por el nombre de pila y consulta qué residuo tiene para reciclar, sin crear contenedores falsos ni asignar puntos.</w:t>
            </w:r>
          </w:p>
        </w:tc>
      </w:tr>
      <w:tr>
        <w:tc>
          <w:tcPr>
            <w:tcW w:type="dxa" w:w="2592"/>
            <w:shd w:fill="F2F6F3"/>
            <w:tcMar>
              <w:top w:w="60" w:type="dxa"/>
              <w:bottom w:w="60" w:type="dxa"/>
              <w:left w:w="80" w:type="dxa"/>
              <w:right w:w="80" w:type="dxa"/>
            </w:tcMar>
          </w:tcPr>
          <w:p>
            <w:r>
              <w:rPr>
                <w:rFonts w:ascii="Arial" w:hAnsi="Arial"/>
                <w:b/>
                <w:sz w:val="18"/>
              </w:rPr>
              <w:t>Postcondiciones</w:t>
            </w:r>
          </w:p>
        </w:tc>
        <w:tc>
          <w:tcPr>
            <w:tcW w:type="dxa" w:w="6768"/>
            <w:shd w:fill="FFFFFF"/>
            <w:tcMar>
              <w:top w:w="60" w:type="dxa"/>
              <w:bottom w:w="60" w:type="dxa"/>
              <w:left w:w="80" w:type="dxa"/>
              <w:right w:w="80" w:type="dxa"/>
            </w:tcMar>
          </w:tcPr>
          <w:p>
            <w:r>
              <w:rPr>
                <w:rFonts w:ascii="Arial" w:hAnsi="Arial"/>
                <w:sz w:val="18"/>
              </w:rPr>
              <w:t>Duda ambiental resuelta con rigurosidad técnica y motivación cívica.</w:t>
            </w:r>
          </w:p>
        </w:tc>
      </w:tr>
    </w:tbl>
    <w:p>
      <w:pPr>
        <w:keepNext/>
        <w:spacing w:before="240" w:after="120"/>
      </w:pPr>
      <w:r>
        <w:rPr>
          <w:rFonts w:ascii="Arial" w:hAnsi="Arial"/>
          <w:b/>
          <w:color w:val="005AC2"/>
          <w:sz w:val="26"/>
        </w:rPr>
        <w:t>4.3. Requerimientos No Funcionales (RNF)</w:t>
      </w:r>
    </w:p>
    <w:p>
      <w:pPr>
        <w:pStyle w:val="ListBullet"/>
        <w:spacing w:after="80" w:line="288" w:lineRule="auto"/>
      </w:pPr>
      <w:r>
        <w:rPr>
          <w:rFonts w:ascii="Arial" w:hAnsi="Arial"/>
          <w:b/>
          <w:color w:val="191C1E"/>
          <w:sz w:val="20"/>
        </w:rPr>
        <w:t xml:space="preserve">RNF-01 (Seguridad y Privacidad): </w:t>
      </w:r>
      <w:r>
        <w:rPr>
          <w:rFonts w:ascii="Arial" w:hAnsi="Arial"/>
          <w:color w:val="191C1E"/>
          <w:sz w:val="20"/>
        </w:rPr>
        <w:t>Aislamiento multi-tenant estricto mediante políticas Row Level Security (RLS) en PostgreSQL 17. Autenticación con tokens JWT cifrados con HMAC-SHA256.</w:t>
      </w:r>
    </w:p>
    <w:p>
      <w:pPr>
        <w:pStyle w:val="ListBullet"/>
        <w:spacing w:after="80" w:line="288" w:lineRule="auto"/>
      </w:pPr>
      <w:r>
        <w:rPr>
          <w:rFonts w:ascii="Arial" w:hAnsi="Arial"/>
          <w:b/>
          <w:color w:val="191C1E"/>
          <w:sz w:val="20"/>
        </w:rPr>
        <w:t xml:space="preserve">RNF-02 (Rendimiento y Latencia): </w:t>
      </w:r>
      <w:r>
        <w:rPr>
          <w:rFonts w:ascii="Arial" w:hAnsi="Arial"/>
          <w:color w:val="191C1E"/>
          <w:sz w:val="20"/>
        </w:rPr>
        <w:t>Tiempo de respuesta del asistente conversacional con Gemini Flash inferior a 1.2 segundos; clasificación fotográfica multimodal menor a 2.5 segundos. Tiempos de carga web inferiores a 1 segundo.</w:t>
      </w:r>
    </w:p>
    <w:p>
      <w:pPr>
        <w:pStyle w:val="ListBullet"/>
        <w:spacing w:after="80" w:line="288" w:lineRule="auto"/>
      </w:pPr>
      <w:r>
        <w:rPr>
          <w:rFonts w:ascii="Arial" w:hAnsi="Arial"/>
          <w:b/>
          <w:color w:val="191C1E"/>
          <w:sz w:val="20"/>
        </w:rPr>
        <w:t xml:space="preserve">RNF-03 (Escalabilidad Espacial): </w:t>
      </w:r>
      <w:r>
        <w:rPr>
          <w:rFonts w:ascii="Arial" w:hAnsi="Arial"/>
          <w:color w:val="191C1E"/>
          <w:sz w:val="20"/>
        </w:rPr>
        <w:t>Arquitectura multi-jurisdiccional con índices espaciales PostGIS GiST capaz de responder consultas geoespaciales con radios de búsqueda en menos de 15 ms para decenas de municipios concurrentes.</w:t>
      </w:r>
    </w:p>
    <w:p>
      <w:pPr>
        <w:pStyle w:val="ListBullet"/>
        <w:spacing w:after="80" w:line="288" w:lineRule="auto"/>
      </w:pPr>
      <w:r>
        <w:rPr>
          <w:rFonts w:ascii="Arial" w:hAnsi="Arial"/>
          <w:b/>
          <w:color w:val="191C1E"/>
          <w:sz w:val="20"/>
        </w:rPr>
        <w:t xml:space="preserve">RNF-04 (Usabilidad y Accesibilidad): </w:t>
      </w:r>
      <w:r>
        <w:rPr>
          <w:rFonts w:ascii="Arial" w:hAnsi="Arial"/>
          <w:color w:val="191C1E"/>
          <w:sz w:val="20"/>
        </w:rPr>
        <w:t>Interfaz móvil con Material Design 3, contraste visual de texto WCAG 2.1 nivel AA y teclado adaptativo con imePadding que evita ocultar componentes interactivos.</w:t>
      </w:r>
    </w:p>
    <w:p>
      <w:pPr>
        <w:pStyle w:val="ListBullet"/>
        <w:spacing w:after="80" w:line="288" w:lineRule="auto"/>
      </w:pPr>
      <w:r>
        <w:rPr>
          <w:rFonts w:ascii="Arial" w:hAnsi="Arial"/>
          <w:b/>
          <w:color w:val="191C1E"/>
          <w:sz w:val="20"/>
        </w:rPr>
        <w:t xml:space="preserve">RNF-05 (Disponibilidad y Resiliencia): </w:t>
      </w:r>
      <w:r>
        <w:rPr>
          <w:rFonts w:ascii="Arial" w:hAnsi="Arial"/>
          <w:color w:val="191C1E"/>
          <w:sz w:val="20"/>
        </w:rPr>
        <w:t>Disponibilidad anual garantizada del 99.5% gracias al clúster serverless en Supabase y funcionamiento offline de cupones mediante descarga en imagen PNG en galería.</w:t>
      </w:r>
    </w:p>
    <w:p>
      <w:r>
        <w:br w:type="page"/>
      </w:r>
    </w:p>
    <w:p>
      <w:pPr>
        <w:keepNext/>
        <w:spacing w:before="320" w:after="160"/>
      </w:pPr>
      <w:r>
        <w:rPr>
          <w:rFonts w:ascii="Arial" w:hAnsi="Arial"/>
          <w:b/>
          <w:color w:val="006C49"/>
          <w:sz w:val="32"/>
        </w:rPr>
        <w:t>5. DIAGRAMAS DEL SISTEMA</w:t>
      </w:r>
    </w:p>
    <w:p>
      <w:pPr>
        <w:spacing w:after="120" w:line="300" w:lineRule="auto"/>
        <w:jc w:val="both"/>
      </w:pPr>
      <w:r>
        <w:rPr>
          <w:rFonts w:ascii="Arial" w:hAnsi="Arial"/>
          <w:color w:val="191C1E"/>
          <w:sz w:val="21"/>
        </w:rPr>
        <w:t>Para evidenciar el modelado visual del sistema conforme a los estándares de la ingeniería de software, a continuación se presentan los diagramas UML y de arquitectura técnica de EcoMapa Suite V2.1.</w:t>
      </w:r>
    </w:p>
    <w:p>
      <w:pPr>
        <w:keepNext/>
        <w:spacing w:before="240" w:after="120"/>
      </w:pPr>
      <w:r>
        <w:rPr>
          <w:rFonts w:ascii="Arial" w:hAnsi="Arial"/>
          <w:b/>
          <w:color w:val="005AC2"/>
          <w:sz w:val="26"/>
        </w:rPr>
        <w:t>5.1. Diagrama de Casos de Uso General</w:t>
      </w:r>
    </w:p>
    <w:p>
      <w:pPr>
        <w:spacing w:after="120" w:line="300" w:lineRule="auto"/>
        <w:jc w:val="both"/>
      </w:pPr>
      <w:r>
        <w:rPr>
          <w:rFonts w:ascii="Arial" w:hAnsi="Arial"/>
          <w:color w:val="191C1E"/>
          <w:sz w:val="21"/>
        </w:rPr>
        <w:t>Modela las interacciones de los tres actores del sistema: el Ciudadano (B2C), el Operador Municipal (B2G) y el Administrador Corporativo SuperAdmin (CivicLoop), junto con los subsistemas externos de Google Gemini y Google Maps.</w:t>
      </w:r>
    </w:p>
    <w:p>
      <w:pPr>
        <w:spacing w:before="160" w:after="80"/>
        <w:jc w:val="center"/>
      </w:pPr>
      <w:r>
        <w:drawing>
          <wp:inline xmlns:a="http://schemas.openxmlformats.org/drawingml/2006/main" xmlns:pic="http://schemas.openxmlformats.org/drawingml/2006/picture">
            <wp:extent cx="5303520" cy="7014988"/>
            <wp:docPr id="2" name="Picture 2"/>
            <wp:cNvGraphicFramePr>
              <a:graphicFrameLocks noChangeAspect="1"/>
            </wp:cNvGraphicFramePr>
            <a:graphic>
              <a:graphicData uri="http://schemas.openxmlformats.org/drawingml/2006/picture">
                <pic:pic>
                  <pic:nvPicPr>
                    <pic:cNvPr id="0" name="01_casos_de_uso.png"/>
                    <pic:cNvPicPr/>
                  </pic:nvPicPr>
                  <pic:blipFill>
                    <a:blip r:embed="rId10"/>
                    <a:stretch>
                      <a:fillRect/>
                    </a:stretch>
                  </pic:blipFill>
                  <pic:spPr>
                    <a:xfrm>
                      <a:off x="0" y="0"/>
                      <a:ext cx="5303520" cy="7014988"/>
                    </a:xfrm>
                    <a:prstGeom prst="rect"/>
                  </pic:spPr>
                </pic:pic>
              </a:graphicData>
            </a:graphic>
          </wp:inline>
        </w:drawing>
      </w:r>
    </w:p>
    <w:p>
      <w:pPr>
        <w:spacing w:after="200"/>
        <w:jc w:val="center"/>
      </w:pPr>
      <w:r>
        <w:rPr>
          <w:rFonts w:ascii="Arial" w:hAnsi="Arial"/>
          <w:i/>
          <w:color w:val="46554E"/>
          <w:sz w:val="18"/>
        </w:rPr>
        <w:t>Figura: Diagrama General de Casos de Uso de EcoMapa Suite V2.1</w:t>
      </w:r>
    </w:p>
    <w:p>
      <w:pPr>
        <w:keepNext/>
        <w:spacing w:before="240" w:after="120"/>
      </w:pPr>
      <w:r>
        <w:rPr>
          <w:rFonts w:ascii="Arial" w:hAnsi="Arial"/>
          <w:b/>
          <w:color w:val="005AC2"/>
          <w:sz w:val="26"/>
        </w:rPr>
        <w:t>5.2. Diagrama de Clases de Dominio</w:t>
      </w:r>
    </w:p>
    <w:p>
      <w:pPr>
        <w:spacing w:after="120" w:line="300" w:lineRule="auto"/>
        <w:jc w:val="both"/>
      </w:pPr>
      <w:r>
        <w:rPr>
          <w:rFonts w:ascii="Arial" w:hAnsi="Arial"/>
          <w:color w:val="191C1E"/>
          <w:sz w:val="21"/>
        </w:rPr>
        <w:t>Representa la estructura estática del modelo de negocio, exhibiendo las entidades centrales (Tenant, User, CleanPoint, PickupRequest, Coupon, RewardClaim) con sus atributos, tipos y cardinalidades.</w:t>
      </w:r>
    </w:p>
    <w:p>
      <w:pPr>
        <w:spacing w:before="160" w:after="80"/>
        <w:jc w:val="center"/>
      </w:pPr>
      <w:r>
        <w:drawing>
          <wp:inline xmlns:a="http://schemas.openxmlformats.org/drawingml/2006/main" xmlns:pic="http://schemas.openxmlformats.org/drawingml/2006/picture">
            <wp:extent cx="5303520" cy="1755625"/>
            <wp:docPr id="3" name="Picture 3"/>
            <wp:cNvGraphicFramePr>
              <a:graphicFrameLocks noChangeAspect="1"/>
            </wp:cNvGraphicFramePr>
            <a:graphic>
              <a:graphicData uri="http://schemas.openxmlformats.org/drawingml/2006/picture">
                <pic:pic>
                  <pic:nvPicPr>
                    <pic:cNvPr id="0" name="02_clases.png"/>
                    <pic:cNvPicPr/>
                  </pic:nvPicPr>
                  <pic:blipFill>
                    <a:blip r:embed="rId11"/>
                    <a:stretch>
                      <a:fillRect/>
                    </a:stretch>
                  </pic:blipFill>
                  <pic:spPr>
                    <a:xfrm>
                      <a:off x="0" y="0"/>
                      <a:ext cx="5303520" cy="1755625"/>
                    </a:xfrm>
                    <a:prstGeom prst="rect"/>
                  </pic:spPr>
                </pic:pic>
              </a:graphicData>
            </a:graphic>
          </wp:inline>
        </w:drawing>
      </w:r>
    </w:p>
    <w:p>
      <w:pPr>
        <w:spacing w:after="200"/>
        <w:jc w:val="center"/>
      </w:pPr>
      <w:r>
        <w:rPr>
          <w:rFonts w:ascii="Arial" w:hAnsi="Arial"/>
          <w:i/>
          <w:color w:val="46554E"/>
          <w:sz w:val="18"/>
        </w:rPr>
        <w:t>Figura: Diagrama de Clases del Modelo de Dominio</w:t>
      </w:r>
    </w:p>
    <w:p>
      <w:pPr>
        <w:keepNext/>
        <w:spacing w:before="240" w:after="120"/>
      </w:pPr>
      <w:r>
        <w:rPr>
          <w:rFonts w:ascii="Arial" w:hAnsi="Arial"/>
          <w:b/>
          <w:color w:val="005AC2"/>
          <w:sz w:val="26"/>
        </w:rPr>
        <w:t>5.3. Diagramas de Secuencia</w:t>
      </w:r>
    </w:p>
    <w:p>
      <w:pPr>
        <w:keepNext/>
        <w:spacing w:before="160" w:after="80"/>
      </w:pPr>
      <w:r>
        <w:rPr>
          <w:rFonts w:ascii="Arial" w:hAnsi="Arial"/>
          <w:b/>
          <w:color w:val="191C1E"/>
          <w:sz w:val="22"/>
        </w:rPr>
        <w:t>5.3.1. Flujo de Clasificación Visual y Navegación GPS (Google Gemini)</w:t>
      </w:r>
    </w:p>
    <w:p>
      <w:pPr>
        <w:spacing w:after="120" w:line="300" w:lineRule="auto"/>
        <w:jc w:val="both"/>
      </w:pPr>
      <w:r>
        <w:rPr>
          <w:rFonts w:ascii="Arial" w:hAnsi="Arial"/>
          <w:color w:val="191C1E"/>
          <w:sz w:val="21"/>
        </w:rPr>
        <w:t>Ilustra el ciclo temporal desde que el usuario toma la fotografía en su smartphone, la llamada cifrada hacia la Edge Function de Supabase, la inferencia en Google Gemini Vision, el cálculo espacial en PostGIS y la apertura automática de Google Maps Turn-by-Turn.</w:t>
      </w:r>
    </w:p>
    <w:p>
      <w:pPr>
        <w:spacing w:before="160" w:after="80"/>
        <w:jc w:val="center"/>
      </w:pPr>
      <w:r>
        <w:drawing>
          <wp:inline xmlns:a="http://schemas.openxmlformats.org/drawingml/2006/main" xmlns:pic="http://schemas.openxmlformats.org/drawingml/2006/picture">
            <wp:extent cx="5120640" cy="2560320"/>
            <wp:docPr id="4" name="Picture 4"/>
            <wp:cNvGraphicFramePr>
              <a:graphicFrameLocks noChangeAspect="1"/>
            </wp:cNvGraphicFramePr>
            <a:graphic>
              <a:graphicData uri="http://schemas.openxmlformats.org/drawingml/2006/picture">
                <pic:pic>
                  <pic:nvPicPr>
                    <pic:cNvPr id="0" name="03_secuencia_ia.png"/>
                    <pic:cNvPicPr/>
                  </pic:nvPicPr>
                  <pic:blipFill>
                    <a:blip r:embed="rId12"/>
                    <a:stretch>
                      <a:fillRect/>
                    </a:stretch>
                  </pic:blipFill>
                  <pic:spPr>
                    <a:xfrm>
                      <a:off x="0" y="0"/>
                      <a:ext cx="5120640" cy="2560320"/>
                    </a:xfrm>
                    <a:prstGeom prst="rect"/>
                  </pic:spPr>
                </pic:pic>
              </a:graphicData>
            </a:graphic>
          </wp:inline>
        </w:drawing>
      </w:r>
    </w:p>
    <w:p>
      <w:pPr>
        <w:spacing w:after="200"/>
        <w:jc w:val="center"/>
      </w:pPr>
      <w:r>
        <w:rPr>
          <w:rFonts w:ascii="Arial" w:hAnsi="Arial"/>
          <w:i/>
          <w:color w:val="46554E"/>
          <w:sz w:val="18"/>
        </w:rPr>
        <w:t>Figura: Diagrama de Secuencia: Clasificación IA con Google Gemini y Navegación GPS</w:t>
      </w:r>
    </w:p>
    <w:p>
      <w:pPr>
        <w:keepNext/>
        <w:spacing w:before="160" w:after="80"/>
      </w:pPr>
      <w:r>
        <w:rPr>
          <w:rFonts w:ascii="Arial" w:hAnsi="Arial"/>
          <w:b/>
          <w:color w:val="191C1E"/>
          <w:sz w:val="22"/>
        </w:rPr>
        <w:t>5.3.2. Flujo de Solicitud y Despacho Logístico de Retiros Domiciliarios</w:t>
      </w:r>
    </w:p>
    <w:p>
      <w:pPr>
        <w:spacing w:after="120" w:line="300" w:lineRule="auto"/>
        <w:jc w:val="both"/>
      </w:pPr>
      <w:r>
        <w:rPr>
          <w:rFonts w:ascii="Arial" w:hAnsi="Arial"/>
          <w:color w:val="191C1E"/>
          <w:sz w:val="21"/>
        </w:rPr>
        <w:t>Modela la interacción asíncrona entre el vecino solicitante, la base de datos PostgreSQL y el portal municipal con WebSockets en tiempo real.</w:t>
      </w:r>
    </w:p>
    <w:p>
      <w:pPr>
        <w:spacing w:before="160" w:after="80"/>
        <w:jc w:val="center"/>
      </w:pPr>
      <w:r>
        <w:drawing>
          <wp:inline xmlns:a="http://schemas.openxmlformats.org/drawingml/2006/main" xmlns:pic="http://schemas.openxmlformats.org/drawingml/2006/picture">
            <wp:extent cx="5120640" cy="2155371"/>
            <wp:docPr id="5" name="Picture 5"/>
            <wp:cNvGraphicFramePr>
              <a:graphicFrameLocks noChangeAspect="1"/>
            </wp:cNvGraphicFramePr>
            <a:graphic>
              <a:graphicData uri="http://schemas.openxmlformats.org/drawingml/2006/picture">
                <pic:pic>
                  <pic:nvPicPr>
                    <pic:cNvPr id="0" name="03_secuencia_retiros.png"/>
                    <pic:cNvPicPr/>
                  </pic:nvPicPr>
                  <pic:blipFill>
                    <a:blip r:embed="rId13"/>
                    <a:stretch>
                      <a:fillRect/>
                    </a:stretch>
                  </pic:blipFill>
                  <pic:spPr>
                    <a:xfrm>
                      <a:off x="0" y="0"/>
                      <a:ext cx="5120640" cy="2155371"/>
                    </a:xfrm>
                    <a:prstGeom prst="rect"/>
                  </pic:spPr>
                </pic:pic>
              </a:graphicData>
            </a:graphic>
          </wp:inline>
        </w:drawing>
      </w:r>
    </w:p>
    <w:p>
      <w:pPr>
        <w:spacing w:after="200"/>
        <w:jc w:val="center"/>
      </w:pPr>
      <w:r>
        <w:rPr>
          <w:rFonts w:ascii="Arial" w:hAnsi="Arial"/>
          <w:i/>
          <w:color w:val="46554E"/>
          <w:sz w:val="18"/>
        </w:rPr>
        <w:t>Figura: Diagrama de Secuencia: Gestión Logística de Retiros Domiciliarios</w:t>
      </w:r>
    </w:p>
    <w:p>
      <w:pPr>
        <w:keepNext/>
        <w:spacing w:before="240" w:after="120"/>
      </w:pPr>
      <w:r>
        <w:rPr>
          <w:rFonts w:ascii="Arial" w:hAnsi="Arial"/>
          <w:b/>
          <w:color w:val="005AC2"/>
          <w:sz w:val="26"/>
        </w:rPr>
        <w:t>5.4. Diagrama de Arquitectura de Alto Nivel</w:t>
      </w:r>
    </w:p>
    <w:p>
      <w:pPr>
        <w:spacing w:after="120" w:line="300" w:lineRule="auto"/>
        <w:jc w:val="both"/>
      </w:pPr>
      <w:r>
        <w:rPr>
          <w:rFonts w:ascii="Arial" w:hAnsi="Arial"/>
          <w:color w:val="191C1E"/>
          <w:sz w:val="21"/>
        </w:rPr>
        <w:t>Esquematiza las tres capas del sistema: la Capa de Clientes (App Móvil Kotlin, Portal Tenant 5173, SuperAdmin 5174), la Capa de Middleware Serverless (Supabase Edge Functions y APIs de Google Gemini / Maps) y la Capa de Persistencia (PostgreSQL 17 + PostGIS y Supabase Storage).</w:t>
      </w:r>
    </w:p>
    <w:p>
      <w:pPr>
        <w:spacing w:before="160" w:after="80"/>
        <w:jc w:val="center"/>
      </w:pPr>
      <w:r>
        <w:drawing>
          <wp:inline xmlns:a="http://schemas.openxmlformats.org/drawingml/2006/main" xmlns:pic="http://schemas.openxmlformats.org/drawingml/2006/picture">
            <wp:extent cx="5303520" cy="2976465"/>
            <wp:docPr id="6" name="Picture 6"/>
            <wp:cNvGraphicFramePr>
              <a:graphicFrameLocks noChangeAspect="1"/>
            </wp:cNvGraphicFramePr>
            <a:graphic>
              <a:graphicData uri="http://schemas.openxmlformats.org/drawingml/2006/picture">
                <pic:pic>
                  <pic:nvPicPr>
                    <pic:cNvPr id="0" name="04_arquitectura.png"/>
                    <pic:cNvPicPr/>
                  </pic:nvPicPr>
                  <pic:blipFill>
                    <a:blip r:embed="rId14"/>
                    <a:stretch>
                      <a:fillRect/>
                    </a:stretch>
                  </pic:blipFill>
                  <pic:spPr>
                    <a:xfrm>
                      <a:off x="0" y="0"/>
                      <a:ext cx="5303520" cy="2976465"/>
                    </a:xfrm>
                    <a:prstGeom prst="rect"/>
                  </pic:spPr>
                </pic:pic>
              </a:graphicData>
            </a:graphic>
          </wp:inline>
        </w:drawing>
      </w:r>
    </w:p>
    <w:p>
      <w:pPr>
        <w:spacing w:after="200"/>
        <w:jc w:val="center"/>
      </w:pPr>
      <w:r>
        <w:rPr>
          <w:rFonts w:ascii="Arial" w:hAnsi="Arial"/>
          <w:i/>
          <w:color w:val="46554E"/>
          <w:sz w:val="18"/>
        </w:rPr>
        <w:t>Figura: Diagrama de Arquitectura de Alto Nivel de la Suite</w:t>
      </w:r>
    </w:p>
    <w:p>
      <w:pPr>
        <w:keepNext/>
        <w:spacing w:before="240" w:after="120"/>
      </w:pPr>
      <w:r>
        <w:rPr>
          <w:rFonts w:ascii="Arial" w:hAnsi="Arial"/>
          <w:b/>
          <w:color w:val="005AC2"/>
          <w:sz w:val="26"/>
        </w:rPr>
        <w:t>5.5. Diagrama Entidad-Relación (DER)</w:t>
      </w:r>
    </w:p>
    <w:p>
      <w:pPr>
        <w:spacing w:after="120" w:line="300" w:lineRule="auto"/>
        <w:jc w:val="both"/>
      </w:pPr>
      <w:r>
        <w:rPr>
          <w:rFonts w:ascii="Arial" w:hAnsi="Arial"/>
          <w:color w:val="191C1E"/>
          <w:sz w:val="21"/>
        </w:rPr>
        <w:t>Estructura relacional de la base de datos PostgreSQL, exhibiendo las tablas normalizadas, las claves foráneas, columnas de geometría espacial y políticas RLS asociadas a cada tenant_id.</w:t>
      </w:r>
    </w:p>
    <w:p>
      <w:pPr>
        <w:spacing w:before="160" w:after="80"/>
        <w:jc w:val="center"/>
      </w:pPr>
      <w:r>
        <w:drawing>
          <wp:inline xmlns:a="http://schemas.openxmlformats.org/drawingml/2006/main" xmlns:pic="http://schemas.openxmlformats.org/drawingml/2006/picture">
            <wp:extent cx="5303520" cy="6554988"/>
            <wp:docPr id="7" name="Picture 7"/>
            <wp:cNvGraphicFramePr>
              <a:graphicFrameLocks noChangeAspect="1"/>
            </wp:cNvGraphicFramePr>
            <a:graphic>
              <a:graphicData uri="http://schemas.openxmlformats.org/drawingml/2006/picture">
                <pic:pic>
                  <pic:nvPicPr>
                    <pic:cNvPr id="0" name="05_der.png"/>
                    <pic:cNvPicPr/>
                  </pic:nvPicPr>
                  <pic:blipFill>
                    <a:blip r:embed="rId15"/>
                    <a:stretch>
                      <a:fillRect/>
                    </a:stretch>
                  </pic:blipFill>
                  <pic:spPr>
                    <a:xfrm>
                      <a:off x="0" y="0"/>
                      <a:ext cx="5303520" cy="6554988"/>
                    </a:xfrm>
                    <a:prstGeom prst="rect"/>
                  </pic:spPr>
                </pic:pic>
              </a:graphicData>
            </a:graphic>
          </wp:inline>
        </w:drawing>
      </w:r>
    </w:p>
    <w:p>
      <w:pPr>
        <w:spacing w:after="200"/>
        <w:jc w:val="center"/>
      </w:pPr>
      <w:r>
        <w:rPr>
          <w:rFonts w:ascii="Arial" w:hAnsi="Arial"/>
          <w:i/>
          <w:color w:val="46554E"/>
          <w:sz w:val="18"/>
        </w:rPr>
        <w:t>Figura: Diagrama Entidad-Relación (DER) del Clúster PostgreSQL + PostGIS</w:t>
      </w:r>
    </w:p>
    <w:p>
      <w:r>
        <w:br w:type="page"/>
      </w:r>
    </w:p>
    <w:p>
      <w:pPr>
        <w:keepNext/>
        <w:spacing w:before="320" w:after="160"/>
      </w:pPr>
      <w:r>
        <w:rPr>
          <w:rFonts w:ascii="Arial" w:hAnsi="Arial"/>
          <w:b/>
          <w:color w:val="006C49"/>
          <w:sz w:val="32"/>
        </w:rPr>
        <w:t>6. DISEÑO Y PROTOTIPADO (UX/UI)</w:t>
      </w:r>
    </w:p>
    <w:p>
      <w:pPr>
        <w:keepNext/>
        <w:spacing w:before="240" w:after="120"/>
      </w:pPr>
      <w:r>
        <w:rPr>
          <w:rFonts w:ascii="Arial" w:hAnsi="Arial"/>
          <w:b/>
          <w:color w:val="005AC2"/>
          <w:sz w:val="26"/>
        </w:rPr>
        <w:t>6.1. Sistema Visual y Principios de Diseño</w:t>
      </w:r>
    </w:p>
    <w:p>
      <w:pPr>
        <w:spacing w:after="120" w:line="300" w:lineRule="auto"/>
        <w:jc w:val="both"/>
      </w:pPr>
      <w:r>
        <w:rPr>
          <w:rFonts w:ascii="Arial" w:hAnsi="Arial"/>
          <w:color w:val="191C1E"/>
          <w:sz w:val="21"/>
        </w:rPr>
        <w:t>La interfaz de usuario fue diseñada bajo estrictos principios de experiencia de usuario (UX) y diseño visual moderno, adoptando dos lenguajes complementarios según la plataforma de destino:</w:t>
      </w:r>
    </w:p>
    <w:p>
      <w:pPr>
        <w:pStyle w:val="ListBullet"/>
        <w:spacing w:after="80" w:line="288" w:lineRule="auto"/>
      </w:pPr>
      <w:r>
        <w:rPr>
          <w:rFonts w:ascii="Arial" w:hAnsi="Arial"/>
          <w:b/>
          <w:color w:val="191C1E"/>
          <w:sz w:val="20"/>
        </w:rPr>
        <w:t xml:space="preserve">Aplicación Android Nativa: </w:t>
      </w:r>
      <w:r>
        <w:rPr>
          <w:rFonts w:ascii="Arial" w:hAnsi="Arial"/>
          <w:color w:val="191C1E"/>
          <w:sz w:val="20"/>
        </w:rPr>
        <w:t>Se implementó Material Design 3 (Material You) con una paleta cromática verde esmeralda institucional (#006C49 primario, #059669 acento, #005AC2 azul tecnológico y #F7F9FB fondos). Los componentes utilizan elevaciones suaves, bordes redondeados (16 a 20 dp) y tipografía Arial/Roboto altamente legible.</w:t>
      </w:r>
    </w:p>
    <w:p>
      <w:pPr>
        <w:pStyle w:val="ListBullet"/>
        <w:spacing w:after="80" w:line="288" w:lineRule="auto"/>
      </w:pPr>
      <w:r>
        <w:rPr>
          <w:rFonts w:ascii="Arial" w:hAnsi="Arial"/>
          <w:b/>
          <w:color w:val="191C1E"/>
          <w:sz w:val="20"/>
        </w:rPr>
        <w:t xml:space="preserve">Consolas Web (Tenant y SuperAdmin): </w:t>
      </w:r>
      <w:r>
        <w:rPr>
          <w:rFonts w:ascii="Arial" w:hAnsi="Arial"/>
          <w:color w:val="191C1E"/>
          <w:sz w:val="20"/>
        </w:rPr>
        <w:t>Se utilizó Radix UI y Tailwind CSS con soporte para Dark Mode profesional. Esto asegura una óptima visibilidad en salas de monitoreo municipal y centros de comando operativo con bajo consumo energético en pantallas OLED.</w:t>
      </w:r>
    </w:p>
    <w:p>
      <w:pPr>
        <w:keepNext/>
        <w:spacing w:before="240" w:after="120"/>
      </w:pPr>
      <w:r>
        <w:rPr>
          <w:rFonts w:ascii="Arial" w:hAnsi="Arial"/>
          <w:b/>
          <w:color w:val="005AC2"/>
          <w:sz w:val="26"/>
        </w:rPr>
        <w:t>6.2. Arquitectura de Información y Flujo Móvil</w:t>
      </w:r>
    </w:p>
    <w:p>
      <w:pPr>
        <w:spacing w:after="120" w:line="300" w:lineRule="auto"/>
        <w:jc w:val="both"/>
      </w:pPr>
      <w:r>
        <w:rPr>
          <w:rFonts w:ascii="Arial" w:hAnsi="Arial"/>
          <w:b/>
          <w:color w:val="191C1E"/>
          <w:sz w:val="21"/>
        </w:rPr>
        <w:t xml:space="preserve">Flujo de Pantallas: </w:t>
      </w:r>
      <w:r>
        <w:rPr>
          <w:rFonts w:ascii="Arial" w:hAnsi="Arial"/>
          <w:color w:val="191C1E"/>
          <w:sz w:val="21"/>
        </w:rPr>
        <w:t>La navegación en el dispositivo móvil se diseñó siguiendo un esquema Single Activity con Jetpack Navigation Compose:</w:t>
      </w:r>
    </w:p>
    <w:p>
      <w:pPr>
        <w:pStyle w:val="ListBullet"/>
        <w:spacing w:after="80" w:line="288" w:lineRule="auto"/>
      </w:pPr>
      <w:r>
        <w:rPr>
          <w:rFonts w:ascii="Arial" w:hAnsi="Arial"/>
          <w:b/>
          <w:color w:val="191C1E"/>
          <w:sz w:val="20"/>
        </w:rPr>
        <w:t xml:space="preserve">1. Pantalla Home (Mapa Central): </w:t>
      </w:r>
      <w:r>
        <w:rPr>
          <w:rFonts w:ascii="Arial" w:hAnsi="Arial"/>
          <w:color w:val="191C1E"/>
          <w:sz w:val="20"/>
        </w:rPr>
        <w:t>Presenta el mapa interactivo con los contenedores geolocalizados, la barra superior de balance de EcoPuntos y acceso flotante directo hacia la cámara.</w:t>
      </w:r>
    </w:p>
    <w:p>
      <w:pPr>
        <w:pStyle w:val="ListBullet"/>
        <w:spacing w:after="80" w:line="288" w:lineRule="auto"/>
      </w:pPr>
      <w:r>
        <w:rPr>
          <w:rFonts w:ascii="Arial" w:hAnsi="Arial"/>
          <w:b/>
          <w:color w:val="191C1E"/>
          <w:sz w:val="20"/>
        </w:rPr>
        <w:t xml:space="preserve">2. Pantalla de Chat (EcoIA Asistente): </w:t>
      </w:r>
      <w:r>
        <w:rPr>
          <w:rFonts w:ascii="Arial" w:hAnsi="Arial"/>
          <w:color w:val="191C1E"/>
          <w:sz w:val="20"/>
        </w:rPr>
        <w:t>Interfaz de diálogo interactivo con teclado adaptativo (WindowInsets imePadding), burbujas diferenciadas por color y respuestas con botones contextuales de navegación.</w:t>
      </w:r>
    </w:p>
    <w:p>
      <w:pPr>
        <w:pStyle w:val="ListBullet"/>
        <w:spacing w:after="80" w:line="288" w:lineRule="auto"/>
      </w:pPr>
      <w:r>
        <w:rPr>
          <w:rFonts w:ascii="Arial" w:hAnsi="Arial"/>
          <w:b/>
          <w:color w:val="191C1E"/>
          <w:sz w:val="20"/>
        </w:rPr>
        <w:t xml:space="preserve">3. Pantalla de Escáner ('Analizá tu Residuo'): </w:t>
      </w:r>
      <w:r>
        <w:rPr>
          <w:rFonts w:ascii="Arial" w:hAnsi="Arial"/>
          <w:color w:val="191C1E"/>
          <w:sz w:val="20"/>
        </w:rPr>
        <w:t>Visor de cámara fotográfica con marco guía para encuadre del residuo, pantalla de procesamiento animada y tarjeta de resultado con foto oficial del contenedor y botón de Google Maps.</w:t>
      </w:r>
    </w:p>
    <w:p>
      <w:pPr>
        <w:pStyle w:val="ListBullet"/>
        <w:spacing w:after="80" w:line="288" w:lineRule="auto"/>
      </w:pPr>
      <w:r>
        <w:rPr>
          <w:rFonts w:ascii="Arial" w:hAnsi="Arial"/>
          <w:b/>
          <w:color w:val="191C1E"/>
          <w:sz w:val="20"/>
        </w:rPr>
        <w:t xml:space="preserve">4. Pantalla de Retiros a Domicilio: </w:t>
      </w:r>
      <w:r>
        <w:rPr>
          <w:rFonts w:ascii="Arial" w:hAnsi="Arial"/>
          <w:color w:val="191C1E"/>
          <w:sz w:val="20"/>
        </w:rPr>
        <w:t>Formulario intuitivo con selección visual de tipo de desecho voluminoso, confirmación de coordenadas satelitales y envío directo.</w:t>
      </w:r>
    </w:p>
    <w:p>
      <w:pPr>
        <w:pStyle w:val="ListBullet"/>
        <w:spacing w:after="80" w:line="288" w:lineRule="auto"/>
      </w:pPr>
      <w:r>
        <w:rPr>
          <w:rFonts w:ascii="Arial" w:hAnsi="Arial"/>
          <w:b/>
          <w:color w:val="191C1E"/>
          <w:sz w:val="20"/>
        </w:rPr>
        <w:t xml:space="preserve">5. Billetera y Recompensas: </w:t>
      </w:r>
      <w:r>
        <w:rPr>
          <w:rFonts w:ascii="Arial" w:hAnsi="Arial"/>
          <w:color w:val="191C1E"/>
          <w:sz w:val="20"/>
        </w:rPr>
        <w:t>Catálogo de comercios con generación y descarga local de vouchers QR / Código de barras en alta definición.</w:t>
      </w:r>
    </w:p>
    <w:p>
      <w:pPr>
        <w:keepNext/>
        <w:spacing w:before="240" w:after="120"/>
      </w:pPr>
      <w:r>
        <w:rPr>
          <w:rFonts w:ascii="Arial" w:hAnsi="Arial"/>
          <w:b/>
          <w:color w:val="005AC2"/>
          <w:sz w:val="26"/>
        </w:rPr>
        <w:t>6.3. Rediseño del Splash Screen Nativo</w:t>
      </w:r>
    </w:p>
    <w:p>
      <w:pPr>
        <w:spacing w:after="120" w:line="300" w:lineRule="auto"/>
        <w:jc w:val="both"/>
      </w:pPr>
      <w:r>
        <w:rPr>
          <w:rFonts w:ascii="Arial" w:hAnsi="Arial"/>
          <w:color w:val="191C1E"/>
          <w:sz w:val="21"/>
        </w:rPr>
        <w:t>Uno de los principales refinamientos de la versión 2.1 radicó en la optimización del inicio de la aplicación en dispositivos Android 12 y superiores (API 31+). En versiones iniciales, el icono de inicio contenía un fondo blanco opaco cuadrado y texto inferior, lo que provocaba que la máscara circular obligatoria del sistema operativo recortara un círculo blanco tosco sobre el verde institucional y cortara la tipografía por la mitad.</w:t>
      </w:r>
    </w:p>
    <w:p>
      <w:pPr>
        <w:spacing w:after="120" w:line="300" w:lineRule="auto"/>
        <w:jc w:val="both"/>
      </w:pPr>
      <w:r>
        <w:rPr>
          <w:rFonts w:ascii="Arial" w:hAnsi="Arial"/>
          <w:color w:val="191C1E"/>
          <w:sz w:val="21"/>
        </w:rPr>
        <w:t>Para solucionar este defecto visual, se aplicó un algoritmo de extracción matemática por alpha matting sobre el logotipo oficial, eliminando 100% el fondo blanco sin bordes dentados ni halos. Se preservó exclusivamente el isotipo 3D (el pin azul con flechas verdes de reciclaje) y se escaló respetando la zona segura circular oficial de Android (diámetro de 160 dp sobre lienzo de 288 dp). El resultado es un isotipo que flota limpio, estático, nítido y elegante directamente sobre el fondo verde de la app.</w:t>
      </w:r>
    </w:p>
    <w:p>
      <w:pPr>
        <w:spacing w:before="160" w:after="80"/>
        <w:jc w:val="center"/>
      </w:pPr>
      <w:r>
        <w:drawing>
          <wp:inline xmlns:a="http://schemas.openxmlformats.org/drawingml/2006/main" xmlns:pic="http://schemas.openxmlformats.org/drawingml/2006/picture">
            <wp:extent cx="2743200" cy="2743200"/>
            <wp:docPr id="8" name="Picture 8"/>
            <wp:cNvGraphicFramePr>
              <a:graphicFrameLocks noChangeAspect="1"/>
            </wp:cNvGraphicFramePr>
            <a:graphic>
              <a:graphicData uri="http://schemas.openxmlformats.org/drawingml/2006/picture">
                <pic:pic>
                  <pic:nvPicPr>
                    <pic:cNvPr id="0" name="splash_clean_safezone.png"/>
                    <pic:cNvPicPr/>
                  </pic:nvPicPr>
                  <pic:blipFill>
                    <a:blip r:embed="rId16"/>
                    <a:stretch>
                      <a:fillRect/>
                    </a:stretch>
                  </pic:blipFill>
                  <pic:spPr>
                    <a:xfrm>
                      <a:off x="0" y="0"/>
                      <a:ext cx="2743200" cy="2743200"/>
                    </a:xfrm>
                    <a:prstGeom prst="rect"/>
                  </pic:spPr>
                </pic:pic>
              </a:graphicData>
            </a:graphic>
          </wp:inline>
        </w:drawing>
      </w:r>
    </w:p>
    <w:p>
      <w:pPr>
        <w:spacing w:after="200"/>
        <w:jc w:val="center"/>
      </w:pPr>
      <w:r>
        <w:rPr>
          <w:rFonts w:ascii="Arial" w:hAnsi="Arial"/>
          <w:i/>
          <w:color w:val="46554E"/>
          <w:sz w:val="18"/>
        </w:rPr>
        <w:t>Figura: Nuevo Inicio de la App (Splash Screen) con Isotipo 100% Transparente sobre Fondo Verde Oficial</w:t>
      </w:r>
    </w:p>
    <w:p>
      <w:pPr>
        <w:keepNext/>
        <w:spacing w:before="240" w:after="120"/>
      </w:pPr>
      <w:r>
        <w:rPr>
          <w:rFonts w:ascii="Arial" w:hAnsi="Arial"/>
          <w:b/>
          <w:color w:val="005AC2"/>
          <w:sz w:val="26"/>
        </w:rPr>
        <w:t>6.4. Cartografía Enriquecida con Etiquetas de Texto</w:t>
      </w:r>
    </w:p>
    <w:p>
      <w:pPr>
        <w:spacing w:after="120" w:line="300" w:lineRule="auto"/>
        <w:jc w:val="both"/>
      </w:pPr>
      <w:r>
        <w:rPr>
          <w:rFonts w:ascii="Arial" w:hAnsi="Arial"/>
          <w:color w:val="191C1E"/>
          <w:sz w:val="21"/>
        </w:rPr>
        <w:t>En respuesta directa a las necesidades de accesibilidad del usuario, los marcadores del mapa OpenStreetMap en EcoMapView.kt fueron rediseñados integralmente. En lugar de círculos de color ambiguos, cada pin dibuja ahora una pastilla superior oscura con borde de color y texto en mayúsculas destacado (PLÁSTICOS, CARTÓN / PAPEL, VIDRIO, ELECTRÓNICOS, ORGÁNICO), centrando el emoji oficial y orientando la punta inferior exactamente sobre las coordenadas físicas del contenedor.</w:t>
      </w:r>
    </w:p>
    <w:p>
      <w:r>
        <w:br w:type="page"/>
      </w:r>
    </w:p>
    <w:p>
      <w:pPr>
        <w:keepNext/>
        <w:spacing w:before="320" w:after="160"/>
      </w:pPr>
      <w:r>
        <w:rPr>
          <w:rFonts w:ascii="Arial" w:hAnsi="Arial"/>
          <w:b/>
          <w:color w:val="006C49"/>
          <w:sz w:val="32"/>
        </w:rPr>
        <w:t>7. ARQUITECTURA TÉCNICA</w:t>
      </w:r>
    </w:p>
    <w:p>
      <w:pPr>
        <w:keepNext/>
        <w:spacing w:before="240" w:after="120"/>
      </w:pPr>
      <w:r>
        <w:rPr>
          <w:rFonts w:ascii="Arial" w:hAnsi="Arial"/>
          <w:b/>
          <w:color w:val="005AC2"/>
          <w:sz w:val="26"/>
        </w:rPr>
        <w:t>7.1. Stack Tecnológico de la Suite</w:t>
      </w:r>
    </w:p>
    <w:tbl>
      <w:tblPr>
        <w:tblW w:type="auto" w:w="0"/>
        <w:jc w:val="center"/>
        <w:tblLayout w:type="fixed"/>
        <w:tblLook w:firstColumn="1" w:firstRow="1" w:lastColumn="0" w:lastRow="0" w:noHBand="0" w:noVBand="1" w:val="04A0"/>
      </w:tblPr>
      <w:tblGrid>
        <w:gridCol w:w="3010"/>
        <w:gridCol w:w="3010"/>
        <w:gridCol w:w="3010"/>
      </w:tblGrid>
      <w:tr>
        <w:tc>
          <w:tcPr>
            <w:tcW w:type="dxa" w:w="2592"/>
            <w:shd w:fill="006C49"/>
            <w:tcMar>
              <w:top w:w="100" w:type="dxa"/>
              <w:bottom w:w="100" w:type="dxa"/>
              <w:left w:w="120" w:type="dxa"/>
              <w:right w:w="120" w:type="dxa"/>
            </w:tcMar>
          </w:tcPr>
          <w:p>
            <w:pPr>
              <w:spacing w:after="0"/>
            </w:pPr>
            <w:r>
              <w:rPr>
                <w:rFonts w:ascii="Arial" w:hAnsi="Arial"/>
                <w:b/>
                <w:color w:val="FFFFFF"/>
                <w:sz w:val="19"/>
              </w:rPr>
              <w:t>Componente / Módulo</w:t>
            </w:r>
          </w:p>
        </w:tc>
        <w:tc>
          <w:tcPr>
            <w:tcW w:type="dxa" w:w="3168"/>
            <w:shd w:fill="006C49"/>
            <w:tcMar>
              <w:top w:w="100" w:type="dxa"/>
              <w:bottom w:w="100" w:type="dxa"/>
              <w:left w:w="120" w:type="dxa"/>
              <w:right w:w="120" w:type="dxa"/>
            </w:tcMar>
          </w:tcPr>
          <w:p>
            <w:pPr>
              <w:spacing w:after="0"/>
            </w:pPr>
            <w:r>
              <w:rPr>
                <w:rFonts w:ascii="Arial" w:hAnsi="Arial"/>
                <w:b/>
                <w:color w:val="FFFFFF"/>
                <w:sz w:val="19"/>
              </w:rPr>
              <w:t>Tecnología Principal</w:t>
            </w:r>
          </w:p>
        </w:tc>
        <w:tc>
          <w:tcPr>
            <w:tcW w:type="dxa" w:w="3600"/>
            <w:shd w:fill="006C49"/>
            <w:tcMar>
              <w:top w:w="100" w:type="dxa"/>
              <w:bottom w:w="100" w:type="dxa"/>
              <w:left w:w="120" w:type="dxa"/>
              <w:right w:w="120" w:type="dxa"/>
            </w:tcMar>
          </w:tcPr>
          <w:p>
            <w:pPr>
              <w:spacing w:after="0"/>
            </w:pPr>
            <w:r>
              <w:rPr>
                <w:rFonts w:ascii="Arial" w:hAnsi="Arial"/>
                <w:b/>
                <w:color w:val="FFFFFF"/>
                <w:sz w:val="19"/>
              </w:rPr>
              <w:t>Justificación Técnica</w:t>
            </w:r>
          </w:p>
        </w:tc>
      </w:tr>
      <w:tr>
        <w:tc>
          <w:tcPr>
            <w:tcW w:type="dxa" w:w="2592"/>
            <w:shd w:fill="F2F6F3"/>
            <w:tcMar>
              <w:top w:w="80" w:type="dxa"/>
              <w:bottom w:w="80" w:type="dxa"/>
              <w:left w:w="100" w:type="dxa"/>
              <w:right w:w="100" w:type="dxa"/>
            </w:tcMar>
          </w:tcPr>
          <w:p>
            <w:pPr>
              <w:spacing w:after="0"/>
            </w:pPr>
            <w:r>
              <w:rPr>
                <w:rFonts w:ascii="Arial" w:hAnsi="Arial"/>
                <w:b/>
                <w:color w:val="191C1E"/>
                <w:sz w:val="18"/>
              </w:rPr>
              <w:t>Aplicación Móvil</w:t>
            </w:r>
          </w:p>
        </w:tc>
        <w:tc>
          <w:tcPr>
            <w:tcW w:type="dxa" w:w="3168"/>
            <w:shd w:fill="F2F6F3"/>
            <w:tcMar>
              <w:top w:w="80" w:type="dxa"/>
              <w:bottom w:w="80" w:type="dxa"/>
              <w:left w:w="100" w:type="dxa"/>
              <w:right w:w="100" w:type="dxa"/>
            </w:tcMar>
          </w:tcPr>
          <w:p>
            <w:pPr>
              <w:spacing w:after="0"/>
            </w:pPr>
            <w:r>
              <w:rPr>
                <w:rFonts w:ascii="Arial" w:hAnsi="Arial"/>
                <w:color w:val="46554E"/>
                <w:sz w:val="18"/>
              </w:rPr>
              <w:t>Kotlin 2.0 + Jetpack Compose</w:t>
              <w:br/>
              <w:t>Android SDK 34 / 35</w:t>
            </w:r>
          </w:p>
        </w:tc>
        <w:tc>
          <w:tcPr>
            <w:tcW w:type="dxa" w:w="3600"/>
            <w:shd w:fill="F2F6F3"/>
            <w:tcMar>
              <w:top w:w="80" w:type="dxa"/>
              <w:bottom w:w="80" w:type="dxa"/>
              <w:left w:w="100" w:type="dxa"/>
              <w:right w:w="100" w:type="dxa"/>
            </w:tcMar>
          </w:tcPr>
          <w:p>
            <w:pPr>
              <w:spacing w:after="0"/>
            </w:pPr>
            <w:r>
              <w:rPr>
                <w:rFonts w:ascii="Arial" w:hAnsi="Arial"/>
                <w:color w:val="46554E"/>
                <w:sz w:val="18"/>
              </w:rPr>
              <w:t>Desarrollo nativo moderno con UI declarativa, alto rendimiento gráfico y gestión de estado con Coroutines y StateFlow.</w:t>
            </w:r>
          </w:p>
        </w:tc>
      </w:tr>
      <w:tr>
        <w:tc>
          <w:tcPr>
            <w:tcW w:type="dxa" w:w="2592"/>
            <w:shd w:fill="FFFFFF"/>
            <w:tcMar>
              <w:top w:w="80" w:type="dxa"/>
              <w:bottom w:w="80" w:type="dxa"/>
              <w:left w:w="100" w:type="dxa"/>
              <w:right w:w="100" w:type="dxa"/>
            </w:tcMar>
          </w:tcPr>
          <w:p>
            <w:pPr>
              <w:spacing w:after="0"/>
            </w:pPr>
            <w:r>
              <w:rPr>
                <w:rFonts w:ascii="Arial" w:hAnsi="Arial"/>
                <w:b/>
                <w:color w:val="191C1E"/>
                <w:sz w:val="18"/>
              </w:rPr>
              <w:t>Portal Web Tenant</w:t>
            </w:r>
          </w:p>
        </w:tc>
        <w:tc>
          <w:tcPr>
            <w:tcW w:type="dxa" w:w="3168"/>
            <w:shd w:fill="FFFFFF"/>
            <w:tcMar>
              <w:top w:w="80" w:type="dxa"/>
              <w:bottom w:w="80" w:type="dxa"/>
              <w:left w:w="100" w:type="dxa"/>
              <w:right w:w="100" w:type="dxa"/>
            </w:tcMar>
          </w:tcPr>
          <w:p>
            <w:pPr>
              <w:spacing w:after="0"/>
            </w:pPr>
            <w:r>
              <w:rPr>
                <w:rFonts w:ascii="Arial" w:hAnsi="Arial"/>
                <w:color w:val="46554E"/>
                <w:sz w:val="18"/>
              </w:rPr>
              <w:t>React 19 + TypeScript + Vite</w:t>
              <w:br/>
              <w:t>Tailwind CSS + Leaflet</w:t>
            </w:r>
          </w:p>
        </w:tc>
        <w:tc>
          <w:tcPr>
            <w:tcW w:type="dxa" w:w="3600"/>
            <w:shd w:fill="FFFFFF"/>
            <w:tcMar>
              <w:top w:w="80" w:type="dxa"/>
              <w:bottom w:w="80" w:type="dxa"/>
              <w:left w:w="100" w:type="dxa"/>
              <w:right w:w="100" w:type="dxa"/>
            </w:tcMar>
          </w:tcPr>
          <w:p>
            <w:pPr>
              <w:spacing w:after="0"/>
            </w:pPr>
            <w:r>
              <w:rPr>
                <w:rFonts w:ascii="Arial" w:hAnsi="Arial"/>
                <w:color w:val="46554E"/>
                <w:sz w:val="18"/>
              </w:rPr>
              <w:t>Ecosistema web reactivo y veloz con renderizado cartográfico abierto y generación de reportes en PDF.</w:t>
            </w:r>
          </w:p>
        </w:tc>
      </w:tr>
      <w:tr>
        <w:tc>
          <w:tcPr>
            <w:tcW w:type="dxa" w:w="2592"/>
            <w:shd w:fill="F2F6F3"/>
            <w:tcMar>
              <w:top w:w="80" w:type="dxa"/>
              <w:bottom w:w="80" w:type="dxa"/>
              <w:left w:w="100" w:type="dxa"/>
              <w:right w:w="100" w:type="dxa"/>
            </w:tcMar>
          </w:tcPr>
          <w:p>
            <w:pPr>
              <w:spacing w:after="0"/>
            </w:pPr>
            <w:r>
              <w:rPr>
                <w:rFonts w:ascii="Arial" w:hAnsi="Arial"/>
                <w:b/>
                <w:color w:val="191C1E"/>
                <w:sz w:val="18"/>
              </w:rPr>
              <w:t>Consola SuperAdmin</w:t>
            </w:r>
          </w:p>
        </w:tc>
        <w:tc>
          <w:tcPr>
            <w:tcW w:type="dxa" w:w="3168"/>
            <w:shd w:fill="F2F6F3"/>
            <w:tcMar>
              <w:top w:w="80" w:type="dxa"/>
              <w:bottom w:w="80" w:type="dxa"/>
              <w:left w:w="100" w:type="dxa"/>
              <w:right w:w="100" w:type="dxa"/>
            </w:tcMar>
          </w:tcPr>
          <w:p>
            <w:pPr>
              <w:spacing w:after="0"/>
            </w:pPr>
            <w:r>
              <w:rPr>
                <w:rFonts w:ascii="Arial" w:hAnsi="Arial"/>
                <w:color w:val="46554E"/>
                <w:sz w:val="18"/>
              </w:rPr>
              <w:t>React 19 + TypeScript + Vite</w:t>
              <w:br/>
              <w:t>Recharts + Tailwind CSS</w:t>
            </w:r>
          </w:p>
        </w:tc>
        <w:tc>
          <w:tcPr>
            <w:tcW w:type="dxa" w:w="3600"/>
            <w:shd w:fill="F2F6F3"/>
            <w:tcMar>
              <w:top w:w="80" w:type="dxa"/>
              <w:bottom w:w="80" w:type="dxa"/>
              <w:left w:w="100" w:type="dxa"/>
              <w:right w:w="100" w:type="dxa"/>
            </w:tcMar>
          </w:tcPr>
          <w:p>
            <w:pPr>
              <w:spacing w:after="0"/>
            </w:pPr>
            <w:r>
              <w:rPr>
                <w:rFonts w:ascii="Arial" w:hAnsi="Arial"/>
                <w:color w:val="46554E"/>
                <w:sz w:val="18"/>
              </w:rPr>
              <w:t>Panel corporativo con telemetría visual, gráficos interactivos y control de accesos administrativos.</w:t>
            </w:r>
          </w:p>
        </w:tc>
      </w:tr>
      <w:tr>
        <w:tc>
          <w:tcPr>
            <w:tcW w:type="dxa" w:w="2592"/>
            <w:shd w:fill="FFFFFF"/>
            <w:tcMar>
              <w:top w:w="80" w:type="dxa"/>
              <w:bottom w:w="80" w:type="dxa"/>
              <w:left w:w="100" w:type="dxa"/>
              <w:right w:w="100" w:type="dxa"/>
            </w:tcMar>
          </w:tcPr>
          <w:p>
            <w:pPr>
              <w:spacing w:after="0"/>
            </w:pPr>
            <w:r>
              <w:rPr>
                <w:rFonts w:ascii="Arial" w:hAnsi="Arial"/>
                <w:b/>
                <w:color w:val="191C1E"/>
                <w:sz w:val="18"/>
              </w:rPr>
              <w:t>Backend &amp; Base de Datos</w:t>
            </w:r>
          </w:p>
        </w:tc>
        <w:tc>
          <w:tcPr>
            <w:tcW w:type="dxa" w:w="3168"/>
            <w:shd w:fill="FFFFFF"/>
            <w:tcMar>
              <w:top w:w="80" w:type="dxa"/>
              <w:bottom w:w="80" w:type="dxa"/>
              <w:left w:w="100" w:type="dxa"/>
              <w:right w:w="100" w:type="dxa"/>
            </w:tcMar>
          </w:tcPr>
          <w:p>
            <w:pPr>
              <w:spacing w:after="0"/>
            </w:pPr>
            <w:r>
              <w:rPr>
                <w:rFonts w:ascii="Arial" w:hAnsi="Arial"/>
                <w:color w:val="46554E"/>
                <w:sz w:val="18"/>
              </w:rPr>
              <w:t>Supabase + PostgreSQL 17</w:t>
              <w:br/>
              <w:t>Extensión Espacial PostGIS</w:t>
            </w:r>
          </w:p>
        </w:tc>
        <w:tc>
          <w:tcPr>
            <w:tcW w:type="dxa" w:w="3600"/>
            <w:shd w:fill="FFFFFF"/>
            <w:tcMar>
              <w:top w:w="80" w:type="dxa"/>
              <w:bottom w:w="80" w:type="dxa"/>
              <w:left w:w="100" w:type="dxa"/>
              <w:right w:w="100" w:type="dxa"/>
            </w:tcMar>
          </w:tcPr>
          <w:p>
            <w:pPr>
              <w:spacing w:after="0"/>
            </w:pPr>
            <w:r>
              <w:rPr>
                <w:rFonts w:ascii="Arial" w:hAnsi="Arial"/>
                <w:color w:val="46554E"/>
                <w:sz w:val="18"/>
              </w:rPr>
              <w:t>Base relacional empresarial con soporte para tipos espaciales GEOMETRY y Edge Functions sobre runtime Deno.</w:t>
            </w:r>
          </w:p>
        </w:tc>
      </w:tr>
      <w:tr>
        <w:tc>
          <w:tcPr>
            <w:tcW w:type="dxa" w:w="2592"/>
            <w:shd w:fill="F2F6F3"/>
            <w:tcMar>
              <w:top w:w="80" w:type="dxa"/>
              <w:bottom w:w="80" w:type="dxa"/>
              <w:left w:w="100" w:type="dxa"/>
              <w:right w:w="100" w:type="dxa"/>
            </w:tcMar>
          </w:tcPr>
          <w:p>
            <w:pPr>
              <w:spacing w:after="0"/>
            </w:pPr>
            <w:r>
              <w:rPr>
                <w:rFonts w:ascii="Arial" w:hAnsi="Arial"/>
                <w:b/>
                <w:color w:val="191C1E"/>
                <w:sz w:val="18"/>
              </w:rPr>
              <w:t>Motor de Inteligencia Artificial</w:t>
            </w:r>
          </w:p>
        </w:tc>
        <w:tc>
          <w:tcPr>
            <w:tcW w:type="dxa" w:w="3168"/>
            <w:shd w:fill="F2F6F3"/>
            <w:tcMar>
              <w:top w:w="80" w:type="dxa"/>
              <w:bottom w:w="80" w:type="dxa"/>
              <w:left w:w="100" w:type="dxa"/>
              <w:right w:w="100" w:type="dxa"/>
            </w:tcMar>
          </w:tcPr>
          <w:p>
            <w:pPr>
              <w:spacing w:after="0"/>
            </w:pPr>
            <w:r>
              <w:rPr>
                <w:rFonts w:ascii="Arial" w:hAnsi="Arial"/>
                <w:color w:val="46554E"/>
                <w:sz w:val="18"/>
              </w:rPr>
              <w:t>Google Gemini API</w:t>
              <w:br/>
              <w:t>(Gemini 3.5 Flash-Lite Multimodal)</w:t>
            </w:r>
          </w:p>
        </w:tc>
        <w:tc>
          <w:tcPr>
            <w:tcW w:type="dxa" w:w="3600"/>
            <w:shd w:fill="F2F6F3"/>
            <w:tcMar>
              <w:top w:w="80" w:type="dxa"/>
              <w:bottom w:w="80" w:type="dxa"/>
              <w:left w:w="100" w:type="dxa"/>
              <w:right w:w="100" w:type="dxa"/>
            </w:tcMar>
          </w:tcPr>
          <w:p>
            <w:pPr>
              <w:spacing w:after="0"/>
            </w:pPr>
            <w:r>
              <w:rPr>
                <w:rFonts w:ascii="Arial" w:hAnsi="Arial"/>
                <w:color w:val="46554E"/>
                <w:sz w:val="18"/>
              </w:rPr>
              <w:t>Inferencia de lenguaje y visión computacional en menos de 1.2 segundos con soporte de español rioplatense.</w:t>
            </w:r>
          </w:p>
        </w:tc>
      </w:tr>
    </w:tbl>
    <w:p>
      <w:pPr>
        <w:keepNext/>
        <w:spacing w:before="240" w:after="120"/>
      </w:pPr>
      <w:r>
        <w:rPr>
          <w:rFonts w:ascii="Arial" w:hAnsi="Arial"/>
          <w:b/>
          <w:color w:val="005AC2"/>
          <w:sz w:val="26"/>
        </w:rPr>
        <w:t>7.2. Infraestructura Serverless y Conectividad</w:t>
      </w:r>
    </w:p>
    <w:p>
      <w:pPr>
        <w:spacing w:after="120" w:line="300" w:lineRule="auto"/>
        <w:jc w:val="both"/>
      </w:pPr>
      <w:r>
        <w:rPr>
          <w:rFonts w:ascii="Arial" w:hAnsi="Arial"/>
          <w:color w:val="191C1E"/>
          <w:sz w:val="21"/>
        </w:rPr>
        <w:t>La arquitectura backend opera completamente sobre infraestructura cloud serverless de nivel internacional alojada en la región sa-east-1 (São Paulo, Brasil), minimizando la latencia hacia Argentina a menos de 45 ms. El despliegue de microservicios se organiza mediante Supabase Edge Functions ejecutadas sobre el runtime seguro Deno v1.40+, sin servidores físicos dedicados que mantener.</w:t>
      </w:r>
    </w:p>
    <w:p>
      <w:pPr>
        <w:spacing w:after="120" w:line="300" w:lineRule="auto"/>
        <w:jc w:val="both"/>
      </w:pPr>
      <w:r>
        <w:rPr>
          <w:rFonts w:ascii="Arial" w:hAnsi="Arial"/>
          <w:color w:val="191C1E"/>
          <w:sz w:val="21"/>
        </w:rPr>
        <w:t>Para las pruebas locales y presentaciones en vivo, los portales web se ejecutan en puertos estandarizados: Puerto 5173 para el Portal Operativo Tenant y Puerto 5174 para la Consola Central SuperAdmin, asegurando independencia operativa y ausencia de conflictos de puertos.</w:t>
      </w:r>
    </w:p>
    <w:p>
      <w:pPr>
        <w:keepNext/>
        <w:spacing w:before="240" w:after="120"/>
      </w:pPr>
      <w:r>
        <w:rPr>
          <w:rFonts w:ascii="Arial" w:hAnsi="Arial"/>
          <w:b/>
          <w:color w:val="005AC2"/>
          <w:sz w:val="26"/>
        </w:rPr>
        <w:t>7.3. Integraciones de Servicios Críticos</w:t>
      </w:r>
    </w:p>
    <w:p>
      <w:pPr>
        <w:pStyle w:val="ListBullet"/>
        <w:spacing w:after="80" w:line="288" w:lineRule="auto"/>
      </w:pPr>
      <w:r>
        <w:rPr>
          <w:rFonts w:ascii="Arial" w:hAnsi="Arial"/>
          <w:b/>
          <w:color w:val="191C1E"/>
          <w:sz w:val="20"/>
        </w:rPr>
        <w:t xml:space="preserve">Google Gemini API: </w:t>
      </w:r>
      <w:r>
        <w:rPr>
          <w:rFonts w:ascii="Arial" w:hAnsi="Arial"/>
          <w:color w:val="191C1E"/>
          <w:sz w:val="20"/>
        </w:rPr>
        <w:t>Consumo directo de la API REST v1beta de Google AI Studio con autenticación segura por variables de entorno (GEMINI_API_KEY).</w:t>
      </w:r>
    </w:p>
    <w:p>
      <w:pPr>
        <w:pStyle w:val="ListBullet"/>
        <w:spacing w:after="80" w:line="288" w:lineRule="auto"/>
      </w:pPr>
      <w:r>
        <w:rPr>
          <w:rFonts w:ascii="Arial" w:hAnsi="Arial"/>
          <w:b/>
          <w:color w:val="191C1E"/>
          <w:sz w:val="20"/>
        </w:rPr>
        <w:t xml:space="preserve">Google Maps Navigation: </w:t>
      </w:r>
      <w:r>
        <w:rPr>
          <w:rFonts w:ascii="Arial" w:hAnsi="Arial"/>
          <w:color w:val="191C1E"/>
          <w:sz w:val="20"/>
        </w:rPr>
        <w:t>Llamadas nativas mediante Android Intent con esquema 'google.navigation:q=lat,lng' para activar navegación por voz en tiempo real.</w:t>
      </w:r>
    </w:p>
    <w:p>
      <w:pPr>
        <w:pStyle w:val="ListBullet"/>
        <w:spacing w:after="80" w:line="288" w:lineRule="auto"/>
      </w:pPr>
      <w:r>
        <w:rPr>
          <w:rFonts w:ascii="Arial" w:hAnsi="Arial"/>
          <w:b/>
          <w:color w:val="191C1E"/>
          <w:sz w:val="20"/>
        </w:rPr>
        <w:t xml:space="preserve">OpenStreetMap Foundation: </w:t>
      </w:r>
      <w:r>
        <w:rPr>
          <w:rFonts w:ascii="Arial" w:hAnsi="Arial"/>
          <w:color w:val="191C1E"/>
          <w:sz w:val="20"/>
        </w:rPr>
        <w:t>Cartografía libre de OpenStreetMap renderizada en móvil con osmdroid y en web con Leaflet, evitando costos de facturación por visualización.</w:t>
      </w:r>
    </w:p>
    <w:p>
      <w:pPr>
        <w:pStyle w:val="ListBullet"/>
        <w:spacing w:after="80" w:line="288" w:lineRule="auto"/>
      </w:pPr>
      <w:r>
        <w:rPr>
          <w:rFonts w:ascii="Arial" w:hAnsi="Arial"/>
          <w:b/>
          <w:color w:val="191C1E"/>
          <w:sz w:val="20"/>
        </w:rPr>
        <w:t xml:space="preserve">ZXing (Zebra Crossing): </w:t>
      </w:r>
      <w:r>
        <w:rPr>
          <w:rFonts w:ascii="Arial" w:hAnsi="Arial"/>
          <w:color w:val="191C1E"/>
          <w:sz w:val="20"/>
        </w:rPr>
        <w:t>Librería estándar industrial en Android para generar mapas de bits de códigos QR y códigos de barras Code-128 para validación en caja.</w:t>
      </w:r>
    </w:p>
    <w:p>
      <w:r>
        <w:br w:type="page"/>
      </w:r>
    </w:p>
    <w:p>
      <w:pPr>
        <w:keepNext/>
        <w:spacing w:before="320" w:after="160"/>
      </w:pPr>
      <w:r>
        <w:rPr>
          <w:rFonts w:ascii="Arial" w:hAnsi="Arial"/>
          <w:b/>
          <w:color w:val="006C49"/>
          <w:sz w:val="32"/>
        </w:rPr>
        <w:t>8. IMPLEMENTACIÓN DE INTELIGENCIA ARTIFICIAL (GOOGLE GEMINI)</w:t>
      </w:r>
    </w:p>
    <w:p>
      <w:pPr>
        <w:keepNext/>
        <w:spacing w:before="240" w:after="120"/>
      </w:pPr>
      <w:r>
        <w:rPr>
          <w:rFonts w:ascii="Arial" w:hAnsi="Arial"/>
          <w:b/>
          <w:color w:val="005AC2"/>
          <w:sz w:val="26"/>
        </w:rPr>
        <w:t>8.1. Arquitectura de Inferencia Multimodal</w:t>
      </w:r>
    </w:p>
    <w:p>
      <w:pPr>
        <w:spacing w:after="120" w:line="300" w:lineRule="auto"/>
        <w:jc w:val="both"/>
      </w:pPr>
      <w:r>
        <w:rPr>
          <w:rFonts w:ascii="Arial" w:hAnsi="Arial"/>
          <w:color w:val="191C1E"/>
          <w:sz w:val="21"/>
        </w:rPr>
        <w:t>La versión 2.1 de EcoMapa consolidó la unificación completa de su motor de Inteligencia Artificial bajo la plataforma de Google Gemini, dejando atrás modelos previos de Groq Cloud / LLaMA que presentaban fallas de alucinación y falta de contexto geográfico en diálogos sencillos.</w:t>
      </w:r>
    </w:p>
    <w:p>
      <w:pPr>
        <w:spacing w:after="120" w:line="300" w:lineRule="auto"/>
        <w:jc w:val="both"/>
      </w:pPr>
      <w:r>
        <w:rPr>
          <w:rFonts w:ascii="Arial" w:hAnsi="Arial"/>
          <w:b/>
          <w:color w:val="191C1E"/>
          <w:sz w:val="21"/>
        </w:rPr>
        <w:t xml:space="preserve">Microservicios de IA: </w:t>
      </w:r>
      <w:r>
        <w:rPr>
          <w:rFonts w:ascii="Arial" w:hAnsi="Arial"/>
          <w:color w:val="191C1E"/>
          <w:sz w:val="21"/>
        </w:rPr>
        <w:t>El subsistema de IA se estructura a través de dos Supabase Edge Functions especializadas:</w:t>
      </w:r>
    </w:p>
    <w:p>
      <w:pPr>
        <w:pStyle w:val="ListBullet"/>
        <w:spacing w:after="80" w:line="288" w:lineRule="auto"/>
      </w:pPr>
      <w:r>
        <w:rPr>
          <w:rFonts w:ascii="Arial" w:hAnsi="Arial"/>
          <w:b/>
          <w:color w:val="191C1E"/>
          <w:sz w:val="20"/>
        </w:rPr>
        <w:t xml:space="preserve">1. Edge Function 'classify' (Chat Conversacional): </w:t>
      </w:r>
      <w:r>
        <w:rPr>
          <w:rFonts w:ascii="Arial" w:hAnsi="Arial"/>
          <w:color w:val="191C1E"/>
          <w:sz w:val="20"/>
        </w:rPr>
        <w:t>Atiende las consultas de texto y dudas del ciudadano. Analiza la intención del mensaje, distingue entre saludos cordiales y consultas sobre residuos, y contextualiza las respuestas con los puntos limpios más cercanos obtenidos de PostGIS.</w:t>
      </w:r>
    </w:p>
    <w:p>
      <w:pPr>
        <w:pStyle w:val="ListBullet"/>
        <w:spacing w:after="80" w:line="288" w:lineRule="auto"/>
      </w:pPr>
      <w:r>
        <w:rPr>
          <w:rFonts w:ascii="Arial" w:hAnsi="Arial"/>
          <w:b/>
          <w:color w:val="191C1E"/>
          <w:sz w:val="20"/>
        </w:rPr>
        <w:t xml:space="preserve">2. Edge Function 'classify-image' (Visión Computacional): </w:t>
      </w:r>
      <w:r>
        <w:rPr>
          <w:rFonts w:ascii="Arial" w:hAnsi="Arial"/>
          <w:color w:val="191C1E"/>
          <w:sz w:val="20"/>
        </w:rPr>
        <w:t>Recibe la imagen fotográfica capturada por la cámara del celular en Base64, analiza sus características visuales mediante Gemini Vision, clasifica el material y determina si debe ir a un contenedor físico o si califica como retiro a domicilio.</w:t>
      </w:r>
    </w:p>
    <w:p>
      <w:pPr>
        <w:keepNext/>
        <w:spacing w:before="240" w:after="120"/>
      </w:pPr>
      <w:r>
        <w:rPr>
          <w:rFonts w:ascii="Arial" w:hAnsi="Arial"/>
          <w:b/>
          <w:color w:val="005AC2"/>
          <w:sz w:val="26"/>
        </w:rPr>
        <w:t>8.2. Reglas de Comportamiento y Eliminación de Alucinaciones</w:t>
      </w:r>
    </w:p>
    <w:p>
      <w:pPr>
        <w:spacing w:after="120" w:line="300" w:lineRule="auto"/>
        <w:jc w:val="both"/>
      </w:pPr>
      <w:r>
        <w:rPr>
          <w:rFonts w:ascii="Arial" w:hAnsi="Arial"/>
          <w:b/>
          <w:color w:val="191C1E"/>
          <w:sz w:val="21"/>
        </w:rPr>
        <w:t xml:space="preserve">Directivas de Inferencia: </w:t>
      </w:r>
      <w:r>
        <w:rPr>
          <w:rFonts w:ascii="Arial" w:hAnsi="Arial"/>
          <w:color w:val="191C1E"/>
          <w:sz w:val="21"/>
        </w:rPr>
        <w:t>Para erradicar definitivamente respuestas descontextualizadas (como cuando un usuario decía 'hola' y la IA inventaba un material y le asignaba 20 puntos), se implementaron dos directivas algorítmicas estrictas en el System Prompt de Gemini:</w:t>
      </w:r>
    </w:p>
    <w:p>
      <w:pPr>
        <w:pStyle w:val="ListBullet"/>
        <w:spacing w:after="80" w:line="288" w:lineRule="auto"/>
      </w:pPr>
      <w:r>
        <w:rPr>
          <w:rFonts w:ascii="Arial" w:hAnsi="Arial"/>
          <w:b/>
          <w:color w:val="191C1E"/>
          <w:sz w:val="20"/>
        </w:rPr>
        <w:t xml:space="preserve">Regla 1 (Saludos y Consultas Generales): </w:t>
      </w:r>
      <w:r>
        <w:rPr>
          <w:rFonts w:ascii="Arial" w:hAnsi="Arial"/>
          <w:color w:val="191C1E"/>
          <w:sz w:val="20"/>
        </w:rPr>
        <w:t>Si el usuario envía un saludo ('hola', 'buenas tardes', 'cómo andás'), Gemini responde cordialmente por su nombre con modismos argentinos ('¡Qué hacés, Gerardo! Todo más que bien por acá...'), pregunta qué residuo desea descartar hoy y devuelve waste_type: null, suggested_point: null y ecopoints_earned: 0. La app detecta estos campos nulos y no dibuja tarjetas de contenedores falsas ni suma puntos indebidos.</w:t>
      </w:r>
    </w:p>
    <w:p>
      <w:pPr>
        <w:pStyle w:val="ListBullet"/>
        <w:spacing w:after="80" w:line="288" w:lineRule="auto"/>
      </w:pPr>
      <w:r>
        <w:rPr>
          <w:rFonts w:ascii="Arial" w:hAnsi="Arial"/>
          <w:b/>
          <w:color w:val="191C1E"/>
          <w:sz w:val="20"/>
        </w:rPr>
        <w:t xml:space="preserve">Regla 2 (Identificación Precisa de Materiales): </w:t>
      </w:r>
      <w:r>
        <w:rPr>
          <w:rFonts w:ascii="Arial" w:hAnsi="Arial"/>
          <w:color w:val="191C1E"/>
          <w:sz w:val="20"/>
        </w:rPr>
        <w:t>Si el usuario menciona un residuo (ej. 'tengo 3 botellas plásticas' o 'dónde tiro una batería de celular'), Gemini clasifica el material, selecciona el suggested_point de menor distancia kilométrica de la lista enviada por PostGIS, proporciona directivas de preparación y otorga entre 20 y 50 EcoPuntos.</w:t>
      </w:r>
    </w:p>
    <w:p>
      <w:pPr>
        <w:keepNext/>
        <w:spacing w:before="240" w:after="120"/>
      </w:pPr>
      <w:r>
        <w:rPr>
          <w:rFonts w:ascii="Arial" w:hAnsi="Arial"/>
          <w:b/>
          <w:color w:val="005AC2"/>
          <w:sz w:val="26"/>
        </w:rPr>
        <w:t>8.3. Módulo de Visión Computacional ('Analizá tu Residuo')</w:t>
      </w:r>
    </w:p>
    <w:p>
      <w:pPr>
        <w:spacing w:after="120" w:line="300" w:lineRule="auto"/>
        <w:jc w:val="both"/>
      </w:pPr>
      <w:r>
        <w:rPr>
          <w:rFonts w:ascii="Arial" w:hAnsi="Arial"/>
          <w:color w:val="191C1E"/>
          <w:sz w:val="21"/>
        </w:rPr>
        <w:t>El módulo de cámara de ScanScreen.kt permite fotografiar cualquier objeto en tiempo real. La imagen es procesada por el modelo gemini-3.5-flash-lite, evaluando texturas, etiquetas, materiales y dimensiones relativas. La IA categoriza el objeto en dos acciones excluyentes:</w:t>
      </w:r>
    </w:p>
    <w:p>
      <w:pPr>
        <w:pStyle w:val="ListBullet"/>
        <w:spacing w:after="80" w:line="288" w:lineRule="auto"/>
      </w:pPr>
      <w:r>
        <w:rPr>
          <w:rFonts w:ascii="Arial" w:hAnsi="Arial"/>
          <w:b/>
          <w:color w:val="191C1E"/>
          <w:sz w:val="20"/>
        </w:rPr>
        <w:t xml:space="preserve">Acción 'SOLICITAR_RETIRO': </w:t>
      </w:r>
      <w:r>
        <w:rPr>
          <w:rFonts w:ascii="Arial" w:hAnsi="Arial"/>
          <w:color w:val="191C1E"/>
          <w:sz w:val="20"/>
        </w:rPr>
        <w:t>Para objetos pesados (heladeras, lavarropas, sillones, colchones, escombros, restos de poda grande). La IA tranquiliza al vecino indicándole que las cuadrillas y vehículos municipales cuentan con equipamiento para retirarlo de su domicilio sin que deba cargarlo.</w:t>
      </w:r>
    </w:p>
    <w:p>
      <w:pPr>
        <w:pStyle w:val="ListBullet"/>
        <w:spacing w:after="80" w:line="288" w:lineRule="auto"/>
      </w:pPr>
      <w:r>
        <w:rPr>
          <w:rFonts w:ascii="Arial" w:hAnsi="Arial"/>
          <w:b/>
          <w:color w:val="191C1E"/>
          <w:sz w:val="20"/>
        </w:rPr>
        <w:t xml:space="preserve">Acción 'PUNTO_RECICLAJE': </w:t>
      </w:r>
      <w:r>
        <w:rPr>
          <w:rFonts w:ascii="Arial" w:hAnsi="Arial"/>
          <w:color w:val="191C1E"/>
          <w:sz w:val="20"/>
        </w:rPr>
        <w:t>Para materiales comunes que el vecino puede transportar a pie (botellas PET, latas de aluminio, frascos de vidrio, cajas de cartón, pilas y pequeños residuos electrónicos RAEE). La IA indica el color del contenedor y despliega el botón de GPS.</w:t>
      </w:r>
    </w:p>
    <w:p>
      <w:pPr>
        <w:keepNext/>
        <w:spacing w:before="240" w:after="120"/>
      </w:pPr>
      <w:r>
        <w:rPr>
          <w:rFonts w:ascii="Arial" w:hAnsi="Arial"/>
          <w:b/>
          <w:color w:val="005AC2"/>
          <w:sz w:val="26"/>
        </w:rPr>
        <w:t>8.4. Integración de Navegación GPS Turn-by-Turn por Google Maps</w:t>
      </w:r>
    </w:p>
    <w:p>
      <w:pPr>
        <w:spacing w:after="120" w:line="300" w:lineRule="auto"/>
        <w:jc w:val="both"/>
      </w:pPr>
      <w:r>
        <w:rPr>
          <w:rFonts w:ascii="Arial" w:hAnsi="Arial"/>
          <w:color w:val="191C1E"/>
          <w:sz w:val="21"/>
        </w:rPr>
        <w:t>Una de las mejoras más celebradas en las pruebas de campo fue la incorporación del botón principal '🧭 Cómo llegar al contenedor (Google Maps)' en la pantalla de resultado. Al ser presionado, la aplicación no se limita a mostrar un punto estático en el mapa: dispara un Intent nativo de Android hacia la aplicación Google Maps instalada en el dispositivo en modo navegación por voz en tiempo real ('google.navigation:q=lat,lng'), guiando al vecino calle por calle hasta el contenedor exacto.</w:t>
      </w:r>
    </w:p>
    <w:p>
      <w:r>
        <w:br w:type="page"/>
      </w:r>
    </w:p>
    <w:p>
      <w:pPr>
        <w:keepNext/>
        <w:spacing w:before="320" w:after="160"/>
      </w:pPr>
      <w:r>
        <w:rPr>
          <w:rFonts w:ascii="Arial" w:hAnsi="Arial"/>
          <w:b/>
          <w:color w:val="006C49"/>
          <w:sz w:val="32"/>
        </w:rPr>
        <w:t>9. BASE DE DATOS</w:t>
      </w:r>
    </w:p>
    <w:p>
      <w:pPr>
        <w:keepNext/>
        <w:spacing w:before="240" w:after="120"/>
      </w:pPr>
      <w:r>
        <w:rPr>
          <w:rFonts w:ascii="Arial" w:hAnsi="Arial"/>
          <w:b/>
          <w:color w:val="005AC2"/>
          <w:sz w:val="26"/>
        </w:rPr>
        <w:t>9.1. Motor Relacional PostgreSQL 17 y Extensión Espacial PostGIS</w:t>
      </w:r>
    </w:p>
    <w:p>
      <w:pPr>
        <w:spacing w:after="120" w:line="300" w:lineRule="auto"/>
        <w:jc w:val="both"/>
      </w:pPr>
      <w:r>
        <w:rPr>
          <w:rFonts w:ascii="Arial" w:hAnsi="Arial"/>
          <w:color w:val="191C1E"/>
          <w:sz w:val="21"/>
        </w:rPr>
        <w:t>La persistencia de la suite está soportada por PostgreSQL 17 administrado por Supabase con la extensión PostGIS activada (CREATE EXTENSION postgis;). Esto habilita el tipo geométrico nativo GEOMETRY(Point, 4326) para almacenar coordenadas bajo el elipsoide WGS 84, indexadas mediante árboles GiST (Generalized Search Tree) que permiten resolver consultas de proximidad sobre millones de puntos en menos de 10 milisegundos.</w:t>
      </w:r>
    </w:p>
    <w:p>
      <w:pPr>
        <w:keepNext/>
        <w:spacing w:before="240" w:after="120"/>
      </w:pPr>
      <w:r>
        <w:rPr>
          <w:rFonts w:ascii="Arial" w:hAnsi="Arial"/>
          <w:b/>
          <w:color w:val="005AC2"/>
          <w:sz w:val="26"/>
        </w:rPr>
        <w:t>9.2. Diccionario de Datos Completo</w:t>
      </w:r>
    </w:p>
    <w:p>
      <w:pPr>
        <w:keepNext/>
        <w:spacing w:before="160" w:after="80"/>
      </w:pPr>
      <w:r>
        <w:rPr>
          <w:rFonts w:ascii="Arial" w:hAnsi="Arial"/>
          <w:b/>
          <w:color w:val="191C1E"/>
          <w:sz w:val="22"/>
        </w:rPr>
        <w:t>Tabla: tenants (Municipios y Jurisdicciones)</w:t>
      </w:r>
    </w:p>
    <w:tbl>
      <w:tblPr>
        <w:tblW w:type="auto" w:w="0"/>
        <w:jc w:val="center"/>
        <w:tblLayout w:type="fixed"/>
        <w:tblLook w:firstColumn="1" w:firstRow="1" w:lastColumn="0" w:lastRow="0" w:noHBand="0" w:noVBand="1" w:val="04A0"/>
      </w:tblPr>
      <w:tblGrid>
        <w:gridCol w:w="3010"/>
        <w:gridCol w:w="3010"/>
        <w:gridCol w:w="3010"/>
      </w:tblGrid>
      <w:tr>
        <w:tc>
          <w:tcPr>
            <w:tcW w:type="dxa" w:w="2592"/>
            <w:shd w:fill="005AC2"/>
            <w:tcMar>
              <w:top w:w="80" w:type="dxa"/>
              <w:bottom w:w="80" w:type="dxa"/>
              <w:left w:w="100" w:type="dxa"/>
              <w:right w:w="100" w:type="dxa"/>
            </w:tcMar>
          </w:tcPr>
          <w:p>
            <w:r>
              <w:rPr>
                <w:rFonts w:ascii="Arial" w:hAnsi="Arial"/>
                <w:b/>
                <w:color w:val="FFFFFF"/>
                <w:sz w:val="18"/>
              </w:rPr>
              <w:t>Columna / Atributo</w:t>
            </w:r>
          </w:p>
        </w:tc>
        <w:tc>
          <w:tcPr>
            <w:tcW w:type="dxa" w:w="2016"/>
            <w:shd w:fill="005AC2"/>
            <w:tcMar>
              <w:top w:w="80" w:type="dxa"/>
              <w:bottom w:w="80" w:type="dxa"/>
              <w:left w:w="100" w:type="dxa"/>
              <w:right w:w="100" w:type="dxa"/>
            </w:tcMar>
          </w:tcPr>
          <w:p>
            <w:r>
              <w:rPr>
                <w:rFonts w:ascii="Arial" w:hAnsi="Arial"/>
                <w:b/>
                <w:color w:val="FFFFFF"/>
                <w:sz w:val="18"/>
              </w:rPr>
              <w:t>Tipo de Dato</w:t>
            </w:r>
          </w:p>
        </w:tc>
        <w:tc>
          <w:tcPr>
            <w:tcW w:type="dxa" w:w="4752"/>
            <w:shd w:fill="005AC2"/>
            <w:tcMar>
              <w:top w:w="80" w:type="dxa"/>
              <w:bottom w:w="80" w:type="dxa"/>
              <w:left w:w="100" w:type="dxa"/>
              <w:right w:w="100" w:type="dxa"/>
            </w:tcMar>
          </w:tcPr>
          <w:p>
            <w:r>
              <w:rPr>
                <w:rFonts w:ascii="Arial" w:hAnsi="Arial"/>
                <w:b/>
                <w:color w:val="FFFFFF"/>
                <w:sz w:val="18"/>
              </w:rPr>
              <w:t>Descripción / Restricción</w:t>
            </w:r>
          </w:p>
        </w:tc>
      </w:tr>
      <w:tr>
        <w:tc>
          <w:tcPr>
            <w:tcW w:type="dxa" w:w="2592"/>
            <w:shd w:fill="F2F6F3"/>
            <w:tcMar>
              <w:top w:w="60" w:type="dxa"/>
              <w:bottom w:w="60" w:type="dxa"/>
              <w:left w:w="80" w:type="dxa"/>
              <w:right w:w="80" w:type="dxa"/>
            </w:tcMar>
          </w:tcPr>
          <w:p>
            <w:r>
              <w:rPr>
                <w:rFonts w:ascii="Arial" w:hAnsi="Arial"/>
                <w:b/>
                <w:color w:val="191C1E"/>
                <w:sz w:val="17"/>
              </w:rPr>
              <w:t>id</w:t>
            </w:r>
          </w:p>
        </w:tc>
        <w:tc>
          <w:tcPr>
            <w:tcW w:type="dxa" w:w="2016"/>
            <w:shd w:fill="F2F6F3"/>
            <w:tcMar>
              <w:top w:w="60" w:type="dxa"/>
              <w:bottom w:w="60" w:type="dxa"/>
              <w:left w:w="80" w:type="dxa"/>
              <w:right w:w="80" w:type="dxa"/>
            </w:tcMar>
          </w:tcPr>
          <w:p>
            <w:r>
              <w:rPr>
                <w:rFonts w:ascii="Arial" w:hAnsi="Arial"/>
                <w:color w:val="46554E"/>
                <w:sz w:val="17"/>
              </w:rPr>
              <w:t>UUID (PK)</w:t>
            </w:r>
          </w:p>
        </w:tc>
        <w:tc>
          <w:tcPr>
            <w:tcW w:type="dxa" w:w="4752"/>
            <w:shd w:fill="F2F6F3"/>
            <w:tcMar>
              <w:top w:w="60" w:type="dxa"/>
              <w:bottom w:w="60" w:type="dxa"/>
              <w:left w:w="80" w:type="dxa"/>
              <w:right w:w="80" w:type="dxa"/>
            </w:tcMar>
          </w:tcPr>
          <w:p>
            <w:r>
              <w:rPr>
                <w:rFonts w:ascii="Arial" w:hAnsi="Arial"/>
                <w:color w:val="46554E"/>
                <w:sz w:val="17"/>
              </w:rPr>
              <w:t>Identificador único global del municipio o jurisdicción.</w:t>
            </w:r>
          </w:p>
        </w:tc>
      </w:tr>
      <w:tr>
        <w:tc>
          <w:tcPr>
            <w:tcW w:type="dxa" w:w="2592"/>
            <w:shd w:fill="FFFFFF"/>
            <w:tcMar>
              <w:top w:w="60" w:type="dxa"/>
              <w:bottom w:w="60" w:type="dxa"/>
              <w:left w:w="80" w:type="dxa"/>
              <w:right w:w="80" w:type="dxa"/>
            </w:tcMar>
          </w:tcPr>
          <w:p>
            <w:r>
              <w:rPr>
                <w:rFonts w:ascii="Arial" w:hAnsi="Arial"/>
                <w:b/>
                <w:color w:val="191C1E"/>
                <w:sz w:val="17"/>
              </w:rPr>
              <w:t>name</w:t>
            </w:r>
          </w:p>
        </w:tc>
        <w:tc>
          <w:tcPr>
            <w:tcW w:type="dxa" w:w="2016"/>
            <w:shd w:fill="FFFFFF"/>
            <w:tcMar>
              <w:top w:w="60" w:type="dxa"/>
              <w:bottom w:w="60" w:type="dxa"/>
              <w:left w:w="80" w:type="dxa"/>
              <w:right w:w="80" w:type="dxa"/>
            </w:tcMar>
          </w:tcPr>
          <w:p>
            <w:r>
              <w:rPr>
                <w:rFonts w:ascii="Arial" w:hAnsi="Arial"/>
                <w:color w:val="46554E"/>
                <w:sz w:val="17"/>
              </w:rPr>
              <w:t>VARCHAR(120)</w:t>
            </w:r>
          </w:p>
        </w:tc>
        <w:tc>
          <w:tcPr>
            <w:tcW w:type="dxa" w:w="4752"/>
            <w:shd w:fill="FFFFFF"/>
            <w:tcMar>
              <w:top w:w="60" w:type="dxa"/>
              <w:bottom w:w="60" w:type="dxa"/>
              <w:left w:w="80" w:type="dxa"/>
              <w:right w:w="80" w:type="dxa"/>
            </w:tcMar>
          </w:tcPr>
          <w:p>
            <w:r>
              <w:rPr>
                <w:rFonts w:ascii="Arial" w:hAnsi="Arial"/>
                <w:color w:val="46554E"/>
                <w:sz w:val="17"/>
              </w:rPr>
              <w:t>Nombre oficial (ej. 'Municipalidad de Villa del Rosario', 'Matorrales').</w:t>
            </w:r>
          </w:p>
        </w:tc>
      </w:tr>
      <w:tr>
        <w:tc>
          <w:tcPr>
            <w:tcW w:type="dxa" w:w="2592"/>
            <w:shd w:fill="F2F6F3"/>
            <w:tcMar>
              <w:top w:w="60" w:type="dxa"/>
              <w:bottom w:w="60" w:type="dxa"/>
              <w:left w:w="80" w:type="dxa"/>
              <w:right w:w="80" w:type="dxa"/>
            </w:tcMar>
          </w:tcPr>
          <w:p>
            <w:r>
              <w:rPr>
                <w:rFonts w:ascii="Arial" w:hAnsi="Arial"/>
                <w:b/>
                <w:color w:val="191C1E"/>
                <w:sz w:val="17"/>
              </w:rPr>
              <w:t>plan_saas</w:t>
            </w:r>
          </w:p>
        </w:tc>
        <w:tc>
          <w:tcPr>
            <w:tcW w:type="dxa" w:w="2016"/>
            <w:shd w:fill="F2F6F3"/>
            <w:tcMar>
              <w:top w:w="60" w:type="dxa"/>
              <w:bottom w:w="60" w:type="dxa"/>
              <w:left w:w="80" w:type="dxa"/>
              <w:right w:w="80" w:type="dxa"/>
            </w:tcMar>
          </w:tcPr>
          <w:p>
            <w:r>
              <w:rPr>
                <w:rFonts w:ascii="Arial" w:hAnsi="Arial"/>
                <w:color w:val="46554E"/>
                <w:sz w:val="17"/>
              </w:rPr>
              <w:t>VARCHAR(50)</w:t>
            </w:r>
          </w:p>
        </w:tc>
        <w:tc>
          <w:tcPr>
            <w:tcW w:type="dxa" w:w="4752"/>
            <w:shd w:fill="F2F6F3"/>
            <w:tcMar>
              <w:top w:w="60" w:type="dxa"/>
              <w:bottom w:w="60" w:type="dxa"/>
              <w:left w:w="80" w:type="dxa"/>
              <w:right w:w="80" w:type="dxa"/>
            </w:tcMar>
          </w:tcPr>
          <w:p>
            <w:r>
              <w:rPr>
                <w:rFonts w:ascii="Arial" w:hAnsi="Arial"/>
                <w:color w:val="46554E"/>
                <w:sz w:val="17"/>
              </w:rPr>
              <w:t>Nivel de suscripción comercial (base, ciudad_pro, triple_impacto).</w:t>
            </w:r>
          </w:p>
        </w:tc>
      </w:tr>
      <w:tr>
        <w:tc>
          <w:tcPr>
            <w:tcW w:type="dxa" w:w="2592"/>
            <w:shd w:fill="FFFFFF"/>
            <w:tcMar>
              <w:top w:w="60" w:type="dxa"/>
              <w:bottom w:w="60" w:type="dxa"/>
              <w:left w:w="80" w:type="dxa"/>
              <w:right w:w="80" w:type="dxa"/>
            </w:tcMar>
          </w:tcPr>
          <w:p>
            <w:r>
              <w:rPr>
                <w:rFonts w:ascii="Arial" w:hAnsi="Arial"/>
                <w:b/>
                <w:color w:val="191C1E"/>
                <w:sz w:val="17"/>
              </w:rPr>
              <w:t>max_containers</w:t>
            </w:r>
          </w:p>
        </w:tc>
        <w:tc>
          <w:tcPr>
            <w:tcW w:type="dxa" w:w="2016"/>
            <w:shd w:fill="FFFFFF"/>
            <w:tcMar>
              <w:top w:w="60" w:type="dxa"/>
              <w:bottom w:w="60" w:type="dxa"/>
              <w:left w:w="80" w:type="dxa"/>
              <w:right w:w="80" w:type="dxa"/>
            </w:tcMar>
          </w:tcPr>
          <w:p>
            <w:r>
              <w:rPr>
                <w:rFonts w:ascii="Arial" w:hAnsi="Arial"/>
                <w:color w:val="46554E"/>
                <w:sz w:val="17"/>
              </w:rPr>
              <w:t>INT</w:t>
            </w:r>
          </w:p>
        </w:tc>
        <w:tc>
          <w:tcPr>
            <w:tcW w:type="dxa" w:w="4752"/>
            <w:shd w:fill="FFFFFF"/>
            <w:tcMar>
              <w:top w:w="60" w:type="dxa"/>
              <w:bottom w:w="60" w:type="dxa"/>
              <w:left w:w="80" w:type="dxa"/>
              <w:right w:w="80" w:type="dxa"/>
            </w:tcMar>
          </w:tcPr>
          <w:p>
            <w:r>
              <w:rPr>
                <w:rFonts w:ascii="Arial" w:hAnsi="Arial"/>
                <w:color w:val="46554E"/>
                <w:sz w:val="17"/>
              </w:rPr>
              <w:t>Límite contractual de campanas activas permitidas.</w:t>
            </w:r>
          </w:p>
        </w:tc>
      </w:tr>
      <w:tr>
        <w:tc>
          <w:tcPr>
            <w:tcW w:type="dxa" w:w="2592"/>
            <w:shd w:fill="F2F6F3"/>
            <w:tcMar>
              <w:top w:w="60" w:type="dxa"/>
              <w:bottom w:w="60" w:type="dxa"/>
              <w:left w:w="80" w:type="dxa"/>
              <w:right w:w="80" w:type="dxa"/>
            </w:tcMar>
          </w:tcPr>
          <w:p>
            <w:r>
              <w:rPr>
                <w:rFonts w:ascii="Arial" w:hAnsi="Arial"/>
                <w:b/>
                <w:color w:val="191C1E"/>
                <w:sz w:val="17"/>
              </w:rPr>
              <w:t>max_ai_queries</w:t>
            </w:r>
          </w:p>
        </w:tc>
        <w:tc>
          <w:tcPr>
            <w:tcW w:type="dxa" w:w="2016"/>
            <w:shd w:fill="F2F6F3"/>
            <w:tcMar>
              <w:top w:w="60" w:type="dxa"/>
              <w:bottom w:w="60" w:type="dxa"/>
              <w:left w:w="80" w:type="dxa"/>
              <w:right w:w="80" w:type="dxa"/>
            </w:tcMar>
          </w:tcPr>
          <w:p>
            <w:r>
              <w:rPr>
                <w:rFonts w:ascii="Arial" w:hAnsi="Arial"/>
                <w:color w:val="46554E"/>
                <w:sz w:val="17"/>
              </w:rPr>
              <w:t>INT</w:t>
            </w:r>
          </w:p>
        </w:tc>
        <w:tc>
          <w:tcPr>
            <w:tcW w:type="dxa" w:w="4752"/>
            <w:shd w:fill="F2F6F3"/>
            <w:tcMar>
              <w:top w:w="60" w:type="dxa"/>
              <w:bottom w:w="60" w:type="dxa"/>
              <w:left w:w="80" w:type="dxa"/>
              <w:right w:w="80" w:type="dxa"/>
            </w:tcMar>
          </w:tcPr>
          <w:p>
            <w:r>
              <w:rPr>
                <w:rFonts w:ascii="Arial" w:hAnsi="Arial"/>
                <w:color w:val="46554E"/>
                <w:sz w:val="17"/>
              </w:rPr>
              <w:t>Cupo mensual contratado de consultas a Google Gemini.</w:t>
            </w:r>
          </w:p>
        </w:tc>
      </w:tr>
      <w:tr>
        <w:tc>
          <w:tcPr>
            <w:tcW w:type="dxa" w:w="2592"/>
            <w:shd w:fill="FFFFFF"/>
            <w:tcMar>
              <w:top w:w="60" w:type="dxa"/>
              <w:bottom w:w="60" w:type="dxa"/>
              <w:left w:w="80" w:type="dxa"/>
              <w:right w:w="80" w:type="dxa"/>
            </w:tcMar>
          </w:tcPr>
          <w:p>
            <w:r>
              <w:rPr>
                <w:rFonts w:ascii="Arial" w:hAnsi="Arial"/>
                <w:b/>
                <w:color w:val="191C1E"/>
                <w:sz w:val="17"/>
              </w:rPr>
              <w:t>created_at</w:t>
            </w:r>
          </w:p>
        </w:tc>
        <w:tc>
          <w:tcPr>
            <w:tcW w:type="dxa" w:w="2016"/>
            <w:shd w:fill="FFFFFF"/>
            <w:tcMar>
              <w:top w:w="60" w:type="dxa"/>
              <w:bottom w:w="60" w:type="dxa"/>
              <w:left w:w="80" w:type="dxa"/>
              <w:right w:w="80" w:type="dxa"/>
            </w:tcMar>
          </w:tcPr>
          <w:p>
            <w:r>
              <w:rPr>
                <w:rFonts w:ascii="Arial" w:hAnsi="Arial"/>
                <w:color w:val="46554E"/>
                <w:sz w:val="17"/>
              </w:rPr>
              <w:t>TIMESTAMPTZ</w:t>
            </w:r>
          </w:p>
        </w:tc>
        <w:tc>
          <w:tcPr>
            <w:tcW w:type="dxa" w:w="4752"/>
            <w:shd w:fill="FFFFFF"/>
            <w:tcMar>
              <w:top w:w="60" w:type="dxa"/>
              <w:bottom w:w="60" w:type="dxa"/>
              <w:left w:w="80" w:type="dxa"/>
              <w:right w:w="80" w:type="dxa"/>
            </w:tcMar>
          </w:tcPr>
          <w:p>
            <w:r>
              <w:rPr>
                <w:rFonts w:ascii="Arial" w:hAnsi="Arial"/>
                <w:color w:val="46554E"/>
                <w:sz w:val="17"/>
              </w:rPr>
              <w:t>Fecha y hora de alta institucional en la plataforma.</w:t>
            </w:r>
          </w:p>
        </w:tc>
      </w:tr>
    </w:tbl>
    <w:p>
      <w:pPr>
        <w:spacing w:after="80"/>
      </w:pPr>
    </w:p>
    <w:p>
      <w:pPr>
        <w:keepNext/>
        <w:spacing w:before="160" w:after="80"/>
      </w:pPr>
      <w:r>
        <w:rPr>
          <w:rFonts w:ascii="Arial" w:hAnsi="Arial"/>
          <w:b/>
          <w:color w:val="191C1E"/>
          <w:sz w:val="22"/>
        </w:rPr>
        <w:t>Tabla: recycling_points (Puntos Limpios y Contenedores)</w:t>
      </w:r>
    </w:p>
    <w:tbl>
      <w:tblPr>
        <w:tblW w:type="auto" w:w="0"/>
        <w:jc w:val="center"/>
        <w:tblLayout w:type="fixed"/>
        <w:tblLook w:firstColumn="1" w:firstRow="1" w:lastColumn="0" w:lastRow="0" w:noHBand="0" w:noVBand="1" w:val="04A0"/>
      </w:tblPr>
      <w:tblGrid>
        <w:gridCol w:w="3010"/>
        <w:gridCol w:w="3010"/>
        <w:gridCol w:w="3010"/>
      </w:tblGrid>
      <w:tr>
        <w:tc>
          <w:tcPr>
            <w:tcW w:type="dxa" w:w="2592"/>
            <w:shd w:fill="005AC2"/>
            <w:tcMar>
              <w:top w:w="80" w:type="dxa"/>
              <w:bottom w:w="80" w:type="dxa"/>
              <w:left w:w="100" w:type="dxa"/>
              <w:right w:w="100" w:type="dxa"/>
            </w:tcMar>
          </w:tcPr>
          <w:p>
            <w:r>
              <w:rPr>
                <w:rFonts w:ascii="Arial" w:hAnsi="Arial"/>
                <w:b/>
                <w:color w:val="FFFFFF"/>
                <w:sz w:val="18"/>
              </w:rPr>
              <w:t>Columna / Atributo</w:t>
            </w:r>
          </w:p>
        </w:tc>
        <w:tc>
          <w:tcPr>
            <w:tcW w:type="dxa" w:w="2016"/>
            <w:shd w:fill="005AC2"/>
            <w:tcMar>
              <w:top w:w="80" w:type="dxa"/>
              <w:bottom w:w="80" w:type="dxa"/>
              <w:left w:w="100" w:type="dxa"/>
              <w:right w:w="100" w:type="dxa"/>
            </w:tcMar>
          </w:tcPr>
          <w:p>
            <w:r>
              <w:rPr>
                <w:rFonts w:ascii="Arial" w:hAnsi="Arial"/>
                <w:b/>
                <w:color w:val="FFFFFF"/>
                <w:sz w:val="18"/>
              </w:rPr>
              <w:t>Tipo de Dato</w:t>
            </w:r>
          </w:p>
        </w:tc>
        <w:tc>
          <w:tcPr>
            <w:tcW w:type="dxa" w:w="4752"/>
            <w:shd w:fill="005AC2"/>
            <w:tcMar>
              <w:top w:w="80" w:type="dxa"/>
              <w:bottom w:w="80" w:type="dxa"/>
              <w:left w:w="100" w:type="dxa"/>
              <w:right w:w="100" w:type="dxa"/>
            </w:tcMar>
          </w:tcPr>
          <w:p>
            <w:r>
              <w:rPr>
                <w:rFonts w:ascii="Arial" w:hAnsi="Arial"/>
                <w:b/>
                <w:color w:val="FFFFFF"/>
                <w:sz w:val="18"/>
              </w:rPr>
              <w:t>Descripción / Restricción</w:t>
            </w:r>
          </w:p>
        </w:tc>
      </w:tr>
      <w:tr>
        <w:tc>
          <w:tcPr>
            <w:tcW w:type="dxa" w:w="2592"/>
            <w:shd w:fill="F2F6F3"/>
            <w:tcMar>
              <w:top w:w="60" w:type="dxa"/>
              <w:bottom w:w="60" w:type="dxa"/>
              <w:left w:w="80" w:type="dxa"/>
              <w:right w:w="80" w:type="dxa"/>
            </w:tcMar>
          </w:tcPr>
          <w:p>
            <w:r>
              <w:rPr>
                <w:rFonts w:ascii="Arial" w:hAnsi="Arial"/>
                <w:b/>
                <w:color w:val="191C1E"/>
                <w:sz w:val="17"/>
              </w:rPr>
              <w:t>id</w:t>
            </w:r>
          </w:p>
        </w:tc>
        <w:tc>
          <w:tcPr>
            <w:tcW w:type="dxa" w:w="2016"/>
            <w:shd w:fill="F2F6F3"/>
            <w:tcMar>
              <w:top w:w="60" w:type="dxa"/>
              <w:bottom w:w="60" w:type="dxa"/>
              <w:left w:w="80" w:type="dxa"/>
              <w:right w:w="80" w:type="dxa"/>
            </w:tcMar>
          </w:tcPr>
          <w:p>
            <w:r>
              <w:rPr>
                <w:rFonts w:ascii="Arial" w:hAnsi="Arial"/>
                <w:color w:val="46554E"/>
                <w:sz w:val="17"/>
              </w:rPr>
              <w:t>UUID (PK)</w:t>
            </w:r>
          </w:p>
        </w:tc>
        <w:tc>
          <w:tcPr>
            <w:tcW w:type="dxa" w:w="4752"/>
            <w:shd w:fill="F2F6F3"/>
            <w:tcMar>
              <w:top w:w="60" w:type="dxa"/>
              <w:bottom w:w="60" w:type="dxa"/>
              <w:left w:w="80" w:type="dxa"/>
              <w:right w:w="80" w:type="dxa"/>
            </w:tcMar>
          </w:tcPr>
          <w:p>
            <w:r>
              <w:rPr>
                <w:rFonts w:ascii="Arial" w:hAnsi="Arial"/>
                <w:color w:val="46554E"/>
                <w:sz w:val="17"/>
              </w:rPr>
              <w:t>Identificador único del contenedor de reciclaje.</w:t>
            </w:r>
          </w:p>
        </w:tc>
      </w:tr>
      <w:tr>
        <w:tc>
          <w:tcPr>
            <w:tcW w:type="dxa" w:w="2592"/>
            <w:shd w:fill="FFFFFF"/>
            <w:tcMar>
              <w:top w:w="60" w:type="dxa"/>
              <w:bottom w:w="60" w:type="dxa"/>
              <w:left w:w="80" w:type="dxa"/>
              <w:right w:w="80" w:type="dxa"/>
            </w:tcMar>
          </w:tcPr>
          <w:p>
            <w:r>
              <w:rPr>
                <w:rFonts w:ascii="Arial" w:hAnsi="Arial"/>
                <w:b/>
                <w:color w:val="191C1E"/>
                <w:sz w:val="17"/>
              </w:rPr>
              <w:t>tenant_id</w:t>
            </w:r>
          </w:p>
        </w:tc>
        <w:tc>
          <w:tcPr>
            <w:tcW w:type="dxa" w:w="2016"/>
            <w:shd w:fill="FFFFFF"/>
            <w:tcMar>
              <w:top w:w="60" w:type="dxa"/>
              <w:bottom w:w="60" w:type="dxa"/>
              <w:left w:w="80" w:type="dxa"/>
              <w:right w:w="80" w:type="dxa"/>
            </w:tcMar>
          </w:tcPr>
          <w:p>
            <w:r>
              <w:rPr>
                <w:rFonts w:ascii="Arial" w:hAnsi="Arial"/>
                <w:color w:val="46554E"/>
                <w:sz w:val="17"/>
              </w:rPr>
              <w:t>UUID (FK)</w:t>
            </w:r>
          </w:p>
        </w:tc>
        <w:tc>
          <w:tcPr>
            <w:tcW w:type="dxa" w:w="4752"/>
            <w:shd w:fill="FFFFFF"/>
            <w:tcMar>
              <w:top w:w="60" w:type="dxa"/>
              <w:bottom w:w="60" w:type="dxa"/>
              <w:left w:w="80" w:type="dxa"/>
              <w:right w:w="80" w:type="dxa"/>
            </w:tcMar>
          </w:tcPr>
          <w:p>
            <w:r>
              <w:rPr>
                <w:rFonts w:ascii="Arial" w:hAnsi="Arial"/>
                <w:color w:val="46554E"/>
                <w:sz w:val="17"/>
              </w:rPr>
              <w:t>Jurisdicción municipal responsable del contenedor.</w:t>
            </w:r>
          </w:p>
        </w:tc>
      </w:tr>
      <w:tr>
        <w:tc>
          <w:tcPr>
            <w:tcW w:type="dxa" w:w="2592"/>
            <w:shd w:fill="F2F6F3"/>
            <w:tcMar>
              <w:top w:w="60" w:type="dxa"/>
              <w:bottom w:w="60" w:type="dxa"/>
              <w:left w:w="80" w:type="dxa"/>
              <w:right w:w="80" w:type="dxa"/>
            </w:tcMar>
          </w:tcPr>
          <w:p>
            <w:r>
              <w:rPr>
                <w:rFonts w:ascii="Arial" w:hAnsi="Arial"/>
                <w:b/>
                <w:color w:val="191C1E"/>
                <w:sz w:val="17"/>
              </w:rPr>
              <w:t>name</w:t>
            </w:r>
          </w:p>
        </w:tc>
        <w:tc>
          <w:tcPr>
            <w:tcW w:type="dxa" w:w="2016"/>
            <w:shd w:fill="F2F6F3"/>
            <w:tcMar>
              <w:top w:w="60" w:type="dxa"/>
              <w:bottom w:w="60" w:type="dxa"/>
              <w:left w:w="80" w:type="dxa"/>
              <w:right w:w="80" w:type="dxa"/>
            </w:tcMar>
          </w:tcPr>
          <w:p>
            <w:r>
              <w:rPr>
                <w:rFonts w:ascii="Arial" w:hAnsi="Arial"/>
                <w:color w:val="46554E"/>
                <w:sz w:val="17"/>
              </w:rPr>
              <w:t>VARCHAR(150)</w:t>
            </w:r>
          </w:p>
        </w:tc>
        <w:tc>
          <w:tcPr>
            <w:tcW w:type="dxa" w:w="4752"/>
            <w:shd w:fill="F2F6F3"/>
            <w:tcMar>
              <w:top w:w="60" w:type="dxa"/>
              <w:bottom w:w="60" w:type="dxa"/>
              <w:left w:w="80" w:type="dxa"/>
              <w:right w:w="80" w:type="dxa"/>
            </w:tcMar>
          </w:tcPr>
          <w:p>
            <w:r>
              <w:rPr>
                <w:rFonts w:ascii="Arial" w:hAnsi="Arial"/>
                <w:color w:val="46554E"/>
                <w:sz w:val="17"/>
              </w:rPr>
              <w:t>Nombre descriptivo (ej. 'Campana Amarilla - Plaza San Martín').</w:t>
            </w:r>
          </w:p>
        </w:tc>
      </w:tr>
      <w:tr>
        <w:tc>
          <w:tcPr>
            <w:tcW w:type="dxa" w:w="2592"/>
            <w:shd w:fill="FFFFFF"/>
            <w:tcMar>
              <w:top w:w="60" w:type="dxa"/>
              <w:bottom w:w="60" w:type="dxa"/>
              <w:left w:w="80" w:type="dxa"/>
              <w:right w:w="80" w:type="dxa"/>
            </w:tcMar>
          </w:tcPr>
          <w:p>
            <w:r>
              <w:rPr>
                <w:rFonts w:ascii="Arial" w:hAnsi="Arial"/>
                <w:b/>
                <w:color w:val="191C1E"/>
                <w:sz w:val="17"/>
              </w:rPr>
              <w:t>type</w:t>
            </w:r>
          </w:p>
        </w:tc>
        <w:tc>
          <w:tcPr>
            <w:tcW w:type="dxa" w:w="2016"/>
            <w:shd w:fill="FFFFFF"/>
            <w:tcMar>
              <w:top w:w="60" w:type="dxa"/>
              <w:bottom w:w="60" w:type="dxa"/>
              <w:left w:w="80" w:type="dxa"/>
              <w:right w:w="80" w:type="dxa"/>
            </w:tcMar>
          </w:tcPr>
          <w:p>
            <w:r>
              <w:rPr>
                <w:rFonts w:ascii="Arial" w:hAnsi="Arial"/>
                <w:color w:val="46554E"/>
                <w:sz w:val="17"/>
              </w:rPr>
              <w:t>VARCHAR(50)</w:t>
            </w:r>
          </w:p>
        </w:tc>
        <w:tc>
          <w:tcPr>
            <w:tcW w:type="dxa" w:w="4752"/>
            <w:shd w:fill="FFFFFF"/>
            <w:tcMar>
              <w:top w:w="60" w:type="dxa"/>
              <w:bottom w:w="60" w:type="dxa"/>
              <w:left w:w="80" w:type="dxa"/>
              <w:right w:w="80" w:type="dxa"/>
            </w:tcMar>
          </w:tcPr>
          <w:p>
            <w:r>
              <w:rPr>
                <w:rFonts w:ascii="Arial" w:hAnsi="Arial"/>
                <w:color w:val="46554E"/>
                <w:sz w:val="17"/>
              </w:rPr>
              <w:t>Tipo de material (plastico, vidrio, papel_carton, electronico, organico).</w:t>
            </w:r>
          </w:p>
        </w:tc>
      </w:tr>
      <w:tr>
        <w:tc>
          <w:tcPr>
            <w:tcW w:type="dxa" w:w="2592"/>
            <w:shd w:fill="F2F6F3"/>
            <w:tcMar>
              <w:top w:w="60" w:type="dxa"/>
              <w:bottom w:w="60" w:type="dxa"/>
              <w:left w:w="80" w:type="dxa"/>
              <w:right w:w="80" w:type="dxa"/>
            </w:tcMar>
          </w:tcPr>
          <w:p>
            <w:r>
              <w:rPr>
                <w:rFonts w:ascii="Arial" w:hAnsi="Arial"/>
                <w:b/>
                <w:color w:val="191C1E"/>
                <w:sz w:val="17"/>
              </w:rPr>
              <w:t>color</w:t>
            </w:r>
          </w:p>
        </w:tc>
        <w:tc>
          <w:tcPr>
            <w:tcW w:type="dxa" w:w="2016"/>
            <w:shd w:fill="F2F6F3"/>
            <w:tcMar>
              <w:top w:w="60" w:type="dxa"/>
              <w:bottom w:w="60" w:type="dxa"/>
              <w:left w:w="80" w:type="dxa"/>
              <w:right w:w="80" w:type="dxa"/>
            </w:tcMar>
          </w:tcPr>
          <w:p>
            <w:r>
              <w:rPr>
                <w:rFonts w:ascii="Arial" w:hAnsi="Arial"/>
                <w:color w:val="46554E"/>
                <w:sz w:val="17"/>
              </w:rPr>
              <w:t>VARCHAR(30)</w:t>
            </w:r>
          </w:p>
        </w:tc>
        <w:tc>
          <w:tcPr>
            <w:tcW w:type="dxa" w:w="4752"/>
            <w:shd w:fill="F2F6F3"/>
            <w:tcMar>
              <w:top w:w="60" w:type="dxa"/>
              <w:bottom w:w="60" w:type="dxa"/>
              <w:left w:w="80" w:type="dxa"/>
              <w:right w:w="80" w:type="dxa"/>
            </w:tcMar>
          </w:tcPr>
          <w:p>
            <w:r>
              <w:rPr>
                <w:rFonts w:ascii="Arial" w:hAnsi="Arial"/>
                <w:color w:val="46554E"/>
                <w:sz w:val="17"/>
              </w:rPr>
              <w:t>Color identificatorio (amarillo, verde, azul, rojo, naranja, gris).</w:t>
            </w:r>
          </w:p>
        </w:tc>
      </w:tr>
      <w:tr>
        <w:tc>
          <w:tcPr>
            <w:tcW w:type="dxa" w:w="2592"/>
            <w:shd w:fill="FFFFFF"/>
            <w:tcMar>
              <w:top w:w="60" w:type="dxa"/>
              <w:bottom w:w="60" w:type="dxa"/>
              <w:left w:w="80" w:type="dxa"/>
              <w:right w:w="80" w:type="dxa"/>
            </w:tcMar>
          </w:tcPr>
          <w:p>
            <w:r>
              <w:rPr>
                <w:rFonts w:ascii="Arial" w:hAnsi="Arial"/>
                <w:b/>
                <w:color w:val="191C1E"/>
                <w:sz w:val="17"/>
              </w:rPr>
              <w:t>latitude</w:t>
            </w:r>
          </w:p>
        </w:tc>
        <w:tc>
          <w:tcPr>
            <w:tcW w:type="dxa" w:w="2016"/>
            <w:shd w:fill="FFFFFF"/>
            <w:tcMar>
              <w:top w:w="60" w:type="dxa"/>
              <w:bottom w:w="60" w:type="dxa"/>
              <w:left w:w="80" w:type="dxa"/>
              <w:right w:w="80" w:type="dxa"/>
            </w:tcMar>
          </w:tcPr>
          <w:p>
            <w:r>
              <w:rPr>
                <w:rFonts w:ascii="Arial" w:hAnsi="Arial"/>
                <w:color w:val="46554E"/>
                <w:sz w:val="17"/>
              </w:rPr>
              <w:t>NUMERIC(10,8)</w:t>
            </w:r>
          </w:p>
        </w:tc>
        <w:tc>
          <w:tcPr>
            <w:tcW w:type="dxa" w:w="4752"/>
            <w:shd w:fill="FFFFFF"/>
            <w:tcMar>
              <w:top w:w="60" w:type="dxa"/>
              <w:bottom w:w="60" w:type="dxa"/>
              <w:left w:w="80" w:type="dxa"/>
              <w:right w:w="80" w:type="dxa"/>
            </w:tcMar>
          </w:tcPr>
          <w:p>
            <w:r>
              <w:rPr>
                <w:rFonts w:ascii="Arial" w:hAnsi="Arial"/>
                <w:color w:val="46554E"/>
                <w:sz w:val="17"/>
              </w:rPr>
              <w:t>Coordenada de latitud GPS decimal.</w:t>
            </w:r>
          </w:p>
        </w:tc>
      </w:tr>
      <w:tr>
        <w:tc>
          <w:tcPr>
            <w:tcW w:type="dxa" w:w="2592"/>
            <w:shd w:fill="F2F6F3"/>
            <w:tcMar>
              <w:top w:w="60" w:type="dxa"/>
              <w:bottom w:w="60" w:type="dxa"/>
              <w:left w:w="80" w:type="dxa"/>
              <w:right w:w="80" w:type="dxa"/>
            </w:tcMar>
          </w:tcPr>
          <w:p>
            <w:r>
              <w:rPr>
                <w:rFonts w:ascii="Arial" w:hAnsi="Arial"/>
                <w:b/>
                <w:color w:val="191C1E"/>
                <w:sz w:val="17"/>
              </w:rPr>
              <w:t>longitude</w:t>
            </w:r>
          </w:p>
        </w:tc>
        <w:tc>
          <w:tcPr>
            <w:tcW w:type="dxa" w:w="2016"/>
            <w:shd w:fill="F2F6F3"/>
            <w:tcMar>
              <w:top w:w="60" w:type="dxa"/>
              <w:bottom w:w="60" w:type="dxa"/>
              <w:left w:w="80" w:type="dxa"/>
              <w:right w:w="80" w:type="dxa"/>
            </w:tcMar>
          </w:tcPr>
          <w:p>
            <w:r>
              <w:rPr>
                <w:rFonts w:ascii="Arial" w:hAnsi="Arial"/>
                <w:color w:val="46554E"/>
                <w:sz w:val="17"/>
              </w:rPr>
              <w:t>NUMERIC(11,8)</w:t>
            </w:r>
          </w:p>
        </w:tc>
        <w:tc>
          <w:tcPr>
            <w:tcW w:type="dxa" w:w="4752"/>
            <w:shd w:fill="F2F6F3"/>
            <w:tcMar>
              <w:top w:w="60" w:type="dxa"/>
              <w:bottom w:w="60" w:type="dxa"/>
              <w:left w:w="80" w:type="dxa"/>
              <w:right w:w="80" w:type="dxa"/>
            </w:tcMar>
          </w:tcPr>
          <w:p>
            <w:r>
              <w:rPr>
                <w:rFonts w:ascii="Arial" w:hAnsi="Arial"/>
                <w:color w:val="46554E"/>
                <w:sz w:val="17"/>
              </w:rPr>
              <w:t>Coordenada de longitud GPS decimal.</w:t>
            </w:r>
          </w:p>
        </w:tc>
      </w:tr>
      <w:tr>
        <w:tc>
          <w:tcPr>
            <w:tcW w:type="dxa" w:w="2592"/>
            <w:shd w:fill="FFFFFF"/>
            <w:tcMar>
              <w:top w:w="60" w:type="dxa"/>
              <w:bottom w:w="60" w:type="dxa"/>
              <w:left w:w="80" w:type="dxa"/>
              <w:right w:w="80" w:type="dxa"/>
            </w:tcMar>
          </w:tcPr>
          <w:p>
            <w:r>
              <w:rPr>
                <w:rFonts w:ascii="Arial" w:hAnsi="Arial"/>
                <w:b/>
                <w:color w:val="191C1E"/>
                <w:sz w:val="17"/>
              </w:rPr>
              <w:t>geom</w:t>
            </w:r>
          </w:p>
        </w:tc>
        <w:tc>
          <w:tcPr>
            <w:tcW w:type="dxa" w:w="2016"/>
            <w:shd w:fill="FFFFFF"/>
            <w:tcMar>
              <w:top w:w="60" w:type="dxa"/>
              <w:bottom w:w="60" w:type="dxa"/>
              <w:left w:w="80" w:type="dxa"/>
              <w:right w:w="80" w:type="dxa"/>
            </w:tcMar>
          </w:tcPr>
          <w:p>
            <w:r>
              <w:rPr>
                <w:rFonts w:ascii="Arial" w:hAnsi="Arial"/>
                <w:color w:val="46554E"/>
                <w:sz w:val="17"/>
              </w:rPr>
              <w:t>GEOMETRY(Point,4326)</w:t>
            </w:r>
          </w:p>
        </w:tc>
        <w:tc>
          <w:tcPr>
            <w:tcW w:type="dxa" w:w="4752"/>
            <w:shd w:fill="FFFFFF"/>
            <w:tcMar>
              <w:top w:w="60" w:type="dxa"/>
              <w:bottom w:w="60" w:type="dxa"/>
              <w:left w:w="80" w:type="dxa"/>
              <w:right w:w="80" w:type="dxa"/>
            </w:tcMar>
          </w:tcPr>
          <w:p>
            <w:r>
              <w:rPr>
                <w:rFonts w:ascii="Arial" w:hAnsi="Arial"/>
                <w:color w:val="46554E"/>
                <w:sz w:val="17"/>
              </w:rPr>
              <w:t>Columna geoespacial calculada automáticamente para PostGIS.</w:t>
            </w:r>
          </w:p>
        </w:tc>
      </w:tr>
      <w:tr>
        <w:tc>
          <w:tcPr>
            <w:tcW w:type="dxa" w:w="2592"/>
            <w:shd w:fill="F2F6F3"/>
            <w:tcMar>
              <w:top w:w="60" w:type="dxa"/>
              <w:bottom w:w="60" w:type="dxa"/>
              <w:left w:w="80" w:type="dxa"/>
              <w:right w:w="80" w:type="dxa"/>
            </w:tcMar>
          </w:tcPr>
          <w:p>
            <w:r>
              <w:rPr>
                <w:rFonts w:ascii="Arial" w:hAnsi="Arial"/>
                <w:b/>
                <w:color w:val="191C1E"/>
                <w:sz w:val="17"/>
              </w:rPr>
              <w:t>address</w:t>
            </w:r>
          </w:p>
        </w:tc>
        <w:tc>
          <w:tcPr>
            <w:tcW w:type="dxa" w:w="2016"/>
            <w:shd w:fill="F2F6F3"/>
            <w:tcMar>
              <w:top w:w="60" w:type="dxa"/>
              <w:bottom w:w="60" w:type="dxa"/>
              <w:left w:w="80" w:type="dxa"/>
              <w:right w:w="80" w:type="dxa"/>
            </w:tcMar>
          </w:tcPr>
          <w:p>
            <w:r>
              <w:rPr>
                <w:rFonts w:ascii="Arial" w:hAnsi="Arial"/>
                <w:color w:val="46554E"/>
                <w:sz w:val="17"/>
              </w:rPr>
              <w:t>TEXT</w:t>
            </w:r>
          </w:p>
        </w:tc>
        <w:tc>
          <w:tcPr>
            <w:tcW w:type="dxa" w:w="4752"/>
            <w:shd w:fill="F2F6F3"/>
            <w:tcMar>
              <w:top w:w="60" w:type="dxa"/>
              <w:bottom w:w="60" w:type="dxa"/>
              <w:left w:w="80" w:type="dxa"/>
              <w:right w:w="80" w:type="dxa"/>
            </w:tcMar>
          </w:tcPr>
          <w:p>
            <w:r>
              <w:rPr>
                <w:rFonts w:ascii="Arial" w:hAnsi="Arial"/>
                <w:color w:val="46554E"/>
                <w:sz w:val="17"/>
              </w:rPr>
              <w:t>Dirección o referencia física territorial.</w:t>
            </w:r>
          </w:p>
        </w:tc>
      </w:tr>
      <w:tr>
        <w:tc>
          <w:tcPr>
            <w:tcW w:type="dxa" w:w="2592"/>
            <w:shd w:fill="FFFFFF"/>
            <w:tcMar>
              <w:top w:w="60" w:type="dxa"/>
              <w:bottom w:w="60" w:type="dxa"/>
              <w:left w:w="80" w:type="dxa"/>
              <w:right w:w="80" w:type="dxa"/>
            </w:tcMar>
          </w:tcPr>
          <w:p>
            <w:r>
              <w:rPr>
                <w:rFonts w:ascii="Arial" w:hAnsi="Arial"/>
                <w:b/>
                <w:color w:val="191C1E"/>
                <w:sz w:val="17"/>
              </w:rPr>
              <w:t>is_active</w:t>
            </w:r>
          </w:p>
        </w:tc>
        <w:tc>
          <w:tcPr>
            <w:tcW w:type="dxa" w:w="2016"/>
            <w:shd w:fill="FFFFFF"/>
            <w:tcMar>
              <w:top w:w="60" w:type="dxa"/>
              <w:bottom w:w="60" w:type="dxa"/>
              <w:left w:w="80" w:type="dxa"/>
              <w:right w:w="80" w:type="dxa"/>
            </w:tcMar>
          </w:tcPr>
          <w:p>
            <w:r>
              <w:rPr>
                <w:rFonts w:ascii="Arial" w:hAnsi="Arial"/>
                <w:color w:val="46554E"/>
                <w:sz w:val="17"/>
              </w:rPr>
              <w:t>BOOLEAN</w:t>
            </w:r>
          </w:p>
        </w:tc>
        <w:tc>
          <w:tcPr>
            <w:tcW w:type="dxa" w:w="4752"/>
            <w:shd w:fill="FFFFFF"/>
            <w:tcMar>
              <w:top w:w="60" w:type="dxa"/>
              <w:bottom w:w="60" w:type="dxa"/>
              <w:left w:w="80" w:type="dxa"/>
              <w:right w:w="80" w:type="dxa"/>
            </w:tcMar>
          </w:tcPr>
          <w:p>
            <w:r>
              <w:rPr>
                <w:rFonts w:ascii="Arial" w:hAnsi="Arial"/>
                <w:color w:val="46554E"/>
                <w:sz w:val="17"/>
              </w:rPr>
              <w:t>Indica si el contenedor está físicamente habilitado en la vía pública.</w:t>
            </w:r>
          </w:p>
        </w:tc>
      </w:tr>
      <w:tr>
        <w:tc>
          <w:tcPr>
            <w:tcW w:type="dxa" w:w="2592"/>
            <w:shd w:fill="F2F6F3"/>
            <w:tcMar>
              <w:top w:w="60" w:type="dxa"/>
              <w:bottom w:w="60" w:type="dxa"/>
              <w:left w:w="80" w:type="dxa"/>
              <w:right w:w="80" w:type="dxa"/>
            </w:tcMar>
          </w:tcPr>
          <w:p>
            <w:r>
              <w:rPr>
                <w:rFonts w:ascii="Arial" w:hAnsi="Arial"/>
                <w:b/>
                <w:color w:val="191C1E"/>
                <w:sz w:val="17"/>
              </w:rPr>
              <w:t>is_approved</w:t>
            </w:r>
          </w:p>
        </w:tc>
        <w:tc>
          <w:tcPr>
            <w:tcW w:type="dxa" w:w="2016"/>
            <w:shd w:fill="F2F6F3"/>
            <w:tcMar>
              <w:top w:w="60" w:type="dxa"/>
              <w:bottom w:w="60" w:type="dxa"/>
              <w:left w:w="80" w:type="dxa"/>
              <w:right w:w="80" w:type="dxa"/>
            </w:tcMar>
          </w:tcPr>
          <w:p>
            <w:r>
              <w:rPr>
                <w:rFonts w:ascii="Arial" w:hAnsi="Arial"/>
                <w:color w:val="46554E"/>
                <w:sz w:val="17"/>
              </w:rPr>
              <w:t>BOOLEAN</w:t>
            </w:r>
          </w:p>
        </w:tc>
        <w:tc>
          <w:tcPr>
            <w:tcW w:type="dxa" w:w="4752"/>
            <w:shd w:fill="F2F6F3"/>
            <w:tcMar>
              <w:top w:w="60" w:type="dxa"/>
              <w:bottom w:w="60" w:type="dxa"/>
              <w:left w:w="80" w:type="dxa"/>
              <w:right w:w="80" w:type="dxa"/>
            </w:tcMar>
          </w:tcPr>
          <w:p>
            <w:r>
              <w:rPr>
                <w:rFonts w:ascii="Arial" w:hAnsi="Arial"/>
                <w:color w:val="46554E"/>
                <w:sz w:val="17"/>
              </w:rPr>
              <w:t>Aprobación formal por parte de la secretaría de ambiente.</w:t>
            </w:r>
          </w:p>
        </w:tc>
      </w:tr>
    </w:tbl>
    <w:p>
      <w:pPr>
        <w:spacing w:after="80"/>
      </w:pPr>
    </w:p>
    <w:p>
      <w:pPr>
        <w:keepNext/>
        <w:spacing w:before="160" w:after="80"/>
      </w:pPr>
      <w:r>
        <w:rPr>
          <w:rFonts w:ascii="Arial" w:hAnsi="Arial"/>
          <w:b/>
          <w:color w:val="191C1E"/>
          <w:sz w:val="22"/>
        </w:rPr>
        <w:t>Tabla: pickup_requests (Solicitudes de Retiro Domiciliario)</w:t>
      </w:r>
    </w:p>
    <w:tbl>
      <w:tblPr>
        <w:tblW w:type="auto" w:w="0"/>
        <w:jc w:val="center"/>
        <w:tblLayout w:type="fixed"/>
        <w:tblLook w:firstColumn="1" w:firstRow="1" w:lastColumn="0" w:lastRow="0" w:noHBand="0" w:noVBand="1" w:val="04A0"/>
      </w:tblPr>
      <w:tblGrid>
        <w:gridCol w:w="3010"/>
        <w:gridCol w:w="3010"/>
        <w:gridCol w:w="3010"/>
      </w:tblGrid>
      <w:tr>
        <w:tc>
          <w:tcPr>
            <w:tcW w:type="dxa" w:w="2592"/>
            <w:shd w:fill="005AC2"/>
            <w:tcMar>
              <w:top w:w="80" w:type="dxa"/>
              <w:bottom w:w="80" w:type="dxa"/>
              <w:left w:w="100" w:type="dxa"/>
              <w:right w:w="100" w:type="dxa"/>
            </w:tcMar>
          </w:tcPr>
          <w:p>
            <w:r>
              <w:rPr>
                <w:rFonts w:ascii="Arial" w:hAnsi="Arial"/>
                <w:b/>
                <w:color w:val="FFFFFF"/>
                <w:sz w:val="18"/>
              </w:rPr>
              <w:t>Columna / Atributo</w:t>
            </w:r>
          </w:p>
        </w:tc>
        <w:tc>
          <w:tcPr>
            <w:tcW w:type="dxa" w:w="2016"/>
            <w:shd w:fill="005AC2"/>
            <w:tcMar>
              <w:top w:w="80" w:type="dxa"/>
              <w:bottom w:w="80" w:type="dxa"/>
              <w:left w:w="100" w:type="dxa"/>
              <w:right w:w="100" w:type="dxa"/>
            </w:tcMar>
          </w:tcPr>
          <w:p>
            <w:r>
              <w:rPr>
                <w:rFonts w:ascii="Arial" w:hAnsi="Arial"/>
                <w:b/>
                <w:color w:val="FFFFFF"/>
                <w:sz w:val="18"/>
              </w:rPr>
              <w:t>Tipo de Dato</w:t>
            </w:r>
          </w:p>
        </w:tc>
        <w:tc>
          <w:tcPr>
            <w:tcW w:type="dxa" w:w="4752"/>
            <w:shd w:fill="005AC2"/>
            <w:tcMar>
              <w:top w:w="80" w:type="dxa"/>
              <w:bottom w:w="80" w:type="dxa"/>
              <w:left w:w="100" w:type="dxa"/>
              <w:right w:w="100" w:type="dxa"/>
            </w:tcMar>
          </w:tcPr>
          <w:p>
            <w:r>
              <w:rPr>
                <w:rFonts w:ascii="Arial" w:hAnsi="Arial"/>
                <w:b/>
                <w:color w:val="FFFFFF"/>
                <w:sz w:val="18"/>
              </w:rPr>
              <w:t>Descripción / Restricción</w:t>
            </w:r>
          </w:p>
        </w:tc>
      </w:tr>
      <w:tr>
        <w:tc>
          <w:tcPr>
            <w:tcW w:type="dxa" w:w="2592"/>
            <w:shd w:fill="F2F6F3"/>
            <w:tcMar>
              <w:top w:w="60" w:type="dxa"/>
              <w:bottom w:w="60" w:type="dxa"/>
              <w:left w:w="80" w:type="dxa"/>
              <w:right w:w="80" w:type="dxa"/>
            </w:tcMar>
          </w:tcPr>
          <w:p>
            <w:r>
              <w:rPr>
                <w:rFonts w:ascii="Arial" w:hAnsi="Arial"/>
                <w:b/>
                <w:color w:val="191C1E"/>
                <w:sz w:val="17"/>
              </w:rPr>
              <w:t>id</w:t>
            </w:r>
          </w:p>
        </w:tc>
        <w:tc>
          <w:tcPr>
            <w:tcW w:type="dxa" w:w="2016"/>
            <w:shd w:fill="F2F6F3"/>
            <w:tcMar>
              <w:top w:w="60" w:type="dxa"/>
              <w:bottom w:w="60" w:type="dxa"/>
              <w:left w:w="80" w:type="dxa"/>
              <w:right w:w="80" w:type="dxa"/>
            </w:tcMar>
          </w:tcPr>
          <w:p>
            <w:r>
              <w:rPr>
                <w:rFonts w:ascii="Arial" w:hAnsi="Arial"/>
                <w:color w:val="46554E"/>
                <w:sz w:val="17"/>
              </w:rPr>
              <w:t>UUID (PK)</w:t>
            </w:r>
          </w:p>
        </w:tc>
        <w:tc>
          <w:tcPr>
            <w:tcW w:type="dxa" w:w="4752"/>
            <w:shd w:fill="F2F6F3"/>
            <w:tcMar>
              <w:top w:w="60" w:type="dxa"/>
              <w:bottom w:w="60" w:type="dxa"/>
              <w:left w:w="80" w:type="dxa"/>
              <w:right w:w="80" w:type="dxa"/>
            </w:tcMar>
          </w:tcPr>
          <w:p>
            <w:r>
              <w:rPr>
                <w:rFonts w:ascii="Arial" w:hAnsi="Arial"/>
                <w:color w:val="46554E"/>
                <w:sz w:val="17"/>
              </w:rPr>
              <w:t>Identificador único de la orden de retiro.</w:t>
            </w:r>
          </w:p>
        </w:tc>
      </w:tr>
      <w:tr>
        <w:tc>
          <w:tcPr>
            <w:tcW w:type="dxa" w:w="2592"/>
            <w:shd w:fill="FFFFFF"/>
            <w:tcMar>
              <w:top w:w="60" w:type="dxa"/>
              <w:bottom w:w="60" w:type="dxa"/>
              <w:left w:w="80" w:type="dxa"/>
              <w:right w:w="80" w:type="dxa"/>
            </w:tcMar>
          </w:tcPr>
          <w:p>
            <w:r>
              <w:rPr>
                <w:rFonts w:ascii="Arial" w:hAnsi="Arial"/>
                <w:b/>
                <w:color w:val="191C1E"/>
                <w:sz w:val="17"/>
              </w:rPr>
              <w:t>tenant_id</w:t>
            </w:r>
          </w:p>
        </w:tc>
        <w:tc>
          <w:tcPr>
            <w:tcW w:type="dxa" w:w="2016"/>
            <w:shd w:fill="FFFFFF"/>
            <w:tcMar>
              <w:top w:w="60" w:type="dxa"/>
              <w:bottom w:w="60" w:type="dxa"/>
              <w:left w:w="80" w:type="dxa"/>
              <w:right w:w="80" w:type="dxa"/>
            </w:tcMar>
          </w:tcPr>
          <w:p>
            <w:r>
              <w:rPr>
                <w:rFonts w:ascii="Arial" w:hAnsi="Arial"/>
                <w:color w:val="46554E"/>
                <w:sz w:val="17"/>
              </w:rPr>
              <w:t>UUID (FK)</w:t>
            </w:r>
          </w:p>
        </w:tc>
        <w:tc>
          <w:tcPr>
            <w:tcW w:type="dxa" w:w="4752"/>
            <w:shd w:fill="FFFFFF"/>
            <w:tcMar>
              <w:top w:w="60" w:type="dxa"/>
              <w:bottom w:w="60" w:type="dxa"/>
              <w:left w:w="80" w:type="dxa"/>
              <w:right w:w="80" w:type="dxa"/>
            </w:tcMar>
          </w:tcPr>
          <w:p>
            <w:r>
              <w:rPr>
                <w:rFonts w:ascii="Arial" w:hAnsi="Arial"/>
                <w:color w:val="46554E"/>
                <w:sz w:val="17"/>
              </w:rPr>
              <w:t>Municipio asignado para la recolección.</w:t>
            </w:r>
          </w:p>
        </w:tc>
      </w:tr>
      <w:tr>
        <w:tc>
          <w:tcPr>
            <w:tcW w:type="dxa" w:w="2592"/>
            <w:shd w:fill="F2F6F3"/>
            <w:tcMar>
              <w:top w:w="60" w:type="dxa"/>
              <w:bottom w:w="60" w:type="dxa"/>
              <w:left w:w="80" w:type="dxa"/>
              <w:right w:w="80" w:type="dxa"/>
            </w:tcMar>
          </w:tcPr>
          <w:p>
            <w:r>
              <w:rPr>
                <w:rFonts w:ascii="Arial" w:hAnsi="Arial"/>
                <w:b/>
                <w:color w:val="191C1E"/>
                <w:sz w:val="17"/>
              </w:rPr>
              <w:t>waste_type</w:t>
            </w:r>
          </w:p>
        </w:tc>
        <w:tc>
          <w:tcPr>
            <w:tcW w:type="dxa" w:w="2016"/>
            <w:shd w:fill="F2F6F3"/>
            <w:tcMar>
              <w:top w:w="60" w:type="dxa"/>
              <w:bottom w:w="60" w:type="dxa"/>
              <w:left w:w="80" w:type="dxa"/>
              <w:right w:w="80" w:type="dxa"/>
            </w:tcMar>
          </w:tcPr>
          <w:p>
            <w:r>
              <w:rPr>
                <w:rFonts w:ascii="Arial" w:hAnsi="Arial"/>
                <w:color w:val="46554E"/>
                <w:sz w:val="17"/>
              </w:rPr>
              <w:t>VARCHAR(80)</w:t>
            </w:r>
          </w:p>
        </w:tc>
        <w:tc>
          <w:tcPr>
            <w:tcW w:type="dxa" w:w="4752"/>
            <w:shd w:fill="F2F6F3"/>
            <w:tcMar>
              <w:top w:w="60" w:type="dxa"/>
              <w:bottom w:w="60" w:type="dxa"/>
              <w:left w:w="80" w:type="dxa"/>
              <w:right w:w="80" w:type="dxa"/>
            </w:tcMar>
          </w:tcPr>
          <w:p>
            <w:r>
              <w:rPr>
                <w:rFonts w:ascii="Arial" w:hAnsi="Arial"/>
                <w:color w:val="46554E"/>
                <w:sz w:val="17"/>
              </w:rPr>
              <w:t>Categoría de residuo pesado (muebles, electrodomesticos, chatarra, poda).</w:t>
            </w:r>
          </w:p>
        </w:tc>
      </w:tr>
      <w:tr>
        <w:tc>
          <w:tcPr>
            <w:tcW w:type="dxa" w:w="2592"/>
            <w:shd w:fill="FFFFFF"/>
            <w:tcMar>
              <w:top w:w="60" w:type="dxa"/>
              <w:bottom w:w="60" w:type="dxa"/>
              <w:left w:w="80" w:type="dxa"/>
              <w:right w:w="80" w:type="dxa"/>
            </w:tcMar>
          </w:tcPr>
          <w:p>
            <w:r>
              <w:rPr>
                <w:rFonts w:ascii="Arial" w:hAnsi="Arial"/>
                <w:b/>
                <w:color w:val="191C1E"/>
                <w:sz w:val="17"/>
              </w:rPr>
              <w:t>status</w:t>
            </w:r>
          </w:p>
        </w:tc>
        <w:tc>
          <w:tcPr>
            <w:tcW w:type="dxa" w:w="2016"/>
            <w:shd w:fill="FFFFFF"/>
            <w:tcMar>
              <w:top w:w="60" w:type="dxa"/>
              <w:bottom w:w="60" w:type="dxa"/>
              <w:left w:w="80" w:type="dxa"/>
              <w:right w:w="80" w:type="dxa"/>
            </w:tcMar>
          </w:tcPr>
          <w:p>
            <w:r>
              <w:rPr>
                <w:rFonts w:ascii="Arial" w:hAnsi="Arial"/>
                <w:color w:val="46554E"/>
                <w:sz w:val="17"/>
              </w:rPr>
              <w:t>VARCHAR(40)</w:t>
            </w:r>
          </w:p>
        </w:tc>
        <w:tc>
          <w:tcPr>
            <w:tcW w:type="dxa" w:w="4752"/>
            <w:shd w:fill="FFFFFF"/>
            <w:tcMar>
              <w:top w:w="60" w:type="dxa"/>
              <w:bottom w:w="60" w:type="dxa"/>
              <w:left w:w="80" w:type="dxa"/>
              <w:right w:w="80" w:type="dxa"/>
            </w:tcMar>
          </w:tcPr>
          <w:p>
            <w:r>
              <w:rPr>
                <w:rFonts w:ascii="Arial" w:hAnsi="Arial"/>
                <w:color w:val="46554E"/>
                <w:sz w:val="17"/>
              </w:rPr>
              <w:t>Estado del pedido (PENDING, ASSIGNED, IN_ROUTE, COMPLETED, CANCELLED).</w:t>
            </w:r>
          </w:p>
        </w:tc>
      </w:tr>
      <w:tr>
        <w:tc>
          <w:tcPr>
            <w:tcW w:type="dxa" w:w="2592"/>
            <w:shd w:fill="F2F6F3"/>
            <w:tcMar>
              <w:top w:w="60" w:type="dxa"/>
              <w:bottom w:w="60" w:type="dxa"/>
              <w:left w:w="80" w:type="dxa"/>
              <w:right w:w="80" w:type="dxa"/>
            </w:tcMar>
          </w:tcPr>
          <w:p>
            <w:r>
              <w:rPr>
                <w:rFonts w:ascii="Arial" w:hAnsi="Arial"/>
                <w:b/>
                <w:color w:val="191C1E"/>
                <w:sz w:val="17"/>
              </w:rPr>
              <w:t>latitude / longitude</w:t>
            </w:r>
          </w:p>
        </w:tc>
        <w:tc>
          <w:tcPr>
            <w:tcW w:type="dxa" w:w="2016"/>
            <w:shd w:fill="F2F6F3"/>
            <w:tcMar>
              <w:top w:w="60" w:type="dxa"/>
              <w:bottom w:w="60" w:type="dxa"/>
              <w:left w:w="80" w:type="dxa"/>
              <w:right w:w="80" w:type="dxa"/>
            </w:tcMar>
          </w:tcPr>
          <w:p>
            <w:r>
              <w:rPr>
                <w:rFonts w:ascii="Arial" w:hAnsi="Arial"/>
                <w:color w:val="46554E"/>
                <w:sz w:val="17"/>
              </w:rPr>
              <w:t>NUMERIC</w:t>
            </w:r>
          </w:p>
        </w:tc>
        <w:tc>
          <w:tcPr>
            <w:tcW w:type="dxa" w:w="4752"/>
            <w:shd w:fill="F2F6F3"/>
            <w:tcMar>
              <w:top w:w="60" w:type="dxa"/>
              <w:bottom w:w="60" w:type="dxa"/>
              <w:left w:w="80" w:type="dxa"/>
              <w:right w:w="80" w:type="dxa"/>
            </w:tcMar>
          </w:tcPr>
          <w:p>
            <w:r>
              <w:rPr>
                <w:rFonts w:ascii="Arial" w:hAnsi="Arial"/>
                <w:color w:val="46554E"/>
                <w:sz w:val="17"/>
              </w:rPr>
              <w:t>Coordenadas satelitales del domicilio del vecino.</w:t>
            </w:r>
          </w:p>
        </w:tc>
      </w:tr>
      <w:tr>
        <w:tc>
          <w:tcPr>
            <w:tcW w:type="dxa" w:w="2592"/>
            <w:shd w:fill="FFFFFF"/>
            <w:tcMar>
              <w:top w:w="60" w:type="dxa"/>
              <w:bottom w:w="60" w:type="dxa"/>
              <w:left w:w="80" w:type="dxa"/>
              <w:right w:w="80" w:type="dxa"/>
            </w:tcMar>
          </w:tcPr>
          <w:p>
            <w:r>
              <w:rPr>
                <w:rFonts w:ascii="Arial" w:hAnsi="Arial"/>
                <w:b/>
                <w:color w:val="191C1E"/>
                <w:sz w:val="17"/>
              </w:rPr>
              <w:t>address</w:t>
            </w:r>
          </w:p>
        </w:tc>
        <w:tc>
          <w:tcPr>
            <w:tcW w:type="dxa" w:w="2016"/>
            <w:shd w:fill="FFFFFF"/>
            <w:tcMar>
              <w:top w:w="60" w:type="dxa"/>
              <w:bottom w:w="60" w:type="dxa"/>
              <w:left w:w="80" w:type="dxa"/>
              <w:right w:w="80" w:type="dxa"/>
            </w:tcMar>
          </w:tcPr>
          <w:p>
            <w:r>
              <w:rPr>
                <w:rFonts w:ascii="Arial" w:hAnsi="Arial"/>
                <w:color w:val="46554E"/>
                <w:sz w:val="17"/>
              </w:rPr>
              <w:t>TEXT</w:t>
            </w:r>
          </w:p>
        </w:tc>
        <w:tc>
          <w:tcPr>
            <w:tcW w:type="dxa" w:w="4752"/>
            <w:shd w:fill="FFFFFF"/>
            <w:tcMar>
              <w:top w:w="60" w:type="dxa"/>
              <w:bottom w:w="60" w:type="dxa"/>
              <w:left w:w="80" w:type="dxa"/>
              <w:right w:w="80" w:type="dxa"/>
            </w:tcMar>
          </w:tcPr>
          <w:p>
            <w:r>
              <w:rPr>
                <w:rFonts w:ascii="Arial" w:hAnsi="Arial"/>
                <w:color w:val="46554E"/>
                <w:sz w:val="17"/>
              </w:rPr>
              <w:t>Dirección postal exacta y referencias de timbre o portón.</w:t>
            </w:r>
          </w:p>
        </w:tc>
      </w:tr>
      <w:tr>
        <w:tc>
          <w:tcPr>
            <w:tcW w:type="dxa" w:w="2592"/>
            <w:shd w:fill="F2F6F3"/>
            <w:tcMar>
              <w:top w:w="60" w:type="dxa"/>
              <w:bottom w:w="60" w:type="dxa"/>
              <w:left w:w="80" w:type="dxa"/>
              <w:right w:w="80" w:type="dxa"/>
            </w:tcMar>
          </w:tcPr>
          <w:p>
            <w:r>
              <w:rPr>
                <w:rFonts w:ascii="Arial" w:hAnsi="Arial"/>
                <w:b/>
                <w:color w:val="191C1E"/>
                <w:sz w:val="17"/>
              </w:rPr>
              <w:t>assigned_team</w:t>
            </w:r>
          </w:p>
        </w:tc>
        <w:tc>
          <w:tcPr>
            <w:tcW w:type="dxa" w:w="2016"/>
            <w:shd w:fill="F2F6F3"/>
            <w:tcMar>
              <w:top w:w="60" w:type="dxa"/>
              <w:bottom w:w="60" w:type="dxa"/>
              <w:left w:w="80" w:type="dxa"/>
              <w:right w:w="80" w:type="dxa"/>
            </w:tcMar>
          </w:tcPr>
          <w:p>
            <w:r>
              <w:rPr>
                <w:rFonts w:ascii="Arial" w:hAnsi="Arial"/>
                <w:color w:val="46554E"/>
                <w:sz w:val="17"/>
              </w:rPr>
              <w:t>VARCHAR(100)</w:t>
            </w:r>
          </w:p>
        </w:tc>
        <w:tc>
          <w:tcPr>
            <w:tcW w:type="dxa" w:w="4752"/>
            <w:shd w:fill="F2F6F3"/>
            <w:tcMar>
              <w:top w:w="60" w:type="dxa"/>
              <w:bottom w:w="60" w:type="dxa"/>
              <w:left w:w="80" w:type="dxa"/>
              <w:right w:w="80" w:type="dxa"/>
            </w:tcMar>
          </w:tcPr>
          <w:p>
            <w:r>
              <w:rPr>
                <w:rFonts w:ascii="Arial" w:hAnsi="Arial"/>
                <w:color w:val="46554E"/>
                <w:sz w:val="17"/>
              </w:rPr>
              <w:t>Cuadrilla o patente del camión municipal despachado.</w:t>
            </w:r>
          </w:p>
        </w:tc>
      </w:tr>
    </w:tbl>
    <w:p>
      <w:pPr>
        <w:spacing w:after="80"/>
      </w:pPr>
    </w:p>
    <w:p>
      <w:pPr>
        <w:keepNext/>
        <w:spacing w:before="160" w:after="80"/>
      </w:pPr>
      <w:r>
        <w:rPr>
          <w:rFonts w:ascii="Arial" w:hAnsi="Arial"/>
          <w:b/>
          <w:color w:val="191C1E"/>
          <w:sz w:val="22"/>
        </w:rPr>
        <w:t>Tabla: rewards (Catálogo de Beneficios y Cupones Comerciales)</w:t>
      </w:r>
    </w:p>
    <w:tbl>
      <w:tblPr>
        <w:tblW w:type="auto" w:w="0"/>
        <w:jc w:val="center"/>
        <w:tblLayout w:type="fixed"/>
        <w:tblLook w:firstColumn="1" w:firstRow="1" w:lastColumn="0" w:lastRow="0" w:noHBand="0" w:noVBand="1" w:val="04A0"/>
      </w:tblPr>
      <w:tblGrid>
        <w:gridCol w:w="3010"/>
        <w:gridCol w:w="3010"/>
        <w:gridCol w:w="3010"/>
      </w:tblGrid>
      <w:tr>
        <w:tc>
          <w:tcPr>
            <w:tcW w:type="dxa" w:w="2592"/>
            <w:shd w:fill="005AC2"/>
            <w:tcMar>
              <w:top w:w="80" w:type="dxa"/>
              <w:bottom w:w="80" w:type="dxa"/>
              <w:left w:w="100" w:type="dxa"/>
              <w:right w:w="100" w:type="dxa"/>
            </w:tcMar>
          </w:tcPr>
          <w:p>
            <w:r>
              <w:rPr>
                <w:rFonts w:ascii="Arial" w:hAnsi="Arial"/>
                <w:b/>
                <w:color w:val="FFFFFF"/>
                <w:sz w:val="18"/>
              </w:rPr>
              <w:t>Columna / Atributo</w:t>
            </w:r>
          </w:p>
        </w:tc>
        <w:tc>
          <w:tcPr>
            <w:tcW w:type="dxa" w:w="2016"/>
            <w:shd w:fill="005AC2"/>
            <w:tcMar>
              <w:top w:w="80" w:type="dxa"/>
              <w:bottom w:w="80" w:type="dxa"/>
              <w:left w:w="100" w:type="dxa"/>
              <w:right w:w="100" w:type="dxa"/>
            </w:tcMar>
          </w:tcPr>
          <w:p>
            <w:r>
              <w:rPr>
                <w:rFonts w:ascii="Arial" w:hAnsi="Arial"/>
                <w:b/>
                <w:color w:val="FFFFFF"/>
                <w:sz w:val="18"/>
              </w:rPr>
              <w:t>Tipo de Dato</w:t>
            </w:r>
          </w:p>
        </w:tc>
        <w:tc>
          <w:tcPr>
            <w:tcW w:type="dxa" w:w="4752"/>
            <w:shd w:fill="005AC2"/>
            <w:tcMar>
              <w:top w:w="80" w:type="dxa"/>
              <w:bottom w:w="80" w:type="dxa"/>
              <w:left w:w="100" w:type="dxa"/>
              <w:right w:w="100" w:type="dxa"/>
            </w:tcMar>
          </w:tcPr>
          <w:p>
            <w:r>
              <w:rPr>
                <w:rFonts w:ascii="Arial" w:hAnsi="Arial"/>
                <w:b/>
                <w:color w:val="FFFFFF"/>
                <w:sz w:val="18"/>
              </w:rPr>
              <w:t>Descripción / Restricción</w:t>
            </w:r>
          </w:p>
        </w:tc>
      </w:tr>
      <w:tr>
        <w:tc>
          <w:tcPr>
            <w:tcW w:type="dxa" w:w="2592"/>
            <w:shd w:fill="F2F6F3"/>
            <w:tcMar>
              <w:top w:w="60" w:type="dxa"/>
              <w:bottom w:w="60" w:type="dxa"/>
              <w:left w:w="80" w:type="dxa"/>
              <w:right w:w="80" w:type="dxa"/>
            </w:tcMar>
          </w:tcPr>
          <w:p>
            <w:r>
              <w:rPr>
                <w:rFonts w:ascii="Arial" w:hAnsi="Arial"/>
                <w:b/>
                <w:color w:val="191C1E"/>
                <w:sz w:val="17"/>
              </w:rPr>
              <w:t>id</w:t>
            </w:r>
          </w:p>
        </w:tc>
        <w:tc>
          <w:tcPr>
            <w:tcW w:type="dxa" w:w="2016"/>
            <w:shd w:fill="F2F6F3"/>
            <w:tcMar>
              <w:top w:w="60" w:type="dxa"/>
              <w:bottom w:w="60" w:type="dxa"/>
              <w:left w:w="80" w:type="dxa"/>
              <w:right w:w="80" w:type="dxa"/>
            </w:tcMar>
          </w:tcPr>
          <w:p>
            <w:r>
              <w:rPr>
                <w:rFonts w:ascii="Arial" w:hAnsi="Arial"/>
                <w:color w:val="46554E"/>
                <w:sz w:val="17"/>
              </w:rPr>
              <w:t>UUID (PK)</w:t>
            </w:r>
          </w:p>
        </w:tc>
        <w:tc>
          <w:tcPr>
            <w:tcW w:type="dxa" w:w="4752"/>
            <w:shd w:fill="F2F6F3"/>
            <w:tcMar>
              <w:top w:w="60" w:type="dxa"/>
              <w:bottom w:w="60" w:type="dxa"/>
              <w:left w:w="80" w:type="dxa"/>
              <w:right w:w="80" w:type="dxa"/>
            </w:tcMar>
          </w:tcPr>
          <w:p>
            <w:r>
              <w:rPr>
                <w:rFonts w:ascii="Arial" w:hAnsi="Arial"/>
                <w:color w:val="46554E"/>
                <w:sz w:val="17"/>
              </w:rPr>
              <w:t>Identificador del beneficio en el marketplace.</w:t>
            </w:r>
          </w:p>
        </w:tc>
      </w:tr>
      <w:tr>
        <w:tc>
          <w:tcPr>
            <w:tcW w:type="dxa" w:w="2592"/>
            <w:shd w:fill="FFFFFF"/>
            <w:tcMar>
              <w:top w:w="60" w:type="dxa"/>
              <w:bottom w:w="60" w:type="dxa"/>
              <w:left w:w="80" w:type="dxa"/>
              <w:right w:w="80" w:type="dxa"/>
            </w:tcMar>
          </w:tcPr>
          <w:p>
            <w:r>
              <w:rPr>
                <w:rFonts w:ascii="Arial" w:hAnsi="Arial"/>
                <w:b/>
                <w:color w:val="191C1E"/>
                <w:sz w:val="17"/>
              </w:rPr>
              <w:t>tenant_id</w:t>
            </w:r>
          </w:p>
        </w:tc>
        <w:tc>
          <w:tcPr>
            <w:tcW w:type="dxa" w:w="2016"/>
            <w:shd w:fill="FFFFFF"/>
            <w:tcMar>
              <w:top w:w="60" w:type="dxa"/>
              <w:bottom w:w="60" w:type="dxa"/>
              <w:left w:w="80" w:type="dxa"/>
              <w:right w:w="80" w:type="dxa"/>
            </w:tcMar>
          </w:tcPr>
          <w:p>
            <w:r>
              <w:rPr>
                <w:rFonts w:ascii="Arial" w:hAnsi="Arial"/>
                <w:color w:val="46554E"/>
                <w:sz w:val="17"/>
              </w:rPr>
              <w:t>UUID (FK)</w:t>
            </w:r>
          </w:p>
        </w:tc>
        <w:tc>
          <w:tcPr>
            <w:tcW w:type="dxa" w:w="4752"/>
            <w:shd w:fill="FFFFFF"/>
            <w:tcMar>
              <w:top w:w="60" w:type="dxa"/>
              <w:bottom w:w="60" w:type="dxa"/>
              <w:left w:w="80" w:type="dxa"/>
              <w:right w:w="80" w:type="dxa"/>
            </w:tcMar>
          </w:tcPr>
          <w:p>
            <w:r>
              <w:rPr>
                <w:rFonts w:ascii="Arial" w:hAnsi="Arial"/>
                <w:color w:val="46554E"/>
                <w:sz w:val="17"/>
              </w:rPr>
              <w:t>Municipio que homologó el convenio con el comercio.</w:t>
            </w:r>
          </w:p>
        </w:tc>
      </w:tr>
      <w:tr>
        <w:tc>
          <w:tcPr>
            <w:tcW w:type="dxa" w:w="2592"/>
            <w:shd w:fill="F2F6F3"/>
            <w:tcMar>
              <w:top w:w="60" w:type="dxa"/>
              <w:bottom w:w="60" w:type="dxa"/>
              <w:left w:w="80" w:type="dxa"/>
              <w:right w:w="80" w:type="dxa"/>
            </w:tcMar>
          </w:tcPr>
          <w:p>
            <w:r>
              <w:rPr>
                <w:rFonts w:ascii="Arial" w:hAnsi="Arial"/>
                <w:b/>
                <w:color w:val="191C1E"/>
                <w:sz w:val="17"/>
              </w:rPr>
              <w:t>title</w:t>
            </w:r>
          </w:p>
        </w:tc>
        <w:tc>
          <w:tcPr>
            <w:tcW w:type="dxa" w:w="2016"/>
            <w:shd w:fill="F2F6F3"/>
            <w:tcMar>
              <w:top w:w="60" w:type="dxa"/>
              <w:bottom w:w="60" w:type="dxa"/>
              <w:left w:w="80" w:type="dxa"/>
              <w:right w:w="80" w:type="dxa"/>
            </w:tcMar>
          </w:tcPr>
          <w:p>
            <w:r>
              <w:rPr>
                <w:rFonts w:ascii="Arial" w:hAnsi="Arial"/>
                <w:color w:val="46554E"/>
                <w:sz w:val="17"/>
              </w:rPr>
              <w:t>VARCHAR(120)</w:t>
            </w:r>
          </w:p>
        </w:tc>
        <w:tc>
          <w:tcPr>
            <w:tcW w:type="dxa" w:w="4752"/>
            <w:shd w:fill="F2F6F3"/>
            <w:tcMar>
              <w:top w:w="60" w:type="dxa"/>
              <w:bottom w:w="60" w:type="dxa"/>
              <w:left w:w="80" w:type="dxa"/>
              <w:right w:w="80" w:type="dxa"/>
            </w:tcMar>
          </w:tcPr>
          <w:p>
            <w:r>
              <w:rPr>
                <w:rFonts w:ascii="Arial" w:hAnsi="Arial"/>
                <w:color w:val="46554E"/>
                <w:sz w:val="17"/>
              </w:rPr>
              <w:t>Descripción del beneficio (ej. '15% de descuento en café sustentable').</w:t>
            </w:r>
          </w:p>
        </w:tc>
      </w:tr>
      <w:tr>
        <w:tc>
          <w:tcPr>
            <w:tcW w:type="dxa" w:w="2592"/>
            <w:shd w:fill="FFFFFF"/>
            <w:tcMar>
              <w:top w:w="60" w:type="dxa"/>
              <w:bottom w:w="60" w:type="dxa"/>
              <w:left w:w="80" w:type="dxa"/>
              <w:right w:w="80" w:type="dxa"/>
            </w:tcMar>
          </w:tcPr>
          <w:p>
            <w:r>
              <w:rPr>
                <w:rFonts w:ascii="Arial" w:hAnsi="Arial"/>
                <w:b/>
                <w:color w:val="191C1E"/>
                <w:sz w:val="17"/>
              </w:rPr>
              <w:t>ecopoints_cost</w:t>
            </w:r>
          </w:p>
        </w:tc>
        <w:tc>
          <w:tcPr>
            <w:tcW w:type="dxa" w:w="2016"/>
            <w:shd w:fill="FFFFFF"/>
            <w:tcMar>
              <w:top w:w="60" w:type="dxa"/>
              <w:bottom w:w="60" w:type="dxa"/>
              <w:left w:w="80" w:type="dxa"/>
              <w:right w:w="80" w:type="dxa"/>
            </w:tcMar>
          </w:tcPr>
          <w:p>
            <w:r>
              <w:rPr>
                <w:rFonts w:ascii="Arial" w:hAnsi="Arial"/>
                <w:color w:val="46554E"/>
                <w:sz w:val="17"/>
              </w:rPr>
              <w:t>INT</w:t>
            </w:r>
          </w:p>
        </w:tc>
        <w:tc>
          <w:tcPr>
            <w:tcW w:type="dxa" w:w="4752"/>
            <w:shd w:fill="FFFFFF"/>
            <w:tcMar>
              <w:top w:w="60" w:type="dxa"/>
              <w:bottom w:w="60" w:type="dxa"/>
              <w:left w:w="80" w:type="dxa"/>
              <w:right w:w="80" w:type="dxa"/>
            </w:tcMar>
          </w:tcPr>
          <w:p>
            <w:r>
              <w:rPr>
                <w:rFonts w:ascii="Arial" w:hAnsi="Arial"/>
                <w:color w:val="46554E"/>
                <w:sz w:val="17"/>
              </w:rPr>
              <w:t>Costo en EcoPuntos requerido para canjear el beneficio.</w:t>
            </w:r>
          </w:p>
        </w:tc>
      </w:tr>
      <w:tr>
        <w:tc>
          <w:tcPr>
            <w:tcW w:type="dxa" w:w="2592"/>
            <w:shd w:fill="F2F6F3"/>
            <w:tcMar>
              <w:top w:w="60" w:type="dxa"/>
              <w:bottom w:w="60" w:type="dxa"/>
              <w:left w:w="80" w:type="dxa"/>
              <w:right w:w="80" w:type="dxa"/>
            </w:tcMar>
          </w:tcPr>
          <w:p>
            <w:r>
              <w:rPr>
                <w:rFonts w:ascii="Arial" w:hAnsi="Arial"/>
                <w:b/>
                <w:color w:val="191C1E"/>
                <w:sz w:val="17"/>
              </w:rPr>
              <w:t>partner_name</w:t>
            </w:r>
          </w:p>
        </w:tc>
        <w:tc>
          <w:tcPr>
            <w:tcW w:type="dxa" w:w="2016"/>
            <w:shd w:fill="F2F6F3"/>
            <w:tcMar>
              <w:top w:w="60" w:type="dxa"/>
              <w:bottom w:w="60" w:type="dxa"/>
              <w:left w:w="80" w:type="dxa"/>
              <w:right w:w="80" w:type="dxa"/>
            </w:tcMar>
          </w:tcPr>
          <w:p>
            <w:r>
              <w:rPr>
                <w:rFonts w:ascii="Arial" w:hAnsi="Arial"/>
                <w:color w:val="46554E"/>
                <w:sz w:val="17"/>
              </w:rPr>
              <w:t>VARCHAR(100)</w:t>
            </w:r>
          </w:p>
        </w:tc>
        <w:tc>
          <w:tcPr>
            <w:tcW w:type="dxa" w:w="4752"/>
            <w:shd w:fill="F2F6F3"/>
            <w:tcMar>
              <w:top w:w="60" w:type="dxa"/>
              <w:bottom w:w="60" w:type="dxa"/>
              <w:left w:w="80" w:type="dxa"/>
              <w:right w:w="80" w:type="dxa"/>
            </w:tcMar>
          </w:tcPr>
          <w:p>
            <w:r>
              <w:rPr>
                <w:rFonts w:ascii="Arial" w:hAnsi="Arial"/>
                <w:color w:val="46554E"/>
                <w:sz w:val="17"/>
              </w:rPr>
              <w:t>Razón social del comercio de cercanía adherido.</w:t>
            </w:r>
          </w:p>
        </w:tc>
      </w:tr>
      <w:tr>
        <w:tc>
          <w:tcPr>
            <w:tcW w:type="dxa" w:w="2592"/>
            <w:shd w:fill="FFFFFF"/>
            <w:tcMar>
              <w:top w:w="60" w:type="dxa"/>
              <w:bottom w:w="60" w:type="dxa"/>
              <w:left w:w="80" w:type="dxa"/>
              <w:right w:w="80" w:type="dxa"/>
            </w:tcMar>
          </w:tcPr>
          <w:p>
            <w:r>
              <w:rPr>
                <w:rFonts w:ascii="Arial" w:hAnsi="Arial"/>
                <w:b/>
                <w:color w:val="191C1E"/>
                <w:sz w:val="17"/>
              </w:rPr>
              <w:t>stock</w:t>
            </w:r>
          </w:p>
        </w:tc>
        <w:tc>
          <w:tcPr>
            <w:tcW w:type="dxa" w:w="2016"/>
            <w:shd w:fill="FFFFFF"/>
            <w:tcMar>
              <w:top w:w="60" w:type="dxa"/>
              <w:bottom w:w="60" w:type="dxa"/>
              <w:left w:w="80" w:type="dxa"/>
              <w:right w:w="80" w:type="dxa"/>
            </w:tcMar>
          </w:tcPr>
          <w:p>
            <w:r>
              <w:rPr>
                <w:rFonts w:ascii="Arial" w:hAnsi="Arial"/>
                <w:color w:val="46554E"/>
                <w:sz w:val="17"/>
              </w:rPr>
              <w:t>INT</w:t>
            </w:r>
          </w:p>
        </w:tc>
        <w:tc>
          <w:tcPr>
            <w:tcW w:type="dxa" w:w="4752"/>
            <w:shd w:fill="FFFFFF"/>
            <w:tcMar>
              <w:top w:w="60" w:type="dxa"/>
              <w:bottom w:w="60" w:type="dxa"/>
              <w:left w:w="80" w:type="dxa"/>
              <w:right w:w="80" w:type="dxa"/>
            </w:tcMar>
          </w:tcPr>
          <w:p>
            <w:r>
              <w:rPr>
                <w:rFonts w:ascii="Arial" w:hAnsi="Arial"/>
                <w:color w:val="46554E"/>
                <w:sz w:val="17"/>
              </w:rPr>
              <w:t>Cantidad máxima de cupones disponibles para canjear.</w:t>
            </w:r>
          </w:p>
        </w:tc>
      </w:tr>
    </w:tbl>
    <w:p>
      <w:pPr>
        <w:spacing w:after="80"/>
      </w:pPr>
    </w:p>
    <w:p>
      <w:pPr>
        <w:keepNext/>
        <w:spacing w:before="240" w:after="120"/>
      </w:pPr>
      <w:r>
        <w:rPr>
          <w:rFonts w:ascii="Arial" w:hAnsi="Arial"/>
          <w:b/>
          <w:color w:val="005AC2"/>
          <w:sz w:val="26"/>
        </w:rPr>
        <w:t>9.3. Función Almacenada PostGIS RPC 'get_nearby_points'</w:t>
      </w:r>
    </w:p>
    <w:p>
      <w:pPr>
        <w:spacing w:after="120" w:line="300" w:lineRule="auto"/>
        <w:jc w:val="both"/>
      </w:pPr>
      <w:r>
        <w:rPr>
          <w:rFonts w:ascii="Arial" w:hAnsi="Arial"/>
          <w:color w:val="191C1E"/>
          <w:sz w:val="21"/>
        </w:rPr>
        <w:t>Para calcular distancias esféricas hiperprecisas sin consumir cómputo en el dispositivo móvil, la base de datos expone una función RPC que utiliza ST_DistanceSphere:</w:t>
      </w:r>
    </w:p>
    <w:p>
      <w:pPr>
        <w:spacing w:after="120" w:line="300" w:lineRule="auto"/>
        <w:jc w:val="both"/>
      </w:pPr>
      <w:r>
        <w:rPr>
          <w:rFonts w:ascii="Arial" w:hAnsi="Arial"/>
          <w:b/>
          <w:color w:val="191C1E"/>
          <w:sz w:val="21"/>
        </w:rPr>
        <w:t xml:space="preserve">Script de la Función PostGIS: </w:t>
      </w:r>
      <w:r>
        <w:rPr>
          <w:rFonts w:ascii="Arial" w:hAnsi="Arial"/>
          <w:color w:val="191C1E"/>
          <w:sz w:val="21"/>
        </w:rPr>
        <w:t>CREATE OR REPLACE FUNCTION get_nearby_points(user_lat float8, user_lng float8, radius_km float8 DEFAULT 50.0)</w:t>
        <w:br/>
        <w:t>RETURNS TABLE (id uuid, name text, type text, color text, address text, latitude float8, longitude float8, distance_km float8)</w:t>
        <w:br/>
        <w:t>LANGUAGE sql SECURITY DEFINER AS $$</w:t>
        <w:br/>
        <w:t xml:space="preserve">  SELECT id, name, type, color, address, latitude, longitude,</w:t>
        <w:br/>
        <w:t xml:space="preserve">         (ST_DistanceSphere(geom, ST_SetSRID(ST_MakePoint(user_lng, user_lat), 4326)) / 1000.0) AS distance_km</w:t>
        <w:br/>
        <w:t xml:space="preserve">  FROM recycling_points</w:t>
        <w:br/>
        <w:t xml:space="preserve">  WHERE is_active = true AND is_approved = true</w:t>
        <w:br/>
        <w:t xml:space="preserve">    AND ST_DWithin(geom::geography, ST_SetSRID(ST_MakePoint(user_lng, user_lat), 4326)::geography, radius_km * 1000.0)</w:t>
        <w:br/>
        <w:t xml:space="preserve">  ORDER BY geom &lt;-&gt; ST_SetSRID(ST_MakePoint(user_lng, user_lat), 4326)</w:t>
        <w:br/>
        <w:t xml:space="preserve">  LIMIT 25;</w:t>
        <w:br/>
        <w:t>$$;</w:t>
      </w:r>
    </w:p>
    <w:p>
      <w:r>
        <w:br w:type="page"/>
      </w:r>
    </w:p>
    <w:p>
      <w:pPr>
        <w:keepNext/>
        <w:spacing w:before="320" w:after="160"/>
      </w:pPr>
      <w:r>
        <w:rPr>
          <w:rFonts w:ascii="Arial" w:hAnsi="Arial"/>
          <w:b/>
          <w:color w:val="006C49"/>
          <w:sz w:val="32"/>
        </w:rPr>
        <w:t>10. MANUAL TÉCNICO DE INSTALACIÓN Y DESPLIEGUE</w:t>
      </w:r>
    </w:p>
    <w:p>
      <w:pPr>
        <w:keepNext/>
        <w:spacing w:before="240" w:after="120"/>
      </w:pPr>
      <w:r>
        <w:rPr>
          <w:rFonts w:ascii="Arial" w:hAnsi="Arial"/>
          <w:b/>
          <w:color w:val="005AC2"/>
          <w:sz w:val="26"/>
        </w:rPr>
        <w:t>10.1. Prerrequisitos del Entorno</w:t>
      </w:r>
    </w:p>
    <w:p>
      <w:pPr>
        <w:pStyle w:val="ListBullet"/>
        <w:spacing w:after="80" w:line="288" w:lineRule="auto"/>
      </w:pPr>
      <w:r>
        <w:rPr>
          <w:rFonts w:ascii="Arial" w:hAnsi="Arial"/>
          <w:b/>
          <w:color w:val="191C1E"/>
          <w:sz w:val="20"/>
        </w:rPr>
        <w:t xml:space="preserve">Entorno Web: </w:t>
      </w:r>
      <w:r>
        <w:rPr>
          <w:rFonts w:ascii="Arial" w:hAnsi="Arial"/>
          <w:color w:val="191C1E"/>
          <w:sz w:val="20"/>
        </w:rPr>
        <w:t>Node.js v20.x LTS o superior con gestor de paquetes npm.</w:t>
      </w:r>
    </w:p>
    <w:p>
      <w:pPr>
        <w:pStyle w:val="ListBullet"/>
        <w:spacing w:after="80" w:line="288" w:lineRule="auto"/>
      </w:pPr>
      <w:r>
        <w:rPr>
          <w:rFonts w:ascii="Arial" w:hAnsi="Arial"/>
          <w:b/>
          <w:color w:val="191C1E"/>
          <w:sz w:val="20"/>
        </w:rPr>
        <w:t xml:space="preserve">Entorno Android: </w:t>
      </w:r>
      <w:r>
        <w:rPr>
          <w:rFonts w:ascii="Arial" w:hAnsi="Arial"/>
          <w:color w:val="191C1E"/>
          <w:sz w:val="20"/>
        </w:rPr>
        <w:t>Java Development Kit (JDK) versión 17 (se recomienda utilizar el JBR oficial ubicado en 'C:\Program Files\Android\Android Studio\jbr').</w:t>
      </w:r>
    </w:p>
    <w:p>
      <w:pPr>
        <w:pStyle w:val="ListBullet"/>
        <w:spacing w:after="80" w:line="288" w:lineRule="auto"/>
      </w:pPr>
      <w:r>
        <w:rPr>
          <w:rFonts w:ascii="Arial" w:hAnsi="Arial"/>
          <w:b/>
          <w:color w:val="191C1E"/>
          <w:sz w:val="20"/>
        </w:rPr>
        <w:t xml:space="preserve">IDE Móvil: </w:t>
      </w:r>
      <w:r>
        <w:rPr>
          <w:rFonts w:ascii="Arial" w:hAnsi="Arial"/>
          <w:color w:val="191C1E"/>
          <w:sz w:val="20"/>
        </w:rPr>
        <w:t>Android Studio Ladybug (2024.2.1+) con Android SDK Platform 34/35 y Build-Tools instalados.</w:t>
      </w:r>
    </w:p>
    <w:p>
      <w:pPr>
        <w:pStyle w:val="ListBullet"/>
        <w:spacing w:after="80" w:line="288" w:lineRule="auto"/>
      </w:pPr>
      <w:r>
        <w:rPr>
          <w:rFonts w:ascii="Arial" w:hAnsi="Arial"/>
          <w:b/>
          <w:color w:val="191C1E"/>
          <w:sz w:val="20"/>
        </w:rPr>
        <w:t xml:space="preserve">Infraestructura Backend: </w:t>
      </w:r>
      <w:r>
        <w:rPr>
          <w:rFonts w:ascii="Arial" w:hAnsi="Arial"/>
          <w:color w:val="191C1E"/>
          <w:sz w:val="20"/>
        </w:rPr>
        <w:t>Supabase CLI (npx supabase) y cuenta activa en Supabase Cloud con PostGIS habilitado.</w:t>
      </w:r>
    </w:p>
    <w:p>
      <w:pPr>
        <w:pStyle w:val="ListBullet"/>
        <w:spacing w:after="80" w:line="288" w:lineRule="auto"/>
      </w:pPr>
      <w:r>
        <w:rPr>
          <w:rFonts w:ascii="Arial" w:hAnsi="Arial"/>
          <w:b/>
          <w:color w:val="191C1E"/>
          <w:sz w:val="20"/>
        </w:rPr>
        <w:t xml:space="preserve">Control de Versiones: </w:t>
      </w:r>
      <w:r>
        <w:rPr>
          <w:rFonts w:ascii="Arial" w:hAnsi="Arial"/>
          <w:color w:val="191C1E"/>
          <w:sz w:val="20"/>
        </w:rPr>
        <w:t>Git para clonado del repositorio oficial en GitHub.</w:t>
      </w:r>
    </w:p>
    <w:p>
      <w:pPr>
        <w:keepNext/>
        <w:spacing w:before="240" w:after="120"/>
      </w:pPr>
      <w:r>
        <w:rPr>
          <w:rFonts w:ascii="Arial" w:hAnsi="Arial"/>
          <w:b/>
          <w:color w:val="005AC2"/>
          <w:sz w:val="26"/>
        </w:rPr>
        <w:t>10.2. Estructura del Repositorio</w:t>
      </w:r>
    </w:p>
    <w:p>
      <w:pPr>
        <w:spacing w:after="120" w:line="300" w:lineRule="auto"/>
        <w:jc w:val="both"/>
      </w:pPr>
      <w:r>
        <w:rPr>
          <w:rFonts w:ascii="Arial" w:hAnsi="Arial"/>
          <w:b/>
          <w:color w:val="191C1E"/>
          <w:sz w:val="21"/>
        </w:rPr>
        <w:t xml:space="preserve">Organización del Código: </w:t>
      </w:r>
      <w:r>
        <w:rPr>
          <w:rFonts w:ascii="Arial" w:hAnsi="Arial"/>
          <w:color w:val="191C1E"/>
          <w:sz w:val="21"/>
        </w:rPr>
        <w:t>El repositorio unificado RomeroGerardo/EcoMapaLandinPage cuenta con una arquitectura modular limpia:</w:t>
      </w:r>
    </w:p>
    <w:p>
      <w:pPr>
        <w:pStyle w:val="ListBullet"/>
        <w:spacing w:after="80" w:line="288" w:lineRule="auto"/>
      </w:pPr>
      <w:r>
        <w:rPr>
          <w:rFonts w:ascii="Arial" w:hAnsi="Arial"/>
          <w:b/>
          <w:color w:val="191C1E"/>
          <w:sz w:val="20"/>
        </w:rPr>
        <w:t xml:space="preserve">/Movil: </w:t>
      </w:r>
      <w:r>
        <w:rPr>
          <w:rFonts w:ascii="Arial" w:hAnsi="Arial"/>
          <w:color w:val="191C1E"/>
          <w:sz w:val="20"/>
        </w:rPr>
        <w:t>Código fuente nativo de la app ciudadana en Kotlin, Jetpack Compose, ViewModels y arquitectura limpia.</w:t>
      </w:r>
    </w:p>
    <w:p>
      <w:pPr>
        <w:pStyle w:val="ListBullet"/>
        <w:spacing w:after="80" w:line="288" w:lineRule="auto"/>
      </w:pPr>
      <w:r>
        <w:rPr>
          <w:rFonts w:ascii="Arial" w:hAnsi="Arial"/>
          <w:b/>
          <w:color w:val="191C1E"/>
          <w:sz w:val="20"/>
        </w:rPr>
        <w:t xml:space="preserve">/web-tenant: </w:t>
      </w:r>
      <w:r>
        <w:rPr>
          <w:rFonts w:ascii="Arial" w:hAnsi="Arial"/>
          <w:color w:val="191C1E"/>
          <w:sz w:val="20"/>
        </w:rPr>
        <w:t>Portal operativo municipal para operadores de secretarías de ambiente (React 19, Leaflet).</w:t>
      </w:r>
    </w:p>
    <w:p>
      <w:pPr>
        <w:pStyle w:val="ListBullet"/>
        <w:spacing w:after="80" w:line="288" w:lineRule="auto"/>
      </w:pPr>
      <w:r>
        <w:rPr>
          <w:rFonts w:ascii="Arial" w:hAnsi="Arial"/>
          <w:b/>
          <w:color w:val="191C1E"/>
          <w:sz w:val="20"/>
        </w:rPr>
        <w:t xml:space="preserve">/web-superadmin: </w:t>
      </w:r>
      <w:r>
        <w:rPr>
          <w:rFonts w:ascii="Arial" w:hAnsi="Arial"/>
          <w:color w:val="191C1E"/>
          <w:sz w:val="20"/>
        </w:rPr>
        <w:t>Consola matriz corporativa de CivicLoop Technologies con telemetría de IA y MRR (React 19).</w:t>
      </w:r>
    </w:p>
    <w:p>
      <w:pPr>
        <w:pStyle w:val="ListBullet"/>
        <w:spacing w:after="80" w:line="288" w:lineRule="auto"/>
      </w:pPr>
      <w:r>
        <w:rPr>
          <w:rFonts w:ascii="Arial" w:hAnsi="Arial"/>
          <w:b/>
          <w:color w:val="191C1E"/>
          <w:sz w:val="20"/>
        </w:rPr>
        <w:t xml:space="preserve">/supabase: </w:t>
      </w:r>
      <w:r>
        <w:rPr>
          <w:rFonts w:ascii="Arial" w:hAnsi="Arial"/>
          <w:color w:val="191C1E"/>
          <w:sz w:val="20"/>
        </w:rPr>
        <w:t>Definiciones de base de datos, migraciones SQL y Edge Functions en TypeScript/Deno ('classify' y 'classify-image').</w:t>
      </w:r>
    </w:p>
    <w:p>
      <w:pPr>
        <w:pStyle w:val="ListBullet"/>
        <w:spacing w:after="80" w:line="288" w:lineRule="auto"/>
      </w:pPr>
      <w:r>
        <w:rPr>
          <w:rFonts w:ascii="Arial" w:hAnsi="Arial"/>
          <w:b/>
          <w:color w:val="191C1E"/>
          <w:sz w:val="20"/>
        </w:rPr>
        <w:t xml:space="preserve">/docs: </w:t>
      </w:r>
      <w:r>
        <w:rPr>
          <w:rFonts w:ascii="Arial" w:hAnsi="Arial"/>
          <w:color w:val="191C1E"/>
          <w:sz w:val="20"/>
        </w:rPr>
        <w:t>Diagramas de arquitectura, especificaciones PRD, RFC y manuales de usuario.</w:t>
      </w:r>
    </w:p>
    <w:p>
      <w:pPr>
        <w:pStyle w:val="ListBullet"/>
        <w:spacing w:after="80" w:line="288" w:lineRule="auto"/>
      </w:pPr>
      <w:r>
        <w:rPr>
          <w:rFonts w:ascii="Arial" w:hAnsi="Arial"/>
          <w:b/>
          <w:color w:val="191C1E"/>
          <w:sz w:val="20"/>
        </w:rPr>
        <w:t xml:space="preserve">EcoMapa-v2.1-Demo.apk: </w:t>
      </w:r>
      <w:r>
        <w:rPr>
          <w:rFonts w:ascii="Arial" w:hAnsi="Arial"/>
          <w:color w:val="191C1E"/>
          <w:sz w:val="20"/>
        </w:rPr>
        <w:t>Paquete compilado final generado y listo para demostración.</w:t>
      </w:r>
    </w:p>
    <w:p>
      <w:pPr>
        <w:keepNext/>
        <w:spacing w:before="240" w:after="120"/>
      </w:pPr>
      <w:r>
        <w:rPr>
          <w:rFonts w:ascii="Arial" w:hAnsi="Arial"/>
          <w:b/>
          <w:color w:val="005AC2"/>
          <w:sz w:val="26"/>
        </w:rPr>
        <w:t>10.3. Despliegue de Consolas Web SuperAdmin y Tenant</w:t>
      </w:r>
    </w:p>
    <w:p>
      <w:pPr>
        <w:spacing w:after="120" w:line="300" w:lineRule="auto"/>
        <w:jc w:val="both"/>
      </w:pPr>
      <w:r>
        <w:rPr>
          <w:rFonts w:ascii="Arial" w:hAnsi="Arial"/>
          <w:b/>
          <w:color w:val="191C1E"/>
          <w:sz w:val="21"/>
        </w:rPr>
        <w:t xml:space="preserve">Comandos de Despliegue Web: </w:t>
      </w:r>
      <w:r>
        <w:rPr>
          <w:rFonts w:ascii="Arial" w:hAnsi="Arial"/>
          <w:color w:val="191C1E"/>
          <w:sz w:val="21"/>
        </w:rPr>
        <w:t>1. Para la Consola SuperAdmin (Puerto 5174):</w:t>
        <w:br/>
        <w:t xml:space="preserve">   cd web-superadmin</w:t>
        <w:br/>
        <w:t xml:space="preserve">   npm install</w:t>
        <w:br/>
        <w:t xml:space="preserve">   npx vite --port 5174 --host</w:t>
        <w:br/>
        <w:t xml:space="preserve">   Acceso en navegador: http://localhost:5174/</w:t>
        <w:br/>
        <w:br/>
        <w:t>2. Para el Portal Tenant Municipal (Puerto 5173):</w:t>
        <w:br/>
        <w:t xml:space="preserve">   cd web-tenant</w:t>
        <w:br/>
        <w:t xml:space="preserve">   npm install</w:t>
        <w:br/>
        <w:t xml:space="preserve">   npx vite --port 5173 --host</w:t>
        <w:br/>
        <w:t xml:space="preserve">   Acceso en navegador: http://localhost:5173/</w:t>
      </w:r>
    </w:p>
    <w:p>
      <w:pPr>
        <w:keepNext/>
        <w:spacing w:before="240" w:after="120"/>
      </w:pPr>
      <w:r>
        <w:rPr>
          <w:rFonts w:ascii="Arial" w:hAnsi="Arial"/>
          <w:b/>
          <w:color w:val="005AC2"/>
          <w:sz w:val="26"/>
        </w:rPr>
        <w:t>10.4. Compilación del APK Móvil Android (Gradle)</w:t>
      </w:r>
    </w:p>
    <w:p>
      <w:pPr>
        <w:spacing w:after="120" w:line="300" w:lineRule="auto"/>
        <w:jc w:val="both"/>
      </w:pPr>
      <w:r>
        <w:rPr>
          <w:rFonts w:ascii="Arial" w:hAnsi="Arial"/>
          <w:b/>
          <w:color w:val="191C1E"/>
          <w:sz w:val="21"/>
        </w:rPr>
        <w:t xml:space="preserve">Procedimiento de Compilación de APK: </w:t>
      </w:r>
      <w:r>
        <w:rPr>
          <w:rFonts w:ascii="Arial" w:hAnsi="Arial"/>
          <w:color w:val="191C1E"/>
          <w:sz w:val="21"/>
        </w:rPr>
        <w:t>Para generar el archivo APK de distribución independiente sin necesidad de Android Studio:</w:t>
        <w:br/>
        <w:t>1. Abrir terminal de PowerShell en el directorio /Movil.</w:t>
        <w:br/>
        <w:t>2. Configurar la variable de entorno JAVA_HOME con el JDK 17 de Android Studio:</w:t>
        <w:br/>
        <w:t xml:space="preserve">   $env:JAVA_HOME = 'C:\Program Files\Android\Android Studio\jbr'</w:t>
        <w:br/>
        <w:t>3. Ejecutar la tarea de ensamblado con el wrapper de Gradle:</w:t>
        <w:br/>
        <w:t xml:space="preserve">   .\gradlew.bat :app:assembleDebug</w:t>
        <w:br/>
        <w:t>4. El artefacto final queda compilado en:</w:t>
        <w:br/>
        <w:t xml:space="preserve">   Movil/app/build/outputs/apk/debug/app-debug.apk</w:t>
        <w:br/>
        <w:t xml:space="preserve">   (Copia directa en la raíz: EcoMapa-v2.1-Demo.apk, tamaño 21.85 MB).</w:t>
      </w:r>
    </w:p>
    <w:p>
      <w:r>
        <w:br w:type="page"/>
      </w:r>
    </w:p>
    <w:p>
      <w:pPr>
        <w:keepNext/>
        <w:spacing w:before="320" w:after="160"/>
      </w:pPr>
      <w:r>
        <w:rPr>
          <w:rFonts w:ascii="Arial" w:hAnsi="Arial"/>
          <w:b/>
          <w:color w:val="006C49"/>
          <w:sz w:val="32"/>
        </w:rPr>
        <w:t>11. MANUAL DE USUARIO INTEGRAL</w:t>
      </w:r>
    </w:p>
    <w:p>
      <w:pPr>
        <w:keepNext/>
        <w:spacing w:before="240" w:after="120"/>
      </w:pPr>
      <w:r>
        <w:rPr>
          <w:rFonts w:ascii="Arial" w:hAnsi="Arial"/>
          <w:b/>
          <w:color w:val="005AC2"/>
          <w:sz w:val="26"/>
        </w:rPr>
        <w:t>11.1. Consola Central SuperAdmin (CivicLoop Technologies)</w:t>
      </w:r>
    </w:p>
    <w:p>
      <w:pPr>
        <w:pStyle w:val="ListBullet"/>
        <w:spacing w:after="80" w:line="288" w:lineRule="auto"/>
      </w:pPr>
      <w:r>
        <w:rPr>
          <w:rFonts w:ascii="Arial" w:hAnsi="Arial"/>
          <w:b/>
          <w:color w:val="191C1E"/>
          <w:sz w:val="20"/>
        </w:rPr>
        <w:t xml:space="preserve">Panel de Negocio: </w:t>
      </w:r>
      <w:r>
        <w:rPr>
          <w:rFonts w:ascii="Arial" w:hAnsi="Arial"/>
          <w:color w:val="191C1E"/>
          <w:sz w:val="20"/>
        </w:rPr>
        <w:t>Permite visualizar el MRR consolidado de la empresa (actualmente $4.700 USD/mes), tasa de retención del 98.2% y mapa de calor de municipios adheridos en la provincia de Córdoba.</w:t>
      </w:r>
    </w:p>
    <w:p>
      <w:pPr>
        <w:pStyle w:val="ListBullet"/>
        <w:spacing w:after="80" w:line="288" w:lineRule="auto"/>
      </w:pPr>
      <w:r>
        <w:rPr>
          <w:rFonts w:ascii="Arial" w:hAnsi="Arial"/>
          <w:b/>
          <w:color w:val="191C1E"/>
          <w:sz w:val="20"/>
        </w:rPr>
        <w:t xml:space="preserve">Alta de Jurisdicciones: </w:t>
      </w:r>
      <w:r>
        <w:rPr>
          <w:rFonts w:ascii="Arial" w:hAnsi="Arial"/>
          <w:color w:val="191C1E"/>
          <w:sz w:val="20"/>
        </w:rPr>
        <w:t>Permite dar de alta una nueva jurisdicción comunal o municipal en menos de 2 minutos, estableciendo su subdominio, plan contratado y cupo mensual de consultas IA.</w:t>
      </w:r>
    </w:p>
    <w:p>
      <w:pPr>
        <w:pStyle w:val="ListBullet"/>
        <w:spacing w:after="80" w:line="288" w:lineRule="auto"/>
      </w:pPr>
      <w:r>
        <w:rPr>
          <w:rFonts w:ascii="Arial" w:hAnsi="Arial"/>
          <w:b/>
          <w:color w:val="191C1E"/>
          <w:sz w:val="20"/>
        </w:rPr>
        <w:t xml:space="preserve">Telemetría de Infraestructura: </w:t>
      </w:r>
      <w:r>
        <w:rPr>
          <w:rFonts w:ascii="Arial" w:hAnsi="Arial"/>
          <w:color w:val="191C1E"/>
          <w:sz w:val="20"/>
        </w:rPr>
        <w:t>Monitorea el tiempo de respuesta medio de la API de Google Gemini (sub-segundo) y el estado de salud del clúster PostgreSQL.</w:t>
      </w:r>
    </w:p>
    <w:p>
      <w:pPr>
        <w:keepNext/>
        <w:spacing w:before="240" w:after="120"/>
      </w:pPr>
      <w:r>
        <w:rPr>
          <w:rFonts w:ascii="Arial" w:hAnsi="Arial"/>
          <w:b/>
          <w:color w:val="005AC2"/>
          <w:sz w:val="26"/>
        </w:rPr>
        <w:t>11.2. Portal Operativo Territorial Municipal (Secretarías de Ambiente)</w:t>
      </w:r>
    </w:p>
    <w:p>
      <w:pPr>
        <w:pStyle w:val="ListBullet"/>
        <w:spacing w:after="80" w:line="288" w:lineRule="auto"/>
      </w:pPr>
      <w:r>
        <w:rPr>
          <w:rFonts w:ascii="Arial" w:hAnsi="Arial"/>
          <w:b/>
          <w:color w:val="191C1E"/>
          <w:sz w:val="20"/>
        </w:rPr>
        <w:t xml:space="preserve">Gestión de Puntos Limpios: </w:t>
      </w:r>
      <w:r>
        <w:rPr>
          <w:rFonts w:ascii="Arial" w:hAnsi="Arial"/>
          <w:color w:val="191C1E"/>
          <w:sz w:val="20"/>
        </w:rPr>
        <w:t>Presenta un mapa en pantalla completa con todas las campanas de Villa del Rosario y Matorrales coloreadas según el residuo que reciben.</w:t>
      </w:r>
    </w:p>
    <w:p>
      <w:pPr>
        <w:pStyle w:val="ListBullet"/>
        <w:spacing w:after="80" w:line="288" w:lineRule="auto"/>
      </w:pPr>
      <w:r>
        <w:rPr>
          <w:rFonts w:ascii="Arial" w:hAnsi="Arial"/>
          <w:b/>
          <w:color w:val="191C1E"/>
          <w:sz w:val="20"/>
        </w:rPr>
        <w:t xml:space="preserve">Tablero de Retiros: </w:t>
      </w:r>
      <w:r>
        <w:rPr>
          <w:rFonts w:ascii="Arial" w:hAnsi="Arial"/>
          <w:color w:val="191C1E"/>
          <w:sz w:val="20"/>
        </w:rPr>
        <w:t>Recibe en tiempo real las solicitudes de los vecinos con fotos y coordenadas GPS de muebles, ramas o electrodomésticos, permitiendo asignar camiones y marcar 'En Camino' o 'Completado'.</w:t>
      </w:r>
    </w:p>
    <w:p>
      <w:pPr>
        <w:pStyle w:val="ListBullet"/>
        <w:spacing w:after="80" w:line="288" w:lineRule="auto"/>
      </w:pPr>
      <w:r>
        <w:rPr>
          <w:rFonts w:ascii="Arial" w:hAnsi="Arial"/>
          <w:b/>
          <w:color w:val="191C1E"/>
          <w:sz w:val="20"/>
        </w:rPr>
        <w:t xml:space="preserve">Auditoría Ambiental: </w:t>
      </w:r>
      <w:r>
        <w:rPr>
          <w:rFonts w:ascii="Arial" w:hAnsi="Arial"/>
          <w:color w:val="191C1E"/>
          <w:sz w:val="20"/>
        </w:rPr>
        <w:t>Permite generar e imprimir informes formales de sustentabilidad en PDF con sellos oficiales de la secretaría de ambiente, aptos para auditorías provinciales.</w:t>
      </w:r>
    </w:p>
    <w:p>
      <w:pPr>
        <w:keepNext/>
        <w:spacing w:before="240" w:after="120"/>
      </w:pPr>
      <w:r>
        <w:rPr>
          <w:rFonts w:ascii="Arial" w:hAnsi="Arial"/>
          <w:b/>
          <w:color w:val="005AC2"/>
          <w:sz w:val="26"/>
        </w:rPr>
        <w:t>11.3. Aplicación Móvil Ciudadana (Guía de Uso Paso a Paso)</w:t>
      </w:r>
    </w:p>
    <w:p>
      <w:pPr>
        <w:pStyle w:val="ListBullet"/>
        <w:spacing w:after="80" w:line="288" w:lineRule="auto"/>
      </w:pPr>
      <w:r>
        <w:rPr>
          <w:rFonts w:ascii="Arial" w:hAnsi="Arial"/>
          <w:b/>
          <w:color w:val="191C1E"/>
          <w:sz w:val="20"/>
        </w:rPr>
        <w:t xml:space="preserve">1. Exploración del Mapa: </w:t>
      </w:r>
      <w:r>
        <w:rPr>
          <w:rFonts w:ascii="Arial" w:hAnsi="Arial"/>
          <w:color w:val="191C1E"/>
          <w:sz w:val="20"/>
        </w:rPr>
        <w:t>Al abrir la app, el vecino observa su saldo de EcoPuntos y los contenedores más próximos. Puede filtrar por 'Plásticos', 'Vidrio', 'Cartón' o 'Electrónicos'.</w:t>
      </w:r>
    </w:p>
    <w:p>
      <w:pPr>
        <w:pStyle w:val="ListBullet"/>
        <w:spacing w:after="80" w:line="288" w:lineRule="auto"/>
      </w:pPr>
      <w:r>
        <w:rPr>
          <w:rFonts w:ascii="Arial" w:hAnsi="Arial"/>
          <w:b/>
          <w:color w:val="191C1E"/>
          <w:sz w:val="20"/>
        </w:rPr>
        <w:t xml:space="preserve">2. Escaneo con IA ('Analizá tu Residuo'): </w:t>
      </w:r>
      <w:r>
        <w:rPr>
          <w:rFonts w:ascii="Arial" w:hAnsi="Arial"/>
          <w:color w:val="191C1E"/>
          <w:sz w:val="20"/>
        </w:rPr>
        <w:t>El usuario pulsa el botón flotante de la cámara, apunta al residuo y captura la foto. Google Gemini analiza el objeto en tiempo real y devuelve el resultado.</w:t>
      </w:r>
    </w:p>
    <w:p>
      <w:pPr>
        <w:pStyle w:val="ListBullet"/>
        <w:spacing w:after="80" w:line="288" w:lineRule="auto"/>
      </w:pPr>
      <w:r>
        <w:rPr>
          <w:rFonts w:ascii="Arial" w:hAnsi="Arial"/>
          <w:b/>
          <w:color w:val="191C1E"/>
          <w:sz w:val="20"/>
        </w:rPr>
        <w:t xml:space="preserve">3. Navegación GPS Turn-by-Turn: </w:t>
      </w:r>
      <w:r>
        <w:rPr>
          <w:rFonts w:ascii="Arial" w:hAnsi="Arial"/>
          <w:color w:val="191C1E"/>
          <w:sz w:val="20"/>
        </w:rPr>
        <w:t>Al pie del resultado, el botón '🧭 Cómo llegar al contenedor (Google Maps)' activa la navegación por voz paso a paso por la calle hasta llegar a la campana.</w:t>
      </w:r>
    </w:p>
    <w:p>
      <w:pPr>
        <w:pStyle w:val="ListBullet"/>
        <w:spacing w:after="80" w:line="288" w:lineRule="auto"/>
      </w:pPr>
      <w:r>
        <w:rPr>
          <w:rFonts w:ascii="Arial" w:hAnsi="Arial"/>
          <w:b/>
          <w:color w:val="191C1E"/>
          <w:sz w:val="20"/>
        </w:rPr>
        <w:t xml:space="preserve">4. Consulta al Asistente: </w:t>
      </w:r>
      <w:r>
        <w:rPr>
          <w:rFonts w:ascii="Arial" w:hAnsi="Arial"/>
          <w:color w:val="191C1E"/>
          <w:sz w:val="20"/>
        </w:rPr>
        <w:t>En la pestaña 'EcoIA', el usuario puede escribir cualquier consulta ambiental con lenguaje coloquial, recibiendo respuestas instantáneas y cálidas.</w:t>
      </w:r>
    </w:p>
    <w:p>
      <w:pPr>
        <w:pStyle w:val="ListBullet"/>
        <w:spacing w:after="80" w:line="288" w:lineRule="auto"/>
      </w:pPr>
      <w:r>
        <w:rPr>
          <w:rFonts w:ascii="Arial" w:hAnsi="Arial"/>
          <w:b/>
          <w:color w:val="191C1E"/>
          <w:sz w:val="20"/>
        </w:rPr>
        <w:t xml:space="preserve">5. Canje de Beneficios: </w:t>
      </w:r>
      <w:r>
        <w:rPr>
          <w:rFonts w:ascii="Arial" w:hAnsi="Arial"/>
          <w:color w:val="191C1E"/>
          <w:sz w:val="20"/>
        </w:rPr>
        <w:t>El usuario canjea sus EcoPuntos por descuentos en comercios locales y pulsa 'Descargar Ticket' para guardar el cupón con código QR y código de barras en su galería para uso sin internet.</w:t>
      </w:r>
    </w:p>
    <w:p>
      <w:r>
        <w:br w:type="page"/>
      </w:r>
    </w:p>
    <w:p>
      <w:pPr>
        <w:keepNext/>
        <w:spacing w:before="320" w:after="160"/>
      </w:pPr>
      <w:r>
        <w:rPr>
          <w:rFonts w:ascii="Arial" w:hAnsi="Arial"/>
          <w:b/>
          <w:color w:val="006C49"/>
          <w:sz w:val="32"/>
        </w:rPr>
        <w:t>12. PRUEBAS DEL SISTEMA (QA)</w:t>
      </w:r>
    </w:p>
    <w:p>
      <w:pPr>
        <w:keepNext/>
        <w:spacing w:before="240" w:after="120"/>
      </w:pPr>
      <w:r>
        <w:rPr>
          <w:rFonts w:ascii="Arial" w:hAnsi="Arial"/>
          <w:b/>
          <w:color w:val="005AC2"/>
          <w:sz w:val="26"/>
        </w:rPr>
        <w:t>12.1. Metodología de Aseguramiento de Calidad</w:t>
      </w:r>
    </w:p>
    <w:p>
      <w:pPr>
        <w:spacing w:after="120" w:line="300" w:lineRule="auto"/>
        <w:jc w:val="both"/>
      </w:pPr>
      <w:r>
        <w:rPr>
          <w:rFonts w:ascii="Arial" w:hAnsi="Arial"/>
          <w:color w:val="191C1E"/>
          <w:sz w:val="21"/>
        </w:rPr>
        <w:t>El plan de pruebas de EcoMapa Suite V2.1 combinó análisis estático de código en TypeScript y Kotlin, pruebas de integración sobre la base de datos PostGIS, verificación de inferencia en vivo con Google Gemini y pruebas de campo territoriales en las localidades de Matorrales y Villa del Rosario.</w:t>
      </w:r>
    </w:p>
    <w:p>
      <w:pPr>
        <w:keepNext/>
        <w:spacing w:before="240" w:after="120"/>
      </w:pPr>
      <w:r>
        <w:rPr>
          <w:rFonts w:ascii="Arial" w:hAnsi="Arial"/>
          <w:b/>
          <w:color w:val="005AC2"/>
          <w:sz w:val="26"/>
        </w:rPr>
        <w:t>12.2. Matriz Exhaustiva de Casos de Prueba (CP-01 a CP-08)</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152"/>
            <w:shd w:fill="006C49"/>
            <w:tcMar>
              <w:top w:w="80" w:type="dxa"/>
              <w:bottom w:w="80" w:type="dxa"/>
              <w:left w:w="60" w:type="dxa"/>
              <w:right w:w="60" w:type="dxa"/>
            </w:tcMar>
          </w:tcPr>
          <w:p>
            <w:r>
              <w:rPr>
                <w:rFonts w:ascii="Arial" w:hAnsi="Arial"/>
                <w:b/>
                <w:color w:val="FFFFFF"/>
                <w:sz w:val="17"/>
              </w:rPr>
              <w:t>ID</w:t>
            </w:r>
          </w:p>
        </w:tc>
        <w:tc>
          <w:tcPr>
            <w:tcW w:type="dxa" w:w="1872"/>
            <w:shd w:fill="006C49"/>
            <w:tcMar>
              <w:top w:w="80" w:type="dxa"/>
              <w:bottom w:w="80" w:type="dxa"/>
              <w:left w:w="60" w:type="dxa"/>
              <w:right w:w="60" w:type="dxa"/>
            </w:tcMar>
          </w:tcPr>
          <w:p>
            <w:r>
              <w:rPr>
                <w:rFonts w:ascii="Arial" w:hAnsi="Arial"/>
                <w:b/>
                <w:color w:val="FFFFFF"/>
                <w:sz w:val="17"/>
              </w:rPr>
              <w:t>Módulo</w:t>
            </w:r>
          </w:p>
        </w:tc>
        <w:tc>
          <w:tcPr>
            <w:tcW w:type="dxa" w:w="3168"/>
            <w:shd w:fill="006C49"/>
            <w:tcMar>
              <w:top w:w="80" w:type="dxa"/>
              <w:bottom w:w="80" w:type="dxa"/>
              <w:left w:w="60" w:type="dxa"/>
              <w:right w:w="60" w:type="dxa"/>
            </w:tcMar>
          </w:tcPr>
          <w:p>
            <w:r>
              <w:rPr>
                <w:rFonts w:ascii="Arial" w:hAnsi="Arial"/>
                <w:b/>
                <w:color w:val="FFFFFF"/>
                <w:sz w:val="17"/>
              </w:rPr>
              <w:t>Descripción del Caso de Prueba</w:t>
            </w:r>
          </w:p>
        </w:tc>
        <w:tc>
          <w:tcPr>
            <w:tcW w:type="dxa" w:w="2160"/>
            <w:shd w:fill="006C49"/>
            <w:tcMar>
              <w:top w:w="80" w:type="dxa"/>
              <w:bottom w:w="80" w:type="dxa"/>
              <w:left w:w="60" w:type="dxa"/>
              <w:right w:w="60" w:type="dxa"/>
            </w:tcMar>
          </w:tcPr>
          <w:p>
            <w:r>
              <w:rPr>
                <w:rFonts w:ascii="Arial" w:hAnsi="Arial"/>
                <w:b/>
                <w:color w:val="FFFFFF"/>
                <w:sz w:val="17"/>
              </w:rPr>
              <w:t>Resultado Esperado</w:t>
            </w:r>
          </w:p>
        </w:tc>
        <w:tc>
          <w:tcPr>
            <w:tcW w:type="dxa" w:w="1008"/>
            <w:shd w:fill="006C49"/>
            <w:tcMar>
              <w:top w:w="80" w:type="dxa"/>
              <w:bottom w:w="80" w:type="dxa"/>
              <w:left w:w="60" w:type="dxa"/>
              <w:right w:w="60" w:type="dxa"/>
            </w:tcMar>
          </w:tcPr>
          <w:p>
            <w:r>
              <w:rPr>
                <w:rFonts w:ascii="Arial" w:hAnsi="Arial"/>
                <w:b/>
                <w:color w:val="FFFFFF"/>
                <w:sz w:val="17"/>
              </w:rPr>
              <w:t>Estado</w:t>
            </w:r>
          </w:p>
        </w:tc>
      </w:tr>
      <w:tr>
        <w:tc>
          <w:tcPr>
            <w:tcW w:type="dxa" w:w="1152"/>
            <w:shd w:fill="F2F6F3"/>
            <w:tcMar>
              <w:top w:w="60" w:type="dxa"/>
              <w:bottom w:w="60" w:type="dxa"/>
              <w:left w:w="60" w:type="dxa"/>
              <w:right w:w="60" w:type="dxa"/>
            </w:tcMar>
          </w:tcPr>
          <w:p>
            <w:r>
              <w:rPr>
                <w:rFonts w:ascii="Arial" w:hAnsi="Arial"/>
                <w:b/>
                <w:color w:val="191C1E"/>
                <w:sz w:val="16"/>
              </w:rPr>
              <w:t>CP-01</w:t>
            </w:r>
          </w:p>
        </w:tc>
        <w:tc>
          <w:tcPr>
            <w:tcW w:type="dxa" w:w="1872"/>
            <w:shd w:fill="F2F6F3"/>
            <w:tcMar>
              <w:top w:w="60" w:type="dxa"/>
              <w:bottom w:w="60" w:type="dxa"/>
              <w:left w:w="60" w:type="dxa"/>
              <w:right w:w="60" w:type="dxa"/>
            </w:tcMar>
          </w:tcPr>
          <w:p>
            <w:r>
              <w:rPr>
                <w:rFonts w:ascii="Arial" w:hAnsi="Arial"/>
                <w:color w:val="46554E"/>
                <w:sz w:val="16"/>
              </w:rPr>
              <w:t>Build Android</w:t>
            </w:r>
          </w:p>
        </w:tc>
        <w:tc>
          <w:tcPr>
            <w:tcW w:type="dxa" w:w="3168"/>
            <w:shd w:fill="F2F6F3"/>
            <w:tcMar>
              <w:top w:w="60" w:type="dxa"/>
              <w:bottom w:w="60" w:type="dxa"/>
              <w:left w:w="60" w:type="dxa"/>
              <w:right w:w="60" w:type="dxa"/>
            </w:tcMar>
          </w:tcPr>
          <w:p>
            <w:r>
              <w:rPr>
                <w:rFonts w:ascii="Arial" w:hAnsi="Arial"/>
                <w:color w:val="46554E"/>
                <w:sz w:val="16"/>
              </w:rPr>
              <w:t>Compilación de APK con Gradle Wrapper (assembleDebug).</w:t>
            </w:r>
          </w:p>
        </w:tc>
        <w:tc>
          <w:tcPr>
            <w:tcW w:type="dxa" w:w="2160"/>
            <w:shd w:fill="F2F6F3"/>
            <w:tcMar>
              <w:top w:w="60" w:type="dxa"/>
              <w:bottom w:w="60" w:type="dxa"/>
              <w:left w:w="60" w:type="dxa"/>
              <w:right w:w="60" w:type="dxa"/>
            </w:tcMar>
          </w:tcPr>
          <w:p>
            <w:r>
              <w:rPr>
                <w:rFonts w:ascii="Arial" w:hAnsi="Arial"/>
                <w:color w:val="46554E"/>
                <w:sz w:val="16"/>
              </w:rPr>
              <w:t>Generación de EcoMapa-v2.1-Demo.apk (21.85 MB) sin errores.</w:t>
            </w:r>
          </w:p>
        </w:tc>
        <w:tc>
          <w:tcPr>
            <w:tcW w:type="dxa" w:w="1008"/>
            <w:shd w:fill="F2F6F3"/>
            <w:tcMar>
              <w:top w:w="60" w:type="dxa"/>
              <w:bottom w:w="60" w:type="dxa"/>
              <w:left w:w="60" w:type="dxa"/>
              <w:right w:w="60" w:type="dxa"/>
            </w:tcMar>
          </w:tcPr>
          <w:p>
            <w:r>
              <w:rPr>
                <w:rFonts w:ascii="Arial" w:hAnsi="Arial"/>
                <w:b/>
                <w:color w:val="006C49"/>
                <w:sz w:val="16"/>
              </w:rPr>
              <w:t>EXITOSO</w:t>
            </w:r>
          </w:p>
        </w:tc>
      </w:tr>
      <w:tr>
        <w:tc>
          <w:tcPr>
            <w:tcW w:type="dxa" w:w="1152"/>
            <w:shd w:fill="FFFFFF"/>
            <w:tcMar>
              <w:top w:w="60" w:type="dxa"/>
              <w:bottom w:w="60" w:type="dxa"/>
              <w:left w:w="60" w:type="dxa"/>
              <w:right w:w="60" w:type="dxa"/>
            </w:tcMar>
          </w:tcPr>
          <w:p>
            <w:r>
              <w:rPr>
                <w:rFonts w:ascii="Arial" w:hAnsi="Arial"/>
                <w:b/>
                <w:color w:val="191C1E"/>
                <w:sz w:val="16"/>
              </w:rPr>
              <w:t>CP-02</w:t>
            </w:r>
          </w:p>
        </w:tc>
        <w:tc>
          <w:tcPr>
            <w:tcW w:type="dxa" w:w="1872"/>
            <w:shd w:fill="FFFFFF"/>
            <w:tcMar>
              <w:top w:w="60" w:type="dxa"/>
              <w:bottom w:w="60" w:type="dxa"/>
              <w:left w:w="60" w:type="dxa"/>
              <w:right w:w="60" w:type="dxa"/>
            </w:tcMar>
          </w:tcPr>
          <w:p>
            <w:r>
              <w:rPr>
                <w:rFonts w:ascii="Arial" w:hAnsi="Arial"/>
                <w:color w:val="46554E"/>
                <w:sz w:val="16"/>
              </w:rPr>
              <w:t>Build Web 5173</w:t>
            </w:r>
          </w:p>
        </w:tc>
        <w:tc>
          <w:tcPr>
            <w:tcW w:type="dxa" w:w="3168"/>
            <w:shd w:fill="FFFFFF"/>
            <w:tcMar>
              <w:top w:w="60" w:type="dxa"/>
              <w:bottom w:w="60" w:type="dxa"/>
              <w:left w:w="60" w:type="dxa"/>
              <w:right w:w="60" w:type="dxa"/>
            </w:tcMar>
          </w:tcPr>
          <w:p>
            <w:r>
              <w:rPr>
                <w:rFonts w:ascii="Arial" w:hAnsi="Arial"/>
                <w:color w:val="46554E"/>
                <w:sz w:val="16"/>
              </w:rPr>
              <w:t>Compilación y arranque de Portal Tenant en puerto 5173.</w:t>
            </w:r>
          </w:p>
        </w:tc>
        <w:tc>
          <w:tcPr>
            <w:tcW w:type="dxa" w:w="2160"/>
            <w:shd w:fill="FFFFFF"/>
            <w:tcMar>
              <w:top w:w="60" w:type="dxa"/>
              <w:bottom w:w="60" w:type="dxa"/>
              <w:left w:w="60" w:type="dxa"/>
              <w:right w:w="60" w:type="dxa"/>
            </w:tcMar>
          </w:tcPr>
          <w:p>
            <w:r>
              <w:rPr>
                <w:rFonts w:ascii="Arial" w:hAnsi="Arial"/>
                <w:color w:val="46554E"/>
                <w:sz w:val="16"/>
              </w:rPr>
              <w:t>HTTP 200 OK y renderizado cartográfico de Leaflet.</w:t>
            </w:r>
          </w:p>
        </w:tc>
        <w:tc>
          <w:tcPr>
            <w:tcW w:type="dxa" w:w="1008"/>
            <w:shd w:fill="FFFFFF"/>
            <w:tcMar>
              <w:top w:w="60" w:type="dxa"/>
              <w:bottom w:w="60" w:type="dxa"/>
              <w:left w:w="60" w:type="dxa"/>
              <w:right w:w="60" w:type="dxa"/>
            </w:tcMar>
          </w:tcPr>
          <w:p>
            <w:r>
              <w:rPr>
                <w:rFonts w:ascii="Arial" w:hAnsi="Arial"/>
                <w:b/>
                <w:color w:val="006C49"/>
                <w:sz w:val="16"/>
              </w:rPr>
              <w:t>EXITOSO</w:t>
            </w:r>
          </w:p>
        </w:tc>
      </w:tr>
      <w:tr>
        <w:tc>
          <w:tcPr>
            <w:tcW w:type="dxa" w:w="1152"/>
            <w:shd w:fill="F2F6F3"/>
            <w:tcMar>
              <w:top w:w="60" w:type="dxa"/>
              <w:bottom w:w="60" w:type="dxa"/>
              <w:left w:w="60" w:type="dxa"/>
              <w:right w:w="60" w:type="dxa"/>
            </w:tcMar>
          </w:tcPr>
          <w:p>
            <w:r>
              <w:rPr>
                <w:rFonts w:ascii="Arial" w:hAnsi="Arial"/>
                <w:b/>
                <w:color w:val="191C1E"/>
                <w:sz w:val="16"/>
              </w:rPr>
              <w:t>CP-03</w:t>
            </w:r>
          </w:p>
        </w:tc>
        <w:tc>
          <w:tcPr>
            <w:tcW w:type="dxa" w:w="1872"/>
            <w:shd w:fill="F2F6F3"/>
            <w:tcMar>
              <w:top w:w="60" w:type="dxa"/>
              <w:bottom w:w="60" w:type="dxa"/>
              <w:left w:w="60" w:type="dxa"/>
              <w:right w:w="60" w:type="dxa"/>
            </w:tcMar>
          </w:tcPr>
          <w:p>
            <w:r>
              <w:rPr>
                <w:rFonts w:ascii="Arial" w:hAnsi="Arial"/>
                <w:color w:val="46554E"/>
                <w:sz w:val="16"/>
              </w:rPr>
              <w:t>Build Web 5174</w:t>
            </w:r>
          </w:p>
        </w:tc>
        <w:tc>
          <w:tcPr>
            <w:tcW w:type="dxa" w:w="3168"/>
            <w:shd w:fill="F2F6F3"/>
            <w:tcMar>
              <w:top w:w="60" w:type="dxa"/>
              <w:bottom w:w="60" w:type="dxa"/>
              <w:left w:w="60" w:type="dxa"/>
              <w:right w:w="60" w:type="dxa"/>
            </w:tcMar>
          </w:tcPr>
          <w:p>
            <w:r>
              <w:rPr>
                <w:rFonts w:ascii="Arial" w:hAnsi="Arial"/>
                <w:color w:val="46554E"/>
                <w:sz w:val="16"/>
              </w:rPr>
              <w:t>Compilación y arranque de SuperAdmin en puerto 5174.</w:t>
            </w:r>
          </w:p>
        </w:tc>
        <w:tc>
          <w:tcPr>
            <w:tcW w:type="dxa" w:w="2160"/>
            <w:shd w:fill="F2F6F3"/>
            <w:tcMar>
              <w:top w:w="60" w:type="dxa"/>
              <w:bottom w:w="60" w:type="dxa"/>
              <w:left w:w="60" w:type="dxa"/>
              <w:right w:w="60" w:type="dxa"/>
            </w:tcMar>
          </w:tcPr>
          <w:p>
            <w:r>
              <w:rPr>
                <w:rFonts w:ascii="Arial" w:hAnsi="Arial"/>
                <w:color w:val="46554E"/>
                <w:sz w:val="16"/>
              </w:rPr>
              <w:t>HTTP 200 OK y carga de telemetría de ingresos SaaS.</w:t>
            </w:r>
          </w:p>
        </w:tc>
        <w:tc>
          <w:tcPr>
            <w:tcW w:type="dxa" w:w="1008"/>
            <w:shd w:fill="F2F6F3"/>
            <w:tcMar>
              <w:top w:w="60" w:type="dxa"/>
              <w:bottom w:w="60" w:type="dxa"/>
              <w:left w:w="60" w:type="dxa"/>
              <w:right w:w="60" w:type="dxa"/>
            </w:tcMar>
          </w:tcPr>
          <w:p>
            <w:r>
              <w:rPr>
                <w:rFonts w:ascii="Arial" w:hAnsi="Arial"/>
                <w:b/>
                <w:color w:val="006C49"/>
                <w:sz w:val="16"/>
              </w:rPr>
              <w:t>EXITOSO</w:t>
            </w:r>
          </w:p>
        </w:tc>
      </w:tr>
      <w:tr>
        <w:tc>
          <w:tcPr>
            <w:tcW w:type="dxa" w:w="1152"/>
            <w:shd w:fill="FFFFFF"/>
            <w:tcMar>
              <w:top w:w="60" w:type="dxa"/>
              <w:bottom w:w="60" w:type="dxa"/>
              <w:left w:w="60" w:type="dxa"/>
              <w:right w:w="60" w:type="dxa"/>
            </w:tcMar>
          </w:tcPr>
          <w:p>
            <w:r>
              <w:rPr>
                <w:rFonts w:ascii="Arial" w:hAnsi="Arial"/>
                <w:b/>
                <w:color w:val="191C1E"/>
                <w:sz w:val="16"/>
              </w:rPr>
              <w:t>CP-04</w:t>
            </w:r>
          </w:p>
        </w:tc>
        <w:tc>
          <w:tcPr>
            <w:tcW w:type="dxa" w:w="1872"/>
            <w:shd w:fill="FFFFFF"/>
            <w:tcMar>
              <w:top w:w="60" w:type="dxa"/>
              <w:bottom w:w="60" w:type="dxa"/>
              <w:left w:w="60" w:type="dxa"/>
              <w:right w:w="60" w:type="dxa"/>
            </w:tcMar>
          </w:tcPr>
          <w:p>
            <w:r>
              <w:rPr>
                <w:rFonts w:ascii="Arial" w:hAnsi="Arial"/>
                <w:color w:val="46554E"/>
                <w:sz w:val="16"/>
              </w:rPr>
              <w:t>IA Conversacional</w:t>
            </w:r>
          </w:p>
        </w:tc>
        <w:tc>
          <w:tcPr>
            <w:tcW w:type="dxa" w:w="3168"/>
            <w:shd w:fill="FFFFFF"/>
            <w:tcMar>
              <w:top w:w="60" w:type="dxa"/>
              <w:bottom w:w="60" w:type="dxa"/>
              <w:left w:w="60" w:type="dxa"/>
              <w:right w:w="60" w:type="dxa"/>
            </w:tcMar>
          </w:tcPr>
          <w:p>
            <w:r>
              <w:rPr>
                <w:rFonts w:ascii="Arial" w:hAnsi="Arial"/>
                <w:color w:val="46554E"/>
                <w:sz w:val="16"/>
              </w:rPr>
              <w:t>Consulta 'hola' en EcoIA Asistente desde Matorrales.</w:t>
            </w:r>
          </w:p>
        </w:tc>
        <w:tc>
          <w:tcPr>
            <w:tcW w:type="dxa" w:w="2160"/>
            <w:shd w:fill="FFFFFF"/>
            <w:tcMar>
              <w:top w:w="60" w:type="dxa"/>
              <w:bottom w:w="60" w:type="dxa"/>
              <w:left w:w="60" w:type="dxa"/>
              <w:right w:w="60" w:type="dxa"/>
            </w:tcMar>
          </w:tcPr>
          <w:p>
            <w:r>
              <w:rPr>
                <w:rFonts w:ascii="Arial" w:hAnsi="Arial"/>
                <w:color w:val="46554E"/>
                <w:sz w:val="16"/>
              </w:rPr>
              <w:t>Respuesta cordial sin alucinaciones, sin contenedores falsos, 0 pts.</w:t>
            </w:r>
          </w:p>
        </w:tc>
        <w:tc>
          <w:tcPr>
            <w:tcW w:type="dxa" w:w="1008"/>
            <w:shd w:fill="FFFFFF"/>
            <w:tcMar>
              <w:top w:w="60" w:type="dxa"/>
              <w:bottom w:w="60" w:type="dxa"/>
              <w:left w:w="60" w:type="dxa"/>
              <w:right w:w="60" w:type="dxa"/>
            </w:tcMar>
          </w:tcPr>
          <w:p>
            <w:r>
              <w:rPr>
                <w:rFonts w:ascii="Arial" w:hAnsi="Arial"/>
                <w:b/>
                <w:color w:val="006C49"/>
                <w:sz w:val="16"/>
              </w:rPr>
              <w:t>EXITOSO</w:t>
            </w:r>
          </w:p>
        </w:tc>
      </w:tr>
      <w:tr>
        <w:tc>
          <w:tcPr>
            <w:tcW w:type="dxa" w:w="1152"/>
            <w:shd w:fill="F2F6F3"/>
            <w:tcMar>
              <w:top w:w="60" w:type="dxa"/>
              <w:bottom w:w="60" w:type="dxa"/>
              <w:left w:w="60" w:type="dxa"/>
              <w:right w:w="60" w:type="dxa"/>
            </w:tcMar>
          </w:tcPr>
          <w:p>
            <w:r>
              <w:rPr>
                <w:rFonts w:ascii="Arial" w:hAnsi="Arial"/>
                <w:b/>
                <w:color w:val="191C1E"/>
                <w:sz w:val="16"/>
              </w:rPr>
              <w:t>CP-05</w:t>
            </w:r>
          </w:p>
        </w:tc>
        <w:tc>
          <w:tcPr>
            <w:tcW w:type="dxa" w:w="1872"/>
            <w:shd w:fill="F2F6F3"/>
            <w:tcMar>
              <w:top w:w="60" w:type="dxa"/>
              <w:bottom w:w="60" w:type="dxa"/>
              <w:left w:w="60" w:type="dxa"/>
              <w:right w:w="60" w:type="dxa"/>
            </w:tcMar>
          </w:tcPr>
          <w:p>
            <w:r>
              <w:rPr>
                <w:rFonts w:ascii="Arial" w:hAnsi="Arial"/>
                <w:color w:val="46554E"/>
                <w:sz w:val="16"/>
              </w:rPr>
              <w:t>IA Clasificación</w:t>
            </w:r>
          </w:p>
        </w:tc>
        <w:tc>
          <w:tcPr>
            <w:tcW w:type="dxa" w:w="3168"/>
            <w:shd w:fill="F2F6F3"/>
            <w:tcMar>
              <w:top w:w="60" w:type="dxa"/>
              <w:bottom w:w="60" w:type="dxa"/>
              <w:left w:w="60" w:type="dxa"/>
              <w:right w:w="60" w:type="dxa"/>
            </w:tcMar>
          </w:tcPr>
          <w:p>
            <w:r>
              <w:rPr>
                <w:rFonts w:ascii="Arial" w:hAnsi="Arial"/>
                <w:color w:val="46554E"/>
                <w:sz w:val="16"/>
              </w:rPr>
              <w:t>Consulta 'tengo 3 botellas plásticas' en EcoIA.</w:t>
            </w:r>
          </w:p>
        </w:tc>
        <w:tc>
          <w:tcPr>
            <w:tcW w:type="dxa" w:w="2160"/>
            <w:shd w:fill="F2F6F3"/>
            <w:tcMar>
              <w:top w:w="60" w:type="dxa"/>
              <w:bottom w:w="60" w:type="dxa"/>
              <w:left w:w="60" w:type="dxa"/>
              <w:right w:w="60" w:type="dxa"/>
            </w:tcMar>
          </w:tcPr>
          <w:p>
            <w:r>
              <w:rPr>
                <w:rFonts w:ascii="Arial" w:hAnsi="Arial"/>
                <w:color w:val="46554E"/>
                <w:sz w:val="16"/>
              </w:rPr>
              <w:t>Identifica campana amarilla Plaza San Martín a 60m y +30 pts.</w:t>
            </w:r>
          </w:p>
        </w:tc>
        <w:tc>
          <w:tcPr>
            <w:tcW w:type="dxa" w:w="1008"/>
            <w:shd w:fill="F2F6F3"/>
            <w:tcMar>
              <w:top w:w="60" w:type="dxa"/>
              <w:bottom w:w="60" w:type="dxa"/>
              <w:left w:w="60" w:type="dxa"/>
              <w:right w:w="60" w:type="dxa"/>
            </w:tcMar>
          </w:tcPr>
          <w:p>
            <w:r>
              <w:rPr>
                <w:rFonts w:ascii="Arial" w:hAnsi="Arial"/>
                <w:b/>
                <w:color w:val="006C49"/>
                <w:sz w:val="16"/>
              </w:rPr>
              <w:t>EXITOSO</w:t>
            </w:r>
          </w:p>
        </w:tc>
      </w:tr>
      <w:tr>
        <w:tc>
          <w:tcPr>
            <w:tcW w:type="dxa" w:w="1152"/>
            <w:shd w:fill="FFFFFF"/>
            <w:tcMar>
              <w:top w:w="60" w:type="dxa"/>
              <w:bottom w:w="60" w:type="dxa"/>
              <w:left w:w="60" w:type="dxa"/>
              <w:right w:w="60" w:type="dxa"/>
            </w:tcMar>
          </w:tcPr>
          <w:p>
            <w:r>
              <w:rPr>
                <w:rFonts w:ascii="Arial" w:hAnsi="Arial"/>
                <w:b/>
                <w:color w:val="191C1E"/>
                <w:sz w:val="16"/>
              </w:rPr>
              <w:t>CP-06</w:t>
            </w:r>
          </w:p>
        </w:tc>
        <w:tc>
          <w:tcPr>
            <w:tcW w:type="dxa" w:w="1872"/>
            <w:shd w:fill="FFFFFF"/>
            <w:tcMar>
              <w:top w:w="60" w:type="dxa"/>
              <w:bottom w:w="60" w:type="dxa"/>
              <w:left w:w="60" w:type="dxa"/>
              <w:right w:w="60" w:type="dxa"/>
            </w:tcMar>
          </w:tcPr>
          <w:p>
            <w:r>
              <w:rPr>
                <w:rFonts w:ascii="Arial" w:hAnsi="Arial"/>
                <w:color w:val="46554E"/>
                <w:sz w:val="16"/>
              </w:rPr>
              <w:t>Visión Artificial</w:t>
            </w:r>
          </w:p>
        </w:tc>
        <w:tc>
          <w:tcPr>
            <w:tcW w:type="dxa" w:w="3168"/>
            <w:shd w:fill="FFFFFF"/>
            <w:tcMar>
              <w:top w:w="60" w:type="dxa"/>
              <w:bottom w:w="60" w:type="dxa"/>
              <w:left w:w="60" w:type="dxa"/>
              <w:right w:w="60" w:type="dxa"/>
            </w:tcMar>
          </w:tcPr>
          <w:p>
            <w:r>
              <w:rPr>
                <w:rFonts w:ascii="Arial" w:hAnsi="Arial"/>
                <w:color w:val="46554E"/>
                <w:sz w:val="16"/>
              </w:rPr>
              <w:t>Captura de foto de botella PET en ScanScreen.kt.</w:t>
            </w:r>
          </w:p>
        </w:tc>
        <w:tc>
          <w:tcPr>
            <w:tcW w:type="dxa" w:w="2160"/>
            <w:shd w:fill="FFFFFF"/>
            <w:tcMar>
              <w:top w:w="60" w:type="dxa"/>
              <w:bottom w:w="60" w:type="dxa"/>
              <w:left w:w="60" w:type="dxa"/>
              <w:right w:w="60" w:type="dxa"/>
            </w:tcMar>
          </w:tcPr>
          <w:p>
            <w:r>
              <w:rPr>
                <w:rFonts w:ascii="Arial" w:hAnsi="Arial"/>
                <w:color w:val="46554E"/>
                <w:sz w:val="16"/>
              </w:rPr>
              <w:t>Detección visual 'Plásticos', foto de campana y botón Google Maps.</w:t>
            </w:r>
          </w:p>
        </w:tc>
        <w:tc>
          <w:tcPr>
            <w:tcW w:type="dxa" w:w="1008"/>
            <w:shd w:fill="FFFFFF"/>
            <w:tcMar>
              <w:top w:w="60" w:type="dxa"/>
              <w:bottom w:w="60" w:type="dxa"/>
              <w:left w:w="60" w:type="dxa"/>
              <w:right w:w="60" w:type="dxa"/>
            </w:tcMar>
          </w:tcPr>
          <w:p>
            <w:r>
              <w:rPr>
                <w:rFonts w:ascii="Arial" w:hAnsi="Arial"/>
                <w:b/>
                <w:color w:val="006C49"/>
                <w:sz w:val="16"/>
              </w:rPr>
              <w:t>EXITOSO</w:t>
            </w:r>
          </w:p>
        </w:tc>
      </w:tr>
      <w:tr>
        <w:tc>
          <w:tcPr>
            <w:tcW w:type="dxa" w:w="1152"/>
            <w:shd w:fill="F2F6F3"/>
            <w:tcMar>
              <w:top w:w="60" w:type="dxa"/>
              <w:bottom w:w="60" w:type="dxa"/>
              <w:left w:w="60" w:type="dxa"/>
              <w:right w:w="60" w:type="dxa"/>
            </w:tcMar>
          </w:tcPr>
          <w:p>
            <w:r>
              <w:rPr>
                <w:rFonts w:ascii="Arial" w:hAnsi="Arial"/>
                <w:b/>
                <w:color w:val="191C1E"/>
                <w:sz w:val="16"/>
              </w:rPr>
              <w:t>CP-07</w:t>
            </w:r>
          </w:p>
        </w:tc>
        <w:tc>
          <w:tcPr>
            <w:tcW w:type="dxa" w:w="1872"/>
            <w:shd w:fill="F2F6F3"/>
            <w:tcMar>
              <w:top w:w="60" w:type="dxa"/>
              <w:bottom w:w="60" w:type="dxa"/>
              <w:left w:w="60" w:type="dxa"/>
              <w:right w:w="60" w:type="dxa"/>
            </w:tcMar>
          </w:tcPr>
          <w:p>
            <w:r>
              <w:rPr>
                <w:rFonts w:ascii="Arial" w:hAnsi="Arial"/>
                <w:color w:val="46554E"/>
                <w:sz w:val="16"/>
              </w:rPr>
              <w:t>Navegación GPS</w:t>
            </w:r>
          </w:p>
        </w:tc>
        <w:tc>
          <w:tcPr>
            <w:tcW w:type="dxa" w:w="3168"/>
            <w:shd w:fill="F2F6F3"/>
            <w:tcMar>
              <w:top w:w="60" w:type="dxa"/>
              <w:bottom w:w="60" w:type="dxa"/>
              <w:left w:w="60" w:type="dxa"/>
              <w:right w:w="60" w:type="dxa"/>
            </w:tcMar>
          </w:tcPr>
          <w:p>
            <w:r>
              <w:rPr>
                <w:rFonts w:ascii="Arial" w:hAnsi="Arial"/>
                <w:color w:val="46554E"/>
                <w:sz w:val="16"/>
              </w:rPr>
              <w:t>Pulsar '🧭 Cómo llegar' tras clasificar residuo.</w:t>
            </w:r>
          </w:p>
        </w:tc>
        <w:tc>
          <w:tcPr>
            <w:tcW w:type="dxa" w:w="2160"/>
            <w:shd w:fill="F2F6F3"/>
            <w:tcMar>
              <w:top w:w="60" w:type="dxa"/>
              <w:bottom w:w="60" w:type="dxa"/>
              <w:left w:w="60" w:type="dxa"/>
              <w:right w:w="60" w:type="dxa"/>
            </w:tcMar>
          </w:tcPr>
          <w:p>
            <w:r>
              <w:rPr>
                <w:rFonts w:ascii="Arial" w:hAnsi="Arial"/>
                <w:color w:val="46554E"/>
                <w:sz w:val="16"/>
              </w:rPr>
              <w:t>Apertura de Google Maps en modo navegación guiada por voz.</w:t>
            </w:r>
          </w:p>
        </w:tc>
        <w:tc>
          <w:tcPr>
            <w:tcW w:type="dxa" w:w="1008"/>
            <w:shd w:fill="F2F6F3"/>
            <w:tcMar>
              <w:top w:w="60" w:type="dxa"/>
              <w:bottom w:w="60" w:type="dxa"/>
              <w:left w:w="60" w:type="dxa"/>
              <w:right w:w="60" w:type="dxa"/>
            </w:tcMar>
          </w:tcPr>
          <w:p>
            <w:r>
              <w:rPr>
                <w:rFonts w:ascii="Arial" w:hAnsi="Arial"/>
                <w:b/>
                <w:color w:val="006C49"/>
                <w:sz w:val="16"/>
              </w:rPr>
              <w:t>EXITOSO</w:t>
            </w:r>
          </w:p>
        </w:tc>
      </w:tr>
      <w:tr>
        <w:tc>
          <w:tcPr>
            <w:tcW w:type="dxa" w:w="1152"/>
            <w:shd w:fill="FFFFFF"/>
            <w:tcMar>
              <w:top w:w="60" w:type="dxa"/>
              <w:bottom w:w="60" w:type="dxa"/>
              <w:left w:w="60" w:type="dxa"/>
              <w:right w:w="60" w:type="dxa"/>
            </w:tcMar>
          </w:tcPr>
          <w:p>
            <w:r>
              <w:rPr>
                <w:rFonts w:ascii="Arial" w:hAnsi="Arial"/>
                <w:b/>
                <w:color w:val="191C1E"/>
                <w:sz w:val="16"/>
              </w:rPr>
              <w:t>CP-08</w:t>
            </w:r>
          </w:p>
        </w:tc>
        <w:tc>
          <w:tcPr>
            <w:tcW w:type="dxa" w:w="1872"/>
            <w:shd w:fill="FFFFFF"/>
            <w:tcMar>
              <w:top w:w="60" w:type="dxa"/>
              <w:bottom w:w="60" w:type="dxa"/>
              <w:left w:w="60" w:type="dxa"/>
              <w:right w:w="60" w:type="dxa"/>
            </w:tcMar>
          </w:tcPr>
          <w:p>
            <w:r>
              <w:rPr>
                <w:rFonts w:ascii="Arial" w:hAnsi="Arial"/>
                <w:color w:val="46554E"/>
                <w:sz w:val="16"/>
              </w:rPr>
              <w:t>Splash Screen</w:t>
            </w:r>
          </w:p>
        </w:tc>
        <w:tc>
          <w:tcPr>
            <w:tcW w:type="dxa" w:w="3168"/>
            <w:shd w:fill="FFFFFF"/>
            <w:tcMar>
              <w:top w:w="60" w:type="dxa"/>
              <w:bottom w:w="60" w:type="dxa"/>
              <w:left w:w="60" w:type="dxa"/>
              <w:right w:w="60" w:type="dxa"/>
            </w:tcMar>
          </w:tcPr>
          <w:p>
            <w:r>
              <w:rPr>
                <w:rFonts w:ascii="Arial" w:hAnsi="Arial"/>
                <w:color w:val="46554E"/>
                <w:sz w:val="16"/>
              </w:rPr>
              <w:t>Inicio de la app en dispositivo con Android 12+.</w:t>
            </w:r>
          </w:p>
        </w:tc>
        <w:tc>
          <w:tcPr>
            <w:tcW w:type="dxa" w:w="2160"/>
            <w:shd w:fill="FFFFFF"/>
            <w:tcMar>
              <w:top w:w="60" w:type="dxa"/>
              <w:bottom w:w="60" w:type="dxa"/>
              <w:left w:w="60" w:type="dxa"/>
              <w:right w:w="60" w:type="dxa"/>
            </w:tcMar>
          </w:tcPr>
          <w:p>
            <w:r>
              <w:rPr>
                <w:rFonts w:ascii="Arial" w:hAnsi="Arial"/>
                <w:color w:val="46554E"/>
                <w:sz w:val="16"/>
              </w:rPr>
              <w:t>Isotipo de EcoMapa flotando 100% transparente sin bordes blancos.</w:t>
            </w:r>
          </w:p>
        </w:tc>
        <w:tc>
          <w:tcPr>
            <w:tcW w:type="dxa" w:w="1008"/>
            <w:shd w:fill="FFFFFF"/>
            <w:tcMar>
              <w:top w:w="60" w:type="dxa"/>
              <w:bottom w:w="60" w:type="dxa"/>
              <w:left w:w="60" w:type="dxa"/>
              <w:right w:w="60" w:type="dxa"/>
            </w:tcMar>
          </w:tcPr>
          <w:p>
            <w:r>
              <w:rPr>
                <w:rFonts w:ascii="Arial" w:hAnsi="Arial"/>
                <w:b/>
                <w:color w:val="006C49"/>
                <w:sz w:val="16"/>
              </w:rPr>
              <w:t>EXITOSO</w:t>
            </w:r>
          </w:p>
        </w:tc>
      </w:tr>
    </w:tbl>
    <w:p>
      <w:pPr>
        <w:keepNext/>
        <w:spacing w:before="240" w:after="120"/>
      </w:pPr>
      <w:r>
        <w:rPr>
          <w:rFonts w:ascii="Arial" w:hAnsi="Arial"/>
          <w:b/>
          <w:color w:val="005AC2"/>
          <w:sz w:val="26"/>
        </w:rPr>
        <w:t>12.3. Evidencias de Ejecución en Matorrales y Villa del Rosario</w:t>
      </w:r>
    </w:p>
    <w:p>
      <w:pPr>
        <w:spacing w:after="120" w:line="300" w:lineRule="auto"/>
        <w:jc w:val="both"/>
      </w:pPr>
      <w:r>
        <w:rPr>
          <w:rFonts w:ascii="Arial" w:hAnsi="Arial"/>
          <w:color w:val="191C1E"/>
          <w:sz w:val="21"/>
        </w:rPr>
        <w:t>Las pruebas territoriales en vivo realizadas con el APK demostraron una precisión del 100% en la detección del contenedor más cercano. En Matorrales (-31.7148, -63.5110), el sistema direccionó correctamente hacia la Campana Amarilla de Plaza San Martín y al nuevo Punto RAEE del Centro Cívico. En Villa del Rosario (-31.5541, -63.5345), el sistema ruteó eficazmente hacia el Punto RAEE de Plaza General Paz y el Buzón de la Terminal de Ómnibus.</w:t>
      </w:r>
    </w:p>
    <w:p>
      <w:r>
        <w:br w:type="page"/>
      </w:r>
    </w:p>
    <w:p>
      <w:pPr>
        <w:keepNext/>
        <w:spacing w:before="320" w:after="160"/>
      </w:pPr>
      <w:r>
        <w:rPr>
          <w:rFonts w:ascii="Arial" w:hAnsi="Arial"/>
          <w:b/>
          <w:color w:val="006C49"/>
          <w:sz w:val="32"/>
        </w:rPr>
        <w:t>13. CONCLUSIONES Y TRABAJO FUTURO</w:t>
      </w:r>
    </w:p>
    <w:p>
      <w:pPr>
        <w:keepNext/>
        <w:spacing w:before="240" w:after="120"/>
      </w:pPr>
      <w:r>
        <w:rPr>
          <w:rFonts w:ascii="Arial" w:hAnsi="Arial"/>
          <w:b/>
          <w:color w:val="005AC2"/>
          <w:sz w:val="26"/>
        </w:rPr>
        <w:t>13.1. Aprendizajes del Equipo y Desafíos Técnicos Superados</w:t>
      </w:r>
    </w:p>
    <w:p>
      <w:pPr>
        <w:spacing w:after="120" w:line="300" w:lineRule="auto"/>
        <w:jc w:val="both"/>
      </w:pPr>
      <w:r>
        <w:rPr>
          <w:rFonts w:ascii="Arial" w:hAnsi="Arial"/>
          <w:b/>
          <w:color w:val="191C1E"/>
          <w:sz w:val="21"/>
        </w:rPr>
        <w:t xml:space="preserve">Balance Formativo: </w:t>
      </w:r>
      <w:r>
        <w:rPr>
          <w:rFonts w:ascii="Arial" w:hAnsi="Arial"/>
          <w:color w:val="191C1E"/>
          <w:sz w:val="21"/>
        </w:rPr>
        <w:t>El desarrollo e implementación de EcoMapa Suite V2.1 constituyó un desafío de alta ingeniería que permitió al equipo consolidar competencias avanzadas en el ciclo completo de vida del software, desde la concepción del modelo de negocio hasta el despliegue en producción:</w:t>
      </w:r>
    </w:p>
    <w:p>
      <w:pPr>
        <w:pStyle w:val="ListBullet"/>
        <w:spacing w:after="80" w:line="288" w:lineRule="auto"/>
      </w:pPr>
      <w:r>
        <w:rPr>
          <w:rFonts w:ascii="Arial" w:hAnsi="Arial"/>
          <w:b/>
          <w:color w:val="191C1E"/>
          <w:sz w:val="20"/>
        </w:rPr>
        <w:t xml:space="preserve">Ingeniería de Inteligencia Artificial: </w:t>
      </w:r>
      <w:r>
        <w:rPr>
          <w:rFonts w:ascii="Arial" w:hAnsi="Arial"/>
          <w:color w:val="191C1E"/>
          <w:sz w:val="20"/>
        </w:rPr>
        <w:t>La migración de modelos de lenguaje hacia Google Gemini demostró la importancia de calibrar los System Prompts para diferenciar intenciones conversacionales y estructurar respuestas en JSON nativo sin alucinaciones.</w:t>
      </w:r>
    </w:p>
    <w:p>
      <w:pPr>
        <w:pStyle w:val="ListBullet"/>
        <w:spacing w:after="80" w:line="288" w:lineRule="auto"/>
      </w:pPr>
      <w:r>
        <w:rPr>
          <w:rFonts w:ascii="Arial" w:hAnsi="Arial"/>
          <w:b/>
          <w:color w:val="191C1E"/>
          <w:sz w:val="20"/>
        </w:rPr>
        <w:t xml:space="preserve">Optimización Geoespacial: </w:t>
      </w:r>
      <w:r>
        <w:rPr>
          <w:rFonts w:ascii="Arial" w:hAnsi="Arial"/>
          <w:color w:val="191C1E"/>
          <w:sz w:val="20"/>
        </w:rPr>
        <w:t>La integración de cálculos esféricos en la base de datos mediante PostGIS alivió el consumo de batería en los teléfonos y aseguró tiempos de búsqueda inferiores a 15 milisegundos.</w:t>
      </w:r>
    </w:p>
    <w:p>
      <w:pPr>
        <w:pStyle w:val="ListBullet"/>
        <w:spacing w:after="80" w:line="288" w:lineRule="auto"/>
      </w:pPr>
      <w:r>
        <w:rPr>
          <w:rFonts w:ascii="Arial" w:hAnsi="Arial"/>
          <w:b/>
          <w:color w:val="191C1E"/>
          <w:sz w:val="20"/>
        </w:rPr>
        <w:t xml:space="preserve">Refinamiento de UX/UI Nativo: </w:t>
      </w:r>
      <w:r>
        <w:rPr>
          <w:rFonts w:ascii="Arial" w:hAnsi="Arial"/>
          <w:color w:val="191C1E"/>
          <w:sz w:val="20"/>
        </w:rPr>
        <w:t>La resolución del conflicto de la máscara circular de Android 12+ en el Splash Screen evidenció la necesidad de diseñar componentes visuales que respeten estrictamente las especificaciones de la plataforma de destino.</w:t>
      </w:r>
    </w:p>
    <w:p>
      <w:pPr>
        <w:keepNext/>
        <w:spacing w:before="240" w:after="120"/>
      </w:pPr>
      <w:r>
        <w:rPr>
          <w:rFonts w:ascii="Arial" w:hAnsi="Arial"/>
          <w:b/>
          <w:color w:val="005AC2"/>
          <w:sz w:val="26"/>
        </w:rPr>
        <w:t>13.2. Hoja de Ruta y Líneas Futuras de Evolución</w:t>
      </w:r>
    </w:p>
    <w:p>
      <w:pPr>
        <w:pStyle w:val="ListBullet"/>
        <w:spacing w:after="80" w:line="288" w:lineRule="auto"/>
      </w:pPr>
      <w:r>
        <w:rPr>
          <w:rFonts w:ascii="Arial" w:hAnsi="Arial"/>
          <w:b/>
          <w:color w:val="191C1E"/>
          <w:sz w:val="20"/>
        </w:rPr>
        <w:t xml:space="preserve">1. Ruteo Logístico Inteligente para Camiones: </w:t>
      </w:r>
      <w:r>
        <w:rPr>
          <w:rFonts w:ascii="Arial" w:hAnsi="Arial"/>
          <w:color w:val="191C1E"/>
          <w:sz w:val="20"/>
        </w:rPr>
        <w:t>Implementación de algoritmos de optimización de rutas de vehículos (Vehicle Routing Problem - VRP) para camiones municipales basado en el nivel de llenado de campanas reportado en la app.</w:t>
      </w:r>
    </w:p>
    <w:p>
      <w:pPr>
        <w:pStyle w:val="ListBullet"/>
        <w:spacing w:after="80" w:line="288" w:lineRule="auto"/>
      </w:pPr>
      <w:r>
        <w:rPr>
          <w:rFonts w:ascii="Arial" w:hAnsi="Arial"/>
          <w:b/>
          <w:color w:val="191C1E"/>
          <w:sz w:val="20"/>
        </w:rPr>
        <w:t xml:space="preserve">2. Sensorización IoT de Campanas de Reciclaje: </w:t>
      </w:r>
      <w:r>
        <w:rPr>
          <w:rFonts w:ascii="Arial" w:hAnsi="Arial"/>
          <w:color w:val="191C1E"/>
          <w:sz w:val="20"/>
        </w:rPr>
        <w:t>Instalación de sensores de ultrasonido conectados vía red LoRaWAN o NB-IoT en las campanas para actualizar automáticamente su capacidad en la base de datos sin requerir reporte manual.</w:t>
      </w:r>
    </w:p>
    <w:p>
      <w:pPr>
        <w:pStyle w:val="ListBullet"/>
        <w:spacing w:after="80" w:line="288" w:lineRule="auto"/>
      </w:pPr>
      <w:r>
        <w:rPr>
          <w:rFonts w:ascii="Arial" w:hAnsi="Arial"/>
          <w:b/>
          <w:color w:val="191C1E"/>
          <w:sz w:val="20"/>
        </w:rPr>
        <w:t xml:space="preserve">3. Extensión Multiplataforma a iOS: </w:t>
      </w:r>
      <w:r>
        <w:rPr>
          <w:rFonts w:ascii="Arial" w:hAnsi="Arial"/>
          <w:color w:val="191C1E"/>
          <w:sz w:val="20"/>
        </w:rPr>
        <w:t>Migración de la lógica de negocio móvil hacia Kotlin Multiplatform (KMP) y Compose Multiplatform para disponibilizar la aplicación ciudadana en dispositivos iOS (Apple App Store).</w:t>
      </w:r>
    </w:p>
    <w:p>
      <w:r>
        <w:br w:type="page"/>
      </w:r>
    </w:p>
    <w:p>
      <w:pPr>
        <w:keepNext/>
        <w:spacing w:before="320" w:after="160"/>
      </w:pPr>
      <w:r>
        <w:rPr>
          <w:rFonts w:ascii="Arial" w:hAnsi="Arial"/>
          <w:b/>
          <w:color w:val="006C49"/>
          <w:sz w:val="32"/>
        </w:rPr>
        <w:t>14. ANEXOS Y ENLACES OFICIALES</w:t>
      </w:r>
    </w:p>
    <w:p>
      <w:pPr>
        <w:pStyle w:val="ListBullet"/>
        <w:spacing w:after="80" w:line="288" w:lineRule="auto"/>
      </w:pPr>
      <w:r>
        <w:rPr>
          <w:rFonts w:ascii="Arial" w:hAnsi="Arial"/>
          <w:b/>
          <w:color w:val="191C1E"/>
          <w:sz w:val="20"/>
        </w:rPr>
        <w:t xml:space="preserve">Anexo A — Repositorio Oficial de GitHub: </w:t>
      </w:r>
      <w:r>
        <w:rPr>
          <w:rFonts w:ascii="Arial" w:hAnsi="Arial"/>
          <w:color w:val="191C1E"/>
          <w:sz w:val="20"/>
        </w:rPr>
        <w:t>https://github.com/RomeroGerardo/EcoMapaLandinPage.git (Rama principal: main). Contiene el código fuente completo, documentación técnica y scripts de despliegue.</w:t>
      </w:r>
    </w:p>
    <w:p>
      <w:pPr>
        <w:pStyle w:val="ListBullet"/>
        <w:spacing w:after="80" w:line="288" w:lineRule="auto"/>
      </w:pPr>
      <w:r>
        <w:rPr>
          <w:rFonts w:ascii="Arial" w:hAnsi="Arial"/>
          <w:b/>
          <w:color w:val="191C1E"/>
          <w:sz w:val="20"/>
        </w:rPr>
        <w:t xml:space="preserve">Anexo B — Paquete APK Compilado Instalable: </w:t>
      </w:r>
      <w:r>
        <w:rPr>
          <w:rFonts w:ascii="Arial" w:hAnsi="Arial"/>
          <w:color w:val="191C1E"/>
          <w:sz w:val="20"/>
        </w:rPr>
        <w:t>EcoMapa-v2.1-Demo.apk (21.85 MB), generado con Android SDK 34 / Gradle y disponible en la raíz del proyecto para instalación inmediata en cualquier smartphone Android.</w:t>
      </w:r>
    </w:p>
    <w:p>
      <w:pPr>
        <w:pStyle w:val="ListBullet"/>
        <w:spacing w:after="80" w:line="288" w:lineRule="auto"/>
      </w:pPr>
      <w:r>
        <w:rPr>
          <w:rFonts w:ascii="Arial" w:hAnsi="Arial"/>
          <w:b/>
          <w:color w:val="191C1E"/>
          <w:sz w:val="20"/>
        </w:rPr>
        <w:t xml:space="preserve">Anexo C — Catálogo de Diagramas de Arquitectura: </w:t>
      </w:r>
      <w:r>
        <w:rPr>
          <w:rFonts w:ascii="Arial" w:hAnsi="Arial"/>
          <w:color w:val="191C1E"/>
          <w:sz w:val="20"/>
        </w:rPr>
        <w:t>Carpeta /docs/diagramas con archivos fuente Mermaid (.mmd) y exportaciones vectoriales SVG y rasterizadas PNG en alta definición.</w:t>
      </w:r>
    </w:p>
    <w:p>
      <w:pPr>
        <w:pStyle w:val="ListBullet"/>
        <w:spacing w:after="80" w:line="288" w:lineRule="auto"/>
      </w:pPr>
      <w:r>
        <w:rPr>
          <w:rFonts w:ascii="Arial" w:hAnsi="Arial"/>
          <w:b/>
          <w:color w:val="191C1E"/>
          <w:sz w:val="20"/>
        </w:rPr>
        <w:t xml:space="preserve">Anexo D — Material Demostrativo y Pitch Deck: </w:t>
      </w:r>
      <w:r>
        <w:rPr>
          <w:rFonts w:ascii="Arial" w:hAnsi="Arial"/>
          <w:color w:val="191C1E"/>
          <w:sz w:val="20"/>
        </w:rPr>
        <w:t>Diapositivas y guion de demostración preparados para la defensa oral del proyecto integrador (Pitch Deck de 10 a 15 minutos).</w:t>
      </w:r>
    </w:p>
    <w:p>
      <w:pPr>
        <w:spacing w:before="600"/>
        <w:jc w:val="right"/>
      </w:pPr>
      <w:r>
        <w:rPr>
          <w:rFonts w:ascii="Arial" w:hAnsi="Arial"/>
          <w:b/>
          <w:color w:val="006C49"/>
          <w:sz w:val="20"/>
        </w:rPr>
        <w:t>CivicLoop Technologies S.A.</w:t>
        <w:br/>
        <w:t>Villa del Rosario, Córdoba — Ciclo Lectivo 2026</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