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4E78"/>
          <w:sz w:val="36"/>
          <w:szCs w:val="36"/>
        </w:rPr>
        <w:t xml:space="preserve">LUBRIKCA C.A.</w:t>
      </w:r>
    </w:p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Resumen Ejecutivo de Auditoría Administrativa</w:t>
      </w:r>
    </w:p>
    <w:p>
      <w:pPr>
        <w:spacing w:after="40"/>
        <w:jc w:val="center"/>
      </w:pPr>
      <w:r>
        <w:rPr>
          <w:i/>
          <w:iCs/>
          <w:color w:val="595959"/>
          <w:sz w:val="24"/>
          <w:szCs w:val="24"/>
        </w:rPr>
        <w:t xml:space="preserve">Discrepancias contables, causas y guía de remediación paso a paso</w:t>
      </w:r>
    </w:p>
    <w:p>
      <w:pPr>
        <w:spacing w:after="600"/>
        <w:jc w:val="center"/>
      </w:pPr>
      <w:r>
        <w:rPr>
          <w:color w:val="595959"/>
          <w:sz w:val="18"/>
          <w:szCs w:val="18"/>
        </w:rPr>
        <w:t xml:space="preserve">Ciclo Orden de Venta → Precio → Entrega → Factura → Cobro · Período feb–jun 2026 · Emitido 2026-06-27</w:t>
      </w:r>
    </w:p>
    <w:p>
      <w:pPr>
        <w:pBdr>
          <w:bottom w:val="single" w:color="1F4E78" w:sz="6" w:space="1"/>
        </w:pBdr>
      </w:pPr>
      <w:r>
        <w:t xml:space="preserve"/>
      </w:r>
    </w:p>
    <w:p>
      <w:pPr>
        <w:spacing w:after="200" w:before="200"/>
      </w:pPr>
      <w:r>
        <w:rPr>
          <w:i/>
          <w:iCs/>
          <w:color w:val="595959"/>
          <w:sz w:val="18"/>
          <w:szCs w:val="18"/>
        </w:rPr>
        <w:t xml:space="preserve">Aviso: este documento sintetiza nueve análisis de datos exportados de Odoo y hojas operativas. Asiste el cierre contable; no sustituye la revisión de un contador. Donde la información disponible no permitió verificar algo, se indica explícitamente.</w:t>
      </w:r>
    </w:p>
    <w:p>
      <w:r>
        <w:br w:type="page"/>
      </w:r>
    </w:p>
    <w:p>
      <w:pPr>
        <w:spacing w:after="160"/>
      </w:pPr>
      <w:r>
        <w:rPr>
          <w:b/>
          <w:bCs/>
          <w:color w:val="1F4E78"/>
          <w:sz w:val="28"/>
          <w:szCs w:val="28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before="0"/>
      </w:pPr>
      <w:r>
        <w:t xml:space="preserve">El ciclo de ingresos de la empresa (venta, precio, entrega, factura, cobro y pago) está completo y razonablemente ordenado: el 81% de los precios facturados coincide con las listas vigentes y el 87% de las líneas vendidas tiene su entrega registrada. El problema no es el origen de las ventas, sino el CIERRE: la cobranza y su registro contable no cuadran entre sí, y la hoja de Cuentas por Cobrar no refleja con fidelidad lo realmente cobrado.</w:t>
      </w:r>
    </w:p>
    <w:p>
      <w:pPr>
        <w:spacing w:after="120" w:before="0"/>
      </w:pPr>
      <w:r>
        <w:rPr>
          <w:b/>
          <w:bCs/>
        </w:rPr>
        <w:t xml:space="preserve">Situación de cartera al corte: </w:t>
      </w:r>
      <w:r>
        <w:rPr>
          <w:sz w:val="22"/>
          <w:szCs w:val="22"/>
        </w:rPr>
        <w:t xml:space="preserve">de US$ 391.479 facturados (con descuento), se han cobrado US$ 172.628 (44%), quedando un saldo pendiente de </w:t>
      </w:r>
      <w:r>
        <w:rPr>
          <w:b/>
          <w:bCs/>
          <w:color w:val="C00000"/>
          <w:sz w:val="22"/>
          <w:szCs w:val="22"/>
        </w:rPr>
        <w:t xml:space="preserve">US$ 220.496</w:t>
      </w:r>
      <w:r>
        <w:rPr>
          <w:sz w:val="22"/>
          <w:szCs w:val="22"/>
        </w:rPr>
        <w:t xml:space="preserve">, de los cuales US$ 92.038 ya están vencidos.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000"/>
        <w:gridCol w:w="19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Órdenes evaluadas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493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Órdenes pagadas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Facturado (US$)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391.479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Órdenes parciales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152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Cobrado (US$)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172.628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Órdenes pendientes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160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Saldo pendiente (US$)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220.496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Órdenes sobrecobradas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% cobrado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44%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Clientes con saldo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241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Antigüedad del saldo (US$): </w:t>
      </w:r>
      <w:r>
        <w:rPr>
          <w:sz w:val="22"/>
          <w:szCs w:val="22"/>
        </w:rPr>
        <w:t xml:space="preserve">por vencer 50.418 · 1–30 días 78.040 · 31–60 días 49.341 · 61–90 días 35.653 · más de 90 días 7.043.</w:t>
      </w:r>
    </w:p>
    <w:p>
      <w:pPr>
        <w:spacing w:after="120" w:before="0"/>
      </w:pPr>
      <w:r>
        <w:rPr>
          <w:b/>
          <w:bCs/>
          <w:color w:val="1F4E78"/>
        </w:rPr>
        <w:t xml:space="preserve">Diagnóstico: </w:t>
      </w:r>
      <w:r>
        <w:rPr>
          <w:sz w:val="22"/>
          <w:szCs w:val="22"/>
        </w:rPr>
        <w:t xml:space="preserve">las discrepancias contables se concentran en cuatro focos — (1) la cobranza operativa y Odoo no están conciliados, (2) la hoja de CxC tiene montos cobrados incorrectos, (3) hay pagos duplicados, en cero, en borrador y con moneda mal asignada, y (4) faltan los enlaces que unen pago, factura y orden. Ninguno es estructuralmente grave; todos son corregibles con el plan de la Sección 4.</w:t>
      </w:r>
    </w:p>
    <w:p>
      <w:pPr>
        <w:pStyle w:val="Heading1"/>
      </w:pPr>
      <w:r>
        <w:t xml:space="preserve">2. Mapa de discrepancias contables y sus causas</w:t>
      </w:r>
    </w:p>
    <w:p>
      <w:pPr>
        <w:spacing w:after="120" w:before="0"/>
      </w:pPr>
      <w:r>
        <w:t xml:space="preserve">La tabla resume cada discrepancia detectada, su magnitud, la causa raíz más probable y el reporte de soporte donde está el detalle caso por caso.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1400"/>
        <w:gridCol w:w="346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Discrepancia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no cuadra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Magnitud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Causa raíz probable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Cobranza vs Odoo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Abonos en la hoja Cobranza sin pago en Odoo, y pagos en Odoo sin cobranza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 y 101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Pagos registrados en un sistema y no en el otro; captura manual en paralelo sin conciliar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CxC vs cobro real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'Monto Pagado' de la hoja CxC ≠ suma real de abonos por orden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 órdenes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Hoja de CxC actualizada a mano; quedó desfasada del cobro real (p. ej. S00214: 6.561 vs 282)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Sobrecobros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Órdenes con cobrado mayor al total (saldo negativo)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 órd. / US$ 1.643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Pago aplicado a la orden equivocada o cobro de más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Pagos duplicados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Mismo pago cargado dos veces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 Odoo + 12 Cobranza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Doble captura; el mismo abono en dos diarios/bancos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Moneda de pago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Pago con moneda VES en Odoo y USD en Cobranza, o método que no concuerda con la moneda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 + 2 casos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Selección equivocada de moneda/método al registrar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Pagos vacíos/borrador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Pagos en cero y pagos sin confirmar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 ceros + 23 borrador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Registros de prueba o incompletos no depurados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Precio facturado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Precio fuera del rango de las listas vigentes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 órd. / 57 líneas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Columna de precio equivocada (Sinoco) y 1 error grave: S00162 (monto VES en campo USD)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Entregas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Factura emitida sin salida de inventario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 líneas / 39 órd.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Facturado sin despachar, o despacho no registrado en inventario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 de crédito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NC sin justificación verificable en los datos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 (≈ −2,1 MM VES)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Reversos/NC sin soporte documental adjunto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Maestro de clientes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mismo cliente con varias escrituras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 grupos + 5 pares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Falta de normalización; parte los saldos de un cliente</w:t>
            </w:r>
          </w:p>
        </w:tc>
      </w:tr>
    </w:tbl>
    <w:p>
      <w:pPr>
        <w:pStyle w:val="Heading1"/>
      </w:pPr>
      <w:r>
        <w:t xml:space="preserve">3. Las igualdades que deben cumplirse para que todo cierre</w:t>
      </w:r>
    </w:p>
    <w:p>
      <w:pPr>
        <w:spacing w:after="120" w:before="0"/>
      </w:pPr>
      <w:r>
        <w:t xml:space="preserve">Antes de corregir, conviene fijar las cuatro identidades contra las que se valida el cierre. El objetivo de la Sección 4 es que estas cuatro se cumplan para todas las órdenes y clientes.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 orden: </w:t>
      </w:r>
      <w:r>
        <w:t xml:space="preserve">Total con descuento − Notas de crédito = Cobros aplicados + Saldo. El saldo nunca debe ser negativo.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Contable vs operativo: </w:t>
      </w:r>
      <w:r>
        <w:t xml:space="preserve">Cada pago de la hoja Cobranza debe existir en Odoo con el mismo cliente, fecha, monto y moneda (y viceversa).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Hoja CxC: </w:t>
      </w:r>
      <w:r>
        <w:t xml:space="preserve">El 'Monto Pagado' de cada orden debe igualar la suma de los abonos enlazados por su Nº de orden.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Factura: </w:t>
      </w:r>
      <w:r>
        <w:t xml:space="preserve">El 'Estado en pago' de cada factura publicada debe reflejar los pagos realmente conciliados a ella.</w:t>
      </w:r>
    </w:p>
    <w:p>
      <w:pPr>
        <w:pStyle w:val="Heading1"/>
      </w:pPr>
      <w:r>
        <w:t xml:space="preserve">4. Guía de remediación paso a paso</w:t>
      </w:r>
    </w:p>
    <w:p>
      <w:pPr>
        <w:spacing w:after="120" w:before="0"/>
      </w:pPr>
      <w:r>
        <w:t xml:space="preserve">El orden importa: primero se limpian los datos base, luego se concilian los pagos, después se corrigen factura/precio/entrega y por último se cierra y se instalan controles. Hacerlo en otro orden genera retrabajo.</w:t>
      </w:r>
    </w:p>
    <w:p>
      <w:pPr>
        <w:pStyle w:val="Heading2"/>
      </w:pPr>
      <w:r>
        <w:t xml:space="preserve">Fase A — Limpieza de datos base</w:t>
      </w:r>
    </w:p>
    <w:p>
      <w:pPr>
        <w:spacing w:after="40" w:before="140"/>
      </w:pPr>
      <w:r>
        <w:rPr>
          <w:b/>
          <w:bCs/>
          <w:color w:val="1F4E78"/>
          <w:sz w:val="23"/>
          <w:szCs w:val="23"/>
        </w:rPr>
        <w:t xml:space="preserve">Paso 1. Depurar borradores y registros vacíos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Por qué: </w:t>
      </w:r>
      <w:r>
        <w:rPr>
          <w:sz w:val="21"/>
          <w:szCs w:val="21"/>
        </w:rPr>
        <w:t xml:space="preserve">Los 23 pagos en borrador, 6 pagos en cero y 113 facturas sin número inflan los conteos y ensucian cualquier conciliación.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Revisar cada pago en estado Borrador: confirmarlo (si el dinero entró) o eliminarlo.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Eliminar los 6 pagos en cero (sin cliente/monto).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Decidir por cada factura sin número: publicarla o descartarla. No se concilia nada con borradores.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Soporte: Auditoria_Anomalias_Pagos.xlsx (hojas 'Pagos en cero', 'Pagos Borrador')</w:t>
      </w:r>
    </w:p>
    <w:p>
      <w:pPr>
        <w:spacing w:after="40" w:before="140"/>
      </w:pPr>
      <w:r>
        <w:rPr>
          <w:b/>
          <w:bCs/>
          <w:color w:val="1F4E78"/>
          <w:sz w:val="23"/>
          <w:szCs w:val="23"/>
        </w:rPr>
        <w:t xml:space="preserve">Paso 2. Eliminar pagos duplicados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Por qué: </w:t>
      </w:r>
      <w:r>
        <w:rPr>
          <w:sz w:val="21"/>
          <w:szCs w:val="21"/>
        </w:rPr>
        <w:t xml:space="preserve">Un pago contado dos veces sobreestima la cobranza y descuadra el saldo del cliente.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Odoo: revisar los 2 grupos (Auto Servicios HN 6972 — mismo monto en Banco de Venezuela y Bancamiga; INVERSIONES MI LINDA YEMAIRE — dos veces el mismo Bancamiga). Anular el duplicado y dejar uno.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Cobranza: depurar las 12 filas duplicadas (6 grupos).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Soporte: Auditoria_Anomalias_Pagos.xlsx ('Duplicados Odoo', 'Duplicados Cobranza')</w:t>
      </w:r>
    </w:p>
    <w:p>
      <w:pPr>
        <w:spacing w:after="40" w:before="140"/>
      </w:pPr>
      <w:r>
        <w:rPr>
          <w:b/>
          <w:bCs/>
          <w:color w:val="1F4E78"/>
          <w:sz w:val="23"/>
          <w:szCs w:val="23"/>
        </w:rPr>
        <w:t xml:space="preserve">Paso 3. Corregir la moneda y el método de los pagos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Por qué: </w:t>
      </w:r>
      <w:r>
        <w:rPr>
          <w:sz w:val="21"/>
          <w:szCs w:val="21"/>
        </w:rPr>
        <w:t xml:space="preserve">Un pago en VES marcado como USD (o al revés) distorsiona el equivalente en dólares y, por tanto, el saldo.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Resolver los 15 pagos donde Odoo dice VES y Cobranza dice USD (montos redondos típicos de dólares): definir la moneda correcta y unificarla en ambos sistemas.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Corregir los casos de método inconsistente: Antonio Terán (220.059 con método 'Efectivo USD') y Edgar salas (25 con 'Efectivo VES'), y revisar las 5 filas USD con montos altos.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Soporte: Auditoria_Anomalias_Pagos.xlsx ('Moneda Odoo vs Cobranza', 'Cobranza moneda-metodo')</w:t>
      </w:r>
    </w:p>
    <w:p>
      <w:pPr>
        <w:spacing w:after="40" w:before="140"/>
      </w:pPr>
      <w:r>
        <w:rPr>
          <w:b/>
          <w:bCs/>
          <w:color w:val="1F4E78"/>
          <w:sz w:val="23"/>
          <w:szCs w:val="23"/>
        </w:rPr>
        <w:t xml:space="preserve">Paso 4. Unificar el maestro de clientes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Por qué: </w:t>
      </w:r>
      <w:r>
        <w:rPr>
          <w:sz w:val="21"/>
          <w:szCs w:val="21"/>
        </w:rPr>
        <w:t xml:space="preserve">Si un cliente aparece con varias escrituras, su saldo queda partido y el estado de cuenta es engañoso.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Consolidar los 14 grupos de variantes exactas (dobles espacios, acentos, 'C.A.') y revisar los 5 pares similares (Williams/Wuilliams Bastidas, Neykel/Nyekel Quevedo, etc.).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Dejar un único nombre canónico por cliente y reapuntar las órdenes/pagos.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Soporte: AUDITORIA_CxC.md (sección 5.5) y auditoria_soporte/G_clientes_*.csv</w:t>
      </w:r>
    </w:p>
    <w:p>
      <w:pPr>
        <w:pStyle w:val="Heading2"/>
      </w:pPr>
      <w:r>
        <w:t xml:space="preserve">Fase B — Conciliación de pagos y cobranza</w:t>
      </w:r>
    </w:p>
    <w:p>
      <w:pPr>
        <w:spacing w:after="40" w:before="140"/>
      </w:pPr>
      <w:r>
        <w:rPr>
          <w:b/>
          <w:bCs/>
          <w:color w:val="1F4E78"/>
          <w:sz w:val="23"/>
          <w:szCs w:val="23"/>
        </w:rPr>
        <w:t xml:space="preserve">Paso 5. Conciliar Cobranza ↔ Odoo hasta que cuadren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Por qué: </w:t>
      </w:r>
      <w:r>
        <w:rPr>
          <w:sz w:val="21"/>
          <w:szCs w:val="21"/>
        </w:rPr>
        <w:t xml:space="preserve">Es la discrepancia central: el dinero registrado operativamente no coincide con el contable.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1"/>
          <w:szCs w:val="21"/>
        </w:rPr>
        <w:t xml:space="preserve">Registrar en Odoo los 82 abonos que están en Cobranza pero no en Odoo (cobro operativo sin asiento).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1"/>
          <w:szCs w:val="21"/>
        </w:rPr>
        <w:t xml:space="preserve">Registrar en la hoja Cobranza (o justificar) los 101 pagos que están en Odoo y no en Cobranza; empezar por los 12 en Borrador.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1"/>
          <w:szCs w:val="21"/>
        </w:rPr>
        <w:t xml:space="preserve">Meta: que cada abono exista en ambos sistemas con mismo cliente, fecha, monto y moneda.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Soporte: Enlace_Pago_Orden_Factura.xlsx ('Cobros no en Odoo'); AUDITORIA_CxC.md (Comparación A)</w:t>
      </w:r>
    </w:p>
    <w:p>
      <w:pPr>
        <w:spacing w:after="40" w:before="140"/>
      </w:pPr>
      <w:r>
        <w:rPr>
          <w:b/>
          <w:bCs/>
          <w:color w:val="1F4E78"/>
          <w:sz w:val="23"/>
          <w:szCs w:val="23"/>
        </w:rPr>
        <w:t xml:space="preserve">Paso 6. Aplicar los pagos no conciliados a sus facturas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Por qué: </w:t>
      </w:r>
      <w:r>
        <w:rPr>
          <w:sz w:val="21"/>
          <w:szCs w:val="21"/>
        </w:rPr>
        <w:t xml:space="preserve">Hay facturas marcadas 'Sin pagar' cuyo cliente sí pagó: el dinero está, pero no se aplicó a la factura.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1"/>
          <w:szCs w:val="21"/>
        </w:rPr>
        <w:t xml:space="preserve">Revisar las 20 facturas 'Sin pagar' cuyo cliente tiene pagos en Odoo (p. ej. SPACARS factura 193, AGROPECUARIA EL TORO factura 155).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1"/>
          <w:szCs w:val="21"/>
        </w:rPr>
        <w:t xml:space="preserve">Conciliar cada pago con su factura usando el Nº de orden de la hoja Cobranza como puente.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Soporte: Auditoria_Facturas_Publicadas_vs_Cobranza.xlsx ('SinPagar con pagos cliente')</w:t>
      </w:r>
    </w:p>
    <w:p>
      <w:pPr>
        <w:spacing w:after="40" w:before="140"/>
      </w:pPr>
      <w:r>
        <w:rPr>
          <w:b/>
          <w:bCs/>
          <w:color w:val="1F4E78"/>
          <w:sz w:val="23"/>
          <w:szCs w:val="23"/>
        </w:rPr>
        <w:t xml:space="preserve">Paso 7. Corregir el 'Monto Pagado' de la hoja CxC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Por qué: </w:t>
      </w:r>
      <w:r>
        <w:rPr>
          <w:sz w:val="21"/>
          <w:szCs w:val="21"/>
        </w:rPr>
        <w:t xml:space="preserve">La hoja de CxC reporta cobros incorrectos en 12 órdenes; el saldo del cliente sale mal.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1"/>
          <w:szCs w:val="21"/>
        </w:rPr>
        <w:t xml:space="preserve">Sustituir el 'Monto Pagado' de esas 12 órdenes por el cobrado real (suma de abonos por Nº de orden). Casos grandes: S00214, S00294, S00183, S00017.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1"/>
          <w:szCs w:val="21"/>
        </w:rPr>
        <w:t xml:space="preserve">Idealmente, alimentar la hoja CxC automáticamente desde la cobranza enlazada, no a mano.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Soporte: Enlace_Pago_Orden_Factura.xlsx ('Discrepancia vs CxC')</w:t>
      </w:r>
    </w:p>
    <w:p>
      <w:pPr>
        <w:spacing w:after="40" w:before="140"/>
      </w:pPr>
      <w:r>
        <w:rPr>
          <w:b/>
          <w:bCs/>
          <w:color w:val="1F4E78"/>
          <w:sz w:val="23"/>
          <w:szCs w:val="23"/>
        </w:rPr>
        <w:t xml:space="preserve">Paso 8. Resolver los sobrecobros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Por qué: </w:t>
      </w:r>
      <w:r>
        <w:rPr>
          <w:sz w:val="21"/>
          <w:szCs w:val="21"/>
        </w:rPr>
        <w:t xml:space="preserve">31 órdenes tienen saldo negativo: el cliente pagó de más o el pago se aplicó a la orden equivocada.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1"/>
          <w:szCs w:val="21"/>
        </w:rPr>
        <w:t xml:space="preserve">Por cada sobrecobro, decidir: reasignar el excedente a otra orden pendiente del mismo cliente, dejarlo como anticipo, o devolverlo.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1"/>
          <w:szCs w:val="21"/>
        </w:rPr>
        <w:t xml:space="preserve">Confirmar que tras la reasignación ningún saldo queda negativo.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Soporte: Enlace_Pago_Orden_Factura.xlsx ('Sobrecobros'); Estado_Cobranza_por_Orden.xlsx</w:t>
      </w:r>
    </w:p>
    <w:p>
      <w:pPr>
        <w:pStyle w:val="Heading2"/>
      </w:pPr>
      <w:r>
        <w:t xml:space="preserve">Fase C — Factura, precio y entrega</w:t>
      </w:r>
    </w:p>
    <w:p>
      <w:pPr>
        <w:spacing w:after="40" w:before="140"/>
      </w:pPr>
      <w:r>
        <w:rPr>
          <w:b/>
          <w:bCs/>
          <w:color w:val="1F4E78"/>
          <w:sz w:val="23"/>
          <w:szCs w:val="23"/>
        </w:rPr>
        <w:t xml:space="preserve">Paso 9. Corregir el error crítico de precio (S00162)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Por qué: </w:t>
      </w:r>
      <w:r>
        <w:rPr>
          <w:sz w:val="21"/>
          <w:szCs w:val="21"/>
        </w:rPr>
        <w:t xml:space="preserve">Esta orden tiene montos en VES cargados en el campo de precio en USD (precios de decenas de miles): contamina cualquier total.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1"/>
          <w:szCs w:val="21"/>
        </w:rPr>
        <w:t xml:space="preserve">Reemitir o corregir las 4 líneas de S00162 con el precio USD correcto de lista.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Soporte: Auditoria_Precios_OrdenesVenta.xlsx (severidad CRÍTICA)</w:t>
      </w:r>
    </w:p>
    <w:p>
      <w:pPr>
        <w:spacing w:after="40" w:before="140"/>
      </w:pPr>
      <w:r>
        <w:rPr>
          <w:b/>
          <w:bCs/>
          <w:color w:val="1F4E78"/>
          <w:sz w:val="23"/>
          <w:szCs w:val="23"/>
        </w:rPr>
        <w:t xml:space="preserve">Paso 10. Revisar las órdenes con precio fuera de lista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Por qué: </w:t>
      </w:r>
      <w:r>
        <w:rPr>
          <w:sz w:val="21"/>
          <w:szCs w:val="21"/>
        </w:rPr>
        <w:t xml:space="preserve">40 órdenes se facturaron por encima/por debajo de la lista vigente; afecta margen e ingresos.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1"/>
          <w:szCs w:val="21"/>
        </w:rPr>
        <w:t xml:space="preserve">Priorizar las de severidad ALTA (p. ej. código 0093 facturado +39%).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1"/>
          <w:szCs w:val="21"/>
        </w:rPr>
        <w:t xml:space="preserve">Revisar el patrón de productos Sinoco facturados ~3% sobre su lista (parece columna de precio equivocada).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1"/>
          <w:szCs w:val="21"/>
        </w:rPr>
        <w:t xml:space="preserve">Emitir nota de crédito o de débito según corresponda.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Soporte: Auditoria_Precios_OrdenesVenta.xlsx</w:t>
      </w:r>
    </w:p>
    <w:p>
      <w:pPr>
        <w:spacing w:after="40" w:before="140"/>
      </w:pPr>
      <w:r>
        <w:rPr>
          <w:b/>
          <w:bCs/>
          <w:color w:val="1F4E78"/>
          <w:sz w:val="23"/>
          <w:szCs w:val="23"/>
        </w:rPr>
        <w:t xml:space="preserve">Paso 11. Regularizar las entregas pendientes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Por qué: </w:t>
      </w:r>
      <w:r>
        <w:rPr>
          <w:sz w:val="21"/>
          <w:szCs w:val="21"/>
        </w:rPr>
        <w:t xml:space="preserve">63 líneas en 39 órdenes están facturadas pero sin salida de inventario: factura sin despacho.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1"/>
          <w:szCs w:val="21"/>
        </w:rPr>
        <w:t xml:space="preserve">Por cada una: despachar y registrar la salida, o anular/ajustar la factura si la venta no se concretó.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1"/>
          <w:szCs w:val="21"/>
        </w:rPr>
        <w:t xml:space="preserve">Nota: el inventario solo tiene salidas; no hay registro de devoluciones, así que estas deben documentarse aparte.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Soporte: Auditoria_Entregas_vs_OrdenesVenta.xlsx ('Pendiente por Entregar', severidad ALTA)</w:t>
      </w:r>
    </w:p>
    <w:p>
      <w:pPr>
        <w:spacing w:after="40" w:before="140"/>
      </w:pPr>
      <w:r>
        <w:rPr>
          <w:b/>
          <w:bCs/>
          <w:color w:val="1F4E78"/>
          <w:sz w:val="23"/>
          <w:szCs w:val="23"/>
        </w:rPr>
        <w:t xml:space="preserve">Paso 12. Documentar y justificar las notas de crédito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Por qué: </w:t>
      </w:r>
      <w:r>
        <w:rPr>
          <w:sz w:val="21"/>
          <w:szCs w:val="21"/>
        </w:rPr>
        <w:t xml:space="preserve">Las 6 NC (≈ −2,1 MM VES) no tienen soporte verificable en los datos.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1"/>
          <w:szCs w:val="21"/>
        </w:rPr>
        <w:t xml:space="preserve">Adjuntar a cada NC su motivo y respaldo (devolución, error de facturación, descuento autorizado).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1"/>
          <w:szCs w:val="21"/>
        </w:rPr>
        <w:t xml:space="preserve">Confirmar que cada NC reduce el saldo de la factura/orden correcta.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Soporte: AUDITORIA_CxC.md (Comparación E); Auditoria_Facturas_Publicadas_vs_Cobranza.xlsx ('NC y revertidas')</w:t>
      </w:r>
    </w:p>
    <w:p>
      <w:pPr>
        <w:pStyle w:val="Heading2"/>
      </w:pPr>
      <w:r>
        <w:t xml:space="preserve">Fase D — Cierre y controles para que no se repita</w:t>
      </w:r>
    </w:p>
    <w:p>
      <w:pPr>
        <w:spacing w:after="40" w:before="140"/>
      </w:pPr>
      <w:r>
        <w:rPr>
          <w:b/>
          <w:bCs/>
          <w:color w:val="1F4E78"/>
          <w:sz w:val="23"/>
          <w:szCs w:val="23"/>
        </w:rPr>
        <w:t xml:space="preserve">Paso 13. Validar las cuatro igualdades de cierre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Por qué: </w:t>
      </w:r>
      <w:r>
        <w:rPr>
          <w:sz w:val="21"/>
          <w:szCs w:val="21"/>
        </w:rPr>
        <w:t xml:space="preserve">Es la comprobación final: si las identidades de la Sección 3 se cumplen, la cartera cuadra.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1"/>
          <w:szCs w:val="21"/>
        </w:rPr>
        <w:t xml:space="preserve">Recorrer orden por orden y cliente por cliente verificando: Total − NC = Cobrado + Saldo, con saldo ≥ 0.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1"/>
          <w:szCs w:val="21"/>
        </w:rPr>
        <w:t xml:space="preserve">Cuadrar el total: Cobranza = Pagos Odoo; CxC.Monto Pagado = abonos enlazados.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Soporte: Estado_Cobranza_por_Orden.xlsx; Estado_Cuenta_por_Cliente.xlsx</w:t>
      </w:r>
    </w:p>
    <w:p>
      <w:pPr>
        <w:spacing w:after="40" w:before="140"/>
      </w:pPr>
      <w:r>
        <w:rPr>
          <w:b/>
          <w:bCs/>
          <w:color w:val="1F4E78"/>
          <w:sz w:val="23"/>
          <w:szCs w:val="23"/>
        </w:rPr>
        <w:t xml:space="preserve">Paso 14. Instalar el enlace pago ↔ factura ↔ orden en Odoo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Por qué: </w:t>
      </w:r>
      <w:r>
        <w:rPr>
          <w:sz w:val="21"/>
          <w:szCs w:val="21"/>
        </w:rPr>
        <w:t xml:space="preserve">La causa de fondo de casi todo es que los pagos no traen número de factura ni de orden, así que la conciliación es manual y propensa a error.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1"/>
          <w:szCs w:val="21"/>
        </w:rPr>
        <w:t xml:space="preserve">Al registrar un pago, conciliarlo en Odoo contra la factura/orden (campo de conciliación de account.move.line).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1"/>
          <w:szCs w:val="21"/>
        </w:rPr>
        <w:t xml:space="preserve">Exportar a futuro el campo que une pago–factura–orden para auditar 1:1, sin depender de cliente+fecha+monto.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Soporte: Recomendación estructural (Enlace_Pago_Orden_Factura.xlsx, limitaciones)</w:t>
      </w:r>
    </w:p>
    <w:p>
      <w:pPr>
        <w:spacing w:after="40" w:before="140"/>
      </w:pPr>
      <w:r>
        <w:rPr>
          <w:b/>
          <w:bCs/>
          <w:color w:val="1F4E78"/>
          <w:sz w:val="23"/>
          <w:szCs w:val="23"/>
        </w:rPr>
        <w:t xml:space="preserve">Paso 15. Reglas de captura para prevenir las anomalías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Por qué: </w:t>
      </w:r>
      <w:r>
        <w:rPr>
          <w:sz w:val="21"/>
          <w:szCs w:val="21"/>
        </w:rPr>
        <w:t xml:space="preserve">Evita que reaparezcan duplicados, ceros y errores de moneda.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1"/>
          <w:szCs w:val="21"/>
        </w:rPr>
        <w:t xml:space="preserve">Validación de moneda/método en la hoja de cobranza (que el método concuerde con la moneda).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1"/>
          <w:szCs w:val="21"/>
        </w:rPr>
        <w:t xml:space="preserve">Separar las series de numeración de facturas y notas de crédito (hoy se solapan).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1"/>
          <w:szCs w:val="21"/>
        </w:rPr>
        <w:t xml:space="preserve">Prohibir guardar pagos en cero; revisar borradores antes de cada cierre.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Soporte: AUDITORIA_CxC.md (Fase 2)</w:t>
      </w:r>
    </w:p>
    <w:p>
      <w:pPr>
        <w:pStyle w:val="Heading1"/>
      </w:pPr>
      <w:r>
        <w:t xml:space="preserve">5. Prioridad recomendada de ejecución</w:t>
      </w:r>
    </w:p>
    <w:p>
      <w:pPr>
        <w:spacing w:after="120" w:before="0"/>
      </w:pPr>
      <w:r>
        <w:t xml:space="preserve">Si hay que empezar por algo, este es el orden de mayor impacto y menor esfuerzo: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Pasos 1–3: depurar borradores, duplicados y moneda (rápido, desbloquea todo lo demás).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Paso 5: conciliar Cobranza ↔ Odoo (es la discrepancia central de US$ — 82 + 101 registros).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Pasos 6–8: aplicar pagos, corregir CxC y resolver sobrecobros (recupera cartera real).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Paso 9: corregir S00162 (error crítico aislado).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Pasos 10–12 y 13–15: precio, entregas, NC, cierre y controles.</w:t>
      </w:r>
    </w:p>
    <w:p>
      <w:pPr>
        <w:pStyle w:val="Heading1"/>
      </w:pPr>
      <w:r>
        <w:t xml:space="preserve">Anexo — Reportes de soporte</w:t>
      </w:r>
    </w:p>
    <w:p>
      <w:pPr>
        <w:spacing w:after="120" w:before="0"/>
      </w:pPr>
      <w:r>
        <w:t xml:space="preserve">Todos en la carpeta Info_Odoo\Resultados_Auditorias. Cada hallazgo de este resumen tiene su detalle caso por caso en: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b/>
          <w:bCs/>
          <w:sz w:val="20"/>
          <w:szCs w:val="20"/>
        </w:rPr>
        <w:t xml:space="preserve">AUDITORIA_CxC.md — </w:t>
      </w:r>
      <w:r>
        <w:rPr>
          <w:sz w:val="20"/>
          <w:szCs w:val="20"/>
        </w:rPr>
        <w:t xml:space="preserve">Auditoría cruzada integral (pagos, ventas, inventario, precios, descuentos, NC, general).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b/>
          <w:bCs/>
          <w:sz w:val="20"/>
          <w:szCs w:val="20"/>
        </w:rPr>
        <w:t xml:space="preserve">Listas_Precio_Comparativo.xlsx — </w:t>
      </w:r>
      <w:r>
        <w:rPr>
          <w:sz w:val="20"/>
          <w:szCs w:val="20"/>
        </w:rPr>
        <w:t xml:space="preserve">Listas de precio por código, USD/VES, con y sin IVA, por fecha.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b/>
          <w:bCs/>
          <w:sz w:val="20"/>
          <w:szCs w:val="20"/>
        </w:rPr>
        <w:t xml:space="preserve">Auditoria_Precios_OrdenesVenta.xlsx — </w:t>
      </w:r>
      <w:r>
        <w:rPr>
          <w:sz w:val="20"/>
          <w:szCs w:val="20"/>
        </w:rPr>
        <w:t xml:space="preserve">Errores de precio por orden y producto.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b/>
          <w:bCs/>
          <w:sz w:val="20"/>
          <w:szCs w:val="20"/>
        </w:rPr>
        <w:t xml:space="preserve">Auditoria_Entregas_vs_OrdenesVenta.xlsx — </w:t>
      </w:r>
      <w:r>
        <w:rPr>
          <w:sz w:val="20"/>
          <w:szCs w:val="20"/>
        </w:rPr>
        <w:t xml:space="preserve">Entregas vs órdenes (pendientes de despacho).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b/>
          <w:bCs/>
          <w:sz w:val="20"/>
          <w:szCs w:val="20"/>
        </w:rPr>
        <w:t xml:space="preserve">Auditoria_Facturas_Publicadas_vs_Cobranza.xlsx — </w:t>
      </w:r>
      <w:r>
        <w:rPr>
          <w:sz w:val="20"/>
          <w:szCs w:val="20"/>
        </w:rPr>
        <w:t xml:space="preserve">Facturas publicadas y su estado de cobro.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b/>
          <w:bCs/>
          <w:sz w:val="20"/>
          <w:szCs w:val="20"/>
        </w:rPr>
        <w:t xml:space="preserve">Auditoria_Anomalias_Pagos.xlsx — </w:t>
      </w:r>
      <w:r>
        <w:rPr>
          <w:sz w:val="20"/>
          <w:szCs w:val="20"/>
        </w:rPr>
        <w:t xml:space="preserve">Duplicados, moneda, ceros y borradores de pagos.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b/>
          <w:bCs/>
          <w:sz w:val="20"/>
          <w:szCs w:val="20"/>
        </w:rPr>
        <w:t xml:space="preserve">Enlace_Pago_Orden_Factura.xlsx — </w:t>
      </w:r>
      <w:r>
        <w:rPr>
          <w:sz w:val="20"/>
          <w:szCs w:val="20"/>
        </w:rPr>
        <w:t xml:space="preserve">Cadena pago→orden→factura y conciliación por orden.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b/>
          <w:bCs/>
          <w:sz w:val="20"/>
          <w:szCs w:val="20"/>
        </w:rPr>
        <w:t xml:space="preserve">Estado_Cobranza_por_Orden.xlsx — </w:t>
      </w:r>
      <w:r>
        <w:rPr>
          <w:sz w:val="20"/>
          <w:szCs w:val="20"/>
        </w:rPr>
        <w:t xml:space="preserve">Cobrado real, saldo y antigüedad por orden.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b/>
          <w:bCs/>
          <w:sz w:val="20"/>
          <w:szCs w:val="20"/>
        </w:rPr>
        <w:t xml:space="preserve">Estado_Cuenta_por_Cliente.xlsx — </w:t>
      </w:r>
      <w:r>
        <w:rPr>
          <w:sz w:val="20"/>
          <w:szCs w:val="20"/>
        </w:rPr>
        <w:t xml:space="preserve">Estado de cuenta y antigüedad de cartera por cliente.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Lubrikca C.A. · Resumen Ejecutivo de Auditoría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3"/>
    <w:lvlOverride w:ilvl="0">
      <w:startOverride w:val="1"/>
    </w:lvlOverride>
  </w:num>
  <w:num w:numId="11">
    <w:abstractNumId w:val="14"/>
    <w:lvlOverride w:ilvl="0">
      <w:startOverride w:val="1"/>
    </w:lvlOverride>
  </w:num>
  <w:num w:numId="12">
    <w:abstractNumId w:val="15"/>
    <w:lvlOverride w:ilvl="0">
      <w:startOverride w:val="1"/>
    </w:lvlOverride>
  </w:num>
  <w:num w:numId="13">
    <w:abstractNumId w:val="16"/>
    <w:lvlOverride w:ilvl="0">
      <w:startOverride w:val="1"/>
    </w:lvlOverride>
  </w:num>
  <w:num w:numId="14">
    <w:abstractNumId w:val="17"/>
    <w:lvlOverride w:ilvl="0">
      <w:startOverride w:val="1"/>
    </w:lvlOverride>
  </w:num>
  <w:num w:numId="15">
    <w:abstractNumId w:val="18"/>
    <w:lvlOverride w:ilvl="0">
      <w:startOverride w:val="1"/>
    </w:lvlOverride>
  </w:num>
  <w:num w:numId="16">
    <w:abstractNumId w:val="19"/>
    <w:lvlOverride w:ilvl="0">
      <w:startOverride w:val="1"/>
    </w:lvlOverride>
  </w:num>
  <w:num w:numId="17">
    <w:abstractNumId w:val="20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Ejecutivo Auditoría Lubrikca</dc:title>
  <dc:creator>Auditoría Lubrikca</dc:creator>
  <cp:lastModifiedBy>Un-named</cp:lastModifiedBy>
  <cp:revision>1</cp:revision>
  <dcterms:created xsi:type="dcterms:W3CDTF">2026-06-28T01:14:23.062Z</dcterms:created>
  <dcterms:modified xsi:type="dcterms:W3CDTF">2026-06-28T01:14:23.062Z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