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1.png" ContentType="image/png"/>
  <Override PartName="/word/media/rId102.png" ContentType="image/png"/>
  <Override PartName="/word/media/rId98.png" ContentType="image/png"/>
  <Override PartName="/word/media/rId99.png" ContentType="image/png"/>
  <Override PartName="/word/media/rId62.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2018-06-12</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pPr>
        <w:pStyle w:val="BodyText"/>
      </w:pPr>
      <w:r>
        <w:t xml:space="preserve">Despite not being very widespread, aspects of work with data cut across STEM (Science Technology Engineering and Mathematics) domains: Aspects of work with data are recognized as core competencies across recent curricular documents. They are found, for example, in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concerning the nature of work with data (McNeill &amp; Berland, 2017). Findings from this past research broadly suggest that engaging in work with data is powerful in terms of learning both about and how to do mathematics and science. Lehrer and Schauble (2015),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through the lens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the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concerning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the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often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or the place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the valuable past research that has been carried out, how learners and youth participate in different aspects of work with data through the lens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examples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to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by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affect-their-engagement"/>
      <w:bookmarkEnd w:id="28"/>
      <w:r>
        <w:t xml:space="preserve">Youth characteristics that may affect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is how teachers support learning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in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Some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is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the use of in-the-moment resources and demands (Salmela-Aro et al., 2016b) and the use of instructional activities and choice (Schmidt et al., 2018). A potential way to extend this past research is to account for not only engagement (cognitive, behavioral, and affective), but also the intricately connected perceptions of challenge and competence. This is especially important since a profile approach emphasizes the holistic nature of engagement and the impact of not only external but also intra-individual factors. Accordingly, youths’ perceptions of the challenge of the activity and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Also,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Regarding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the levels that are present given the approach to data collection and the sampling procedure. Interpreting their effects is not a goal of this study, but accounting for them in the models used, as in this study, is essential and and is done through the use of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are sources of variability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aspects-of-work-with-data"/>
      <w:bookmarkEnd w:id="39"/>
      <w:r>
        <w:t xml:space="preserve">The five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I then identified the specific activities that corresponded to the five aspects of work with data, as defined in Table 3.4. Details on the reliability of this measure are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BodyText"/>
      </w:pPr>
      <w:r>
        <w:t xml:space="preserve">Out of the 248 instructional episodes, 236 were code-able for work with data; for the 12 that were not codeable, issues with the video-recordings were the primary source of the missing data. These 236 responses are used for all of the analyses.</w:t>
      </w:r>
    </w:p>
    <w:p>
      <w:pPr>
        <w:pStyle w:val="TableCaption"/>
      </w:pPr>
      <w:r>
        <w:t xml:space="preserve">Table 3 Coding Frame for Work With Data</w:t>
      </w:r>
    </w:p>
    <w:tbl>
      <w:tblPr>
        <w:tblStyle w:val="TableNormal"/>
        <w:tblW w:type="pct" w:w="0.0"/>
        <w:tblLook w:firstRow="1"/>
        <w:tblCaption w:val="Table 3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is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 provide insight into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the meetings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statistical software I developed,</w:t>
      </w:r>
      <w:r>
        <w:t xml:space="preserve"> </w:t>
      </w:r>
      <w:r>
        <w:rPr>
          <w:i/>
        </w:rPr>
        <w:t xml:space="preserve">tidyLPA</w:t>
      </w:r>
      <w:r>
        <w:t xml:space="preserve">.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are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w:t>
      </w:r>
      <w:r>
        <w:t xml:space="preserve"> </w:t>
      </w:r>
      <w:r>
        <w:rPr>
          <w:i/>
        </w:rPr>
        <w:t xml:space="preserve">ICC</w:t>
      </w:r>
      <w:r>
        <w:t xml:space="preserve">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the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five percentage points more likely to report a response in a particular profile.</w:t>
      </w:r>
    </w:p>
    <w:p>
      <w:pPr>
        <w:pStyle w:val="BodyText"/>
      </w:pPr>
      <w:r>
        <w:t xml:space="preserve">Models with the youth characteristics separate from and together with the aspects of work with data were fit. Like for the results of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significant relations.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A value close to 0 (such as .05) indicate that a tiny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how little would need to change in order for an effect to be determined to be significant. Higher values from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descriptive-statistics-for-the-engagement-measures"/>
      <w:bookmarkEnd w:id="51"/>
      <w:r>
        <w:t xml:space="preserve">Descriptive statistics for the engagement measures</w:t>
      </w:r>
    </w:p>
    <w:p>
      <w:pPr>
        <w:pStyle w:val="FirstParagraph"/>
      </w:pPr>
      <w:r>
        <w:t xml:space="preserve">First, descriptive statistics for the five engagement variables that were used to estimate the profiles are presented in Table 4.1. These descriptive statistics show high overall levels of cognitive (</w:t>
      </w:r>
      <w:r>
        <w:rPr>
          <w:i/>
        </w:rPr>
        <w:t xml:space="preserve">M</w:t>
      </w:r>
      <w:r>
        <w:t xml:space="preserve"> </w:t>
      </w:r>
      <w:r>
        <w:t xml:space="preserve">= 2.768,</w:t>
      </w:r>
      <w:r>
        <w:t xml:space="preserve"> </w:t>
      </w:r>
      <w:r>
        <w:rPr>
          <w:i/>
        </w:rPr>
        <w:t xml:space="preserve">SD</w:t>
      </w:r>
      <w:r>
        <w:t xml:space="preserve"> </w:t>
      </w:r>
      <w:r>
        <w:t xml:space="preserve">= 1.063), behavioral (</w:t>
      </w:r>
      <w:r>
        <w:rPr>
          <w:i/>
        </w:rPr>
        <w:t xml:space="preserve">M</w:t>
      </w:r>
      <w:r>
        <w:t xml:space="preserve"> </w:t>
      </w:r>
      <w:r>
        <w:t xml:space="preserve">= 2.863,</w:t>
      </w:r>
      <w:r>
        <w:t xml:space="preserve"> </w:t>
      </w:r>
      <w:r>
        <w:rPr>
          <w:i/>
        </w:rPr>
        <w:t xml:space="preserve">SD</w:t>
      </w:r>
      <w:r>
        <w:t xml:space="preserve"> </w:t>
      </w:r>
      <w:r>
        <w:t xml:space="preserve">= 1.044) and affective (</w:t>
      </w:r>
      <w:r>
        <w:rPr>
          <w:i/>
        </w:rPr>
        <w:t xml:space="preserve">M</w:t>
      </w:r>
      <w:r>
        <w:t xml:space="preserve"> </w:t>
      </w:r>
      <w:r>
        <w:t xml:space="preserve">= 2.831,</w:t>
      </w:r>
      <w:r>
        <w:t xml:space="preserve"> </w:t>
      </w:r>
      <w:r>
        <w:rPr>
          <w:i/>
        </w:rPr>
        <w:t xml:space="preserve">SD</w:t>
      </w:r>
      <w:r>
        <w:t xml:space="preserve"> </w:t>
      </w:r>
      <w:r>
        <w:t xml:space="preserve">= 1.051) engagement.</w:t>
      </w:r>
    </w:p>
    <w:p>
      <w:pPr>
        <w:pStyle w:val="BodyText"/>
      </w:pPr>
      <w:r>
        <w:t xml:space="preserve">These statistics also show high perceptions of competence (</w:t>
      </w:r>
      <w:r>
        <w:rPr>
          <w:i/>
        </w:rPr>
        <w:t xml:space="preserve">M</w:t>
      </w:r>
      <w:r>
        <w:t xml:space="preserve"> </w:t>
      </w:r>
      <w:r>
        <w:t xml:space="preserve">= 3.000 (</w:t>
      </w:r>
      <w:r>
        <w:rPr>
          <w:i/>
        </w:rPr>
        <w:t xml:space="preserve">SD</w:t>
      </w:r>
      <w:r>
        <w:t xml:space="preserve"> </w:t>
      </w:r>
      <w:r>
        <w:t xml:space="preserve">= 0.952)) and moderate perceptions of challenge (</w:t>
      </w:r>
      <w:r>
        <w:rPr>
          <w:i/>
        </w:rPr>
        <w:t xml:space="preserve">M</w:t>
      </w:r>
      <w:r>
        <w:t xml:space="preserve"> </w:t>
      </w:r>
      <w:r>
        <w:t xml:space="preserve">= 2.270 (</w:t>
      </w:r>
      <w:r>
        <w:rPr>
          <w:i/>
        </w:rPr>
        <w:t xml:space="preserve">SD</w:t>
      </w:r>
      <w:r>
        <w:t xml:space="preserve"> </w:t>
      </w:r>
      <w:r>
        <w:t xml:space="preserve">= 1.117)). There was a similar degree of (moderate) variability across the engagement measures (see the</w:t>
      </w:r>
      <w:r>
        <w:t xml:space="preserve"> </w:t>
      </w:r>
      <w:r>
        <w:rPr>
          <w:i/>
        </w:rPr>
        <w:t xml:space="preserve">SD</w:t>
      </w:r>
      <w:r>
        <w:t xml:space="preserve">s): This variability may be due to the youth, instructional episode, program, and even for unexplained reasons.</w:t>
      </w:r>
    </w:p>
    <w:p>
      <w:pPr>
        <w:pStyle w:val="Heading2"/>
      </w:pPr>
      <w:bookmarkStart w:id="52" w:name="correlations-among-the-study-variables"/>
      <w:bookmarkEnd w:id="52"/>
      <w:r>
        <w:t xml:space="preserve">Correlations among the study variables</w:t>
      </w:r>
    </w:p>
    <w:p>
      <w:pPr>
        <w:pStyle w:val="FirstParagraph"/>
      </w:pPr>
      <w:r>
        <w:t xml:space="preserve">Correlations between the variables that are used to create the profiles of engagement and the one other variable which was continuous (rather than a code for groups, in particular youths’ gender and URM status), pre-program interest in STEM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represent low to moderate relations among these variables.</w:t>
      </w:r>
    </w:p>
    <w:p>
      <w:pPr>
        <w:pStyle w:val="Heading2"/>
      </w:pPr>
      <w:bookmarkStart w:id="53" w:name="results-for-research-question-1"/>
      <w:bookmarkEnd w:id="53"/>
      <w:r>
        <w:t xml:space="preserve">Results for Research Question #1</w:t>
      </w:r>
    </w:p>
    <w:p>
      <w:pPr>
        <w:pStyle w:val="Heading3"/>
      </w:pPr>
      <w:bookmarkStart w:id="54" w:name="frequency-of-the-aspects-of-work-with-data"/>
      <w:bookmarkEnd w:id="54"/>
      <w:r>
        <w:t xml:space="preserve">Frequency of the aspects of work with data</w:t>
      </w:r>
    </w:p>
    <w:p>
      <w:pPr>
        <w:pStyle w:val="FirstParagraph"/>
      </w:pPr>
      <w:r>
        <w:t xml:space="preserve">Of the 236 instructional episodes used in the analysis, 170 (72%) were coded as involving one or more of the five aspects of work with data. The reader is reminded that an instructional episode refers to the ten-minute block of time immediately preceding an ESM signal. As presented in Table 4.3,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 of Instructional Episodes</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BodyText"/>
      </w:pPr>
      <w:r>
        <w:t xml:space="preserve">As suggested by the proportions reported in Table 5, the different aspects of work with data often co-occurred within a single instructional episode.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 The frequencies by the program are presented in Appendix C.</w:t>
      </w:r>
    </w:p>
    <w:p>
      <w:pPr>
        <w:pStyle w:val="Heading3"/>
      </w:pPr>
      <w:bookmarkStart w:id="55" w:name="the-nature-of-work-with-data"/>
      <w:bookmarkEnd w:id="55"/>
      <w:r>
        <w:t xml:space="preserve">The nature of work with data</w:t>
      </w:r>
    </w:p>
    <w:p>
      <w:pPr>
        <w:pStyle w:val="FirstParagraph"/>
      </w:pPr>
      <w:r>
        <w:t xml:space="preserve">The open-ended, qualitative approach used to understand the specific nature of youths’ work with data showed the variety of ways each of the five aspects was enacted in the context of the programs.</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that involved asking questions, qualitative descriptions revealed that around one-third (39/90, or 43%) involved youth working to understand the phenomenon or problem they were investigating. When doing so, youth were focused on actively constructing predictions and hypotheses about phenomena.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or hypothesizing, but instead on asking a more general type of question (21/90; 23%), or involved the</w:t>
      </w:r>
      <w:r>
        <w:t xml:space="preserve"> </w:t>
      </w:r>
      <w:r>
        <w:rPr>
          <w:i/>
        </w:rPr>
        <w:t xml:space="preserve">instructor</w:t>
      </w:r>
      <w:r>
        <w:t xml:space="preserve"> </w:t>
      </w:r>
      <w:r>
        <w:t xml:space="preserve">(but not youth) posing questions or identifying problems (14/90; 15%). In the former case, youth were found to be asking more general questions about understanding the assignment, task, or even the phenomena. For instance,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questions to elicit youths’ conceptual understanding). The remaining (23/90; 25%) episodes represented themes that were not very common or systematic.</w:t>
      </w:r>
    </w:p>
    <w:p>
      <w:pPr>
        <w:pStyle w:val="Heading4"/>
      </w:pPr>
      <w:bookmarkStart w:id="57" w:name="making-observations"/>
      <w:bookmarkEnd w:id="57"/>
      <w:r>
        <w:t xml:space="preserve">Making observations</w:t>
      </w:r>
    </w:p>
    <w:p>
      <w:pPr>
        <w:pStyle w:val="FirstParagraph"/>
      </w:pPr>
      <w:r>
        <w:t xml:space="preserve">In the instructional episodes when the STEM-PQA revealed that youth were making observations, the vast majority (53/57, 86%) of these were focused on observing phenomena in the field, or, in the case of engineering-focused programs, noticing what was going on with a particular design. For instance, in the</w:t>
      </w:r>
      <w:r>
        <w:t xml:space="preserve"> </w:t>
      </w:r>
      <w:r>
        <w:rPr>
          <w:i/>
        </w:rPr>
        <w:t xml:space="preserve">Building Mania</w:t>
      </w:r>
      <w:r>
        <w:t xml:space="preserve"> </w:t>
      </w:r>
      <w:r>
        <w:t xml:space="preserve">program, youth constructed Rube Goldberg machines. During this activity, youth were prompted by activity leaders to notice how changes in their design, which they recorded, led to differences in how far objects were launched or rolled.</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activity leader working through a mathematics problem, but not one that youth identified or discussed. The remaining (17/57; 30%) new uncommon or unsystematic.</w:t>
      </w:r>
    </w:p>
    <w:p>
      <w:pPr>
        <w:pStyle w:val="Heading4"/>
      </w:pPr>
      <w:bookmarkStart w:id="58" w:name="generating-data"/>
      <w:bookmarkEnd w:id="58"/>
      <w:r>
        <w:t xml:space="preserve">Generating data</w:t>
      </w:r>
    </w:p>
    <w:p>
      <w:pPr>
        <w:pStyle w:val="FirstParagraph"/>
      </w:pPr>
      <w:r>
        <w:t xml:space="preserve">In less than half (40/102; 39%) of the episodes that involved generating data, youth were writing down their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In a minimal number of cases (2/102; 2%), youth collected but did not write down data. For instance, again in</w:t>
      </w:r>
      <w:r>
        <w:t xml:space="preserve"> </w:t>
      </w:r>
      <w:r>
        <w:rPr>
          <w:i/>
        </w:rPr>
        <w:t xml:space="preserve">Marine Investigators</w:t>
      </w:r>
      <w:r>
        <w:t xml:space="preserve">, youth used nets to collect saltwater organisms, which they then transported in buckets back to the classroom setting for subsequent analysis.</w:t>
      </w:r>
      <w:r>
        <w:t xml:space="preserve"> </w:t>
      </w:r>
      <w:r>
        <w:t xml:space="preserve">Very often, and in the other half of episodes (60; 59%) related to this aspect of work with data, how youth generated data were not very systematic or identifiable. This code was present when youth point out the relations between points in a scatter plot figure (which the instructor then translated into an equation) during the</w:t>
      </w:r>
      <w:r>
        <w:t xml:space="preserve"> </w:t>
      </w:r>
      <w:r>
        <w:rPr>
          <w:i/>
        </w:rPr>
        <w:t xml:space="preserve">Uptown Architecture</w:t>
      </w:r>
      <w:r>
        <w:t xml:space="preserve"> </w:t>
      </w:r>
      <w:r>
        <w:t xml:space="preserve">program. In another instructional episode during the</w:t>
      </w:r>
      <w:r>
        <w:t xml:space="preserve"> </w:t>
      </w:r>
      <w:r>
        <w:rPr>
          <w:i/>
        </w:rPr>
        <w:t xml:space="preserve">Zoology Partners</w:t>
      </w:r>
      <w:r>
        <w:t xml:space="preserve"> </w:t>
      </w:r>
      <w:r>
        <w:t xml:space="preserve">program, this code was present as youth solved riddles while traveling on a bus to a community site.</w:t>
      </w:r>
    </w:p>
    <w:p>
      <w:pPr>
        <w:pStyle w:val="Heading4"/>
      </w:pPr>
      <w:bookmarkStart w:id="59" w:name="data-modeling"/>
      <w:bookmarkEnd w:id="59"/>
      <w:r>
        <w:t xml:space="preserve">Data modeling</w:t>
      </w:r>
    </w:p>
    <w:p>
      <w:pPr>
        <w:pStyle w:val="FirstParagraph"/>
      </w:pPr>
      <w:r>
        <w:t xml:space="preserve">A majority (37/68, 54%) of the instructional episodes identified as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into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For example, youth activity leaders pressed youth to consider how the quantity of trash collected could be extrapolated across the entire city over the course of the year). For example, during</w:t>
      </w:r>
      <w:r>
        <w:t xml:space="preserve"> </w:t>
      </w:r>
      <w:r>
        <w:rPr>
          <w:i/>
        </w:rPr>
        <w:t xml:space="preserve">Marine Investigators</w:t>
      </w:r>
      <w:r>
        <w:t xml:space="preserve">, the youth activity leader.</w:t>
      </w:r>
    </w:p>
    <w:p>
      <w:pPr>
        <w:pStyle w:val="BodyText"/>
      </w:pPr>
      <w:r>
        <w:t xml:space="preserve">Other times (4/68; 6%), data modeling occurred through solving equations, even when related to real-life (as in buying groceries, how money is spent, and how to budget, in</w:t>
      </w:r>
      <w:r>
        <w:t xml:space="preserve"> </w:t>
      </w:r>
      <w:r>
        <w:rPr>
          <w:i/>
        </w:rPr>
        <w:t xml:space="preserve">Comunidad de Apendizaje</w:t>
      </w:r>
      <w:r>
        <w:t xml:space="preserve">). In these episodes during which youth were modeling data, they were using equations provided by the youth activity leader to solve problems. During some episodes (6/68; 9%), data modeling involved reasoning about a model based on data with ambiguous origins. In many of these cases,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 Such uses were similar to those in which the youth activity leader, rather than the youth (3/68; 4%) used the model (to convey ideas to youth). For instance,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 The remaining data modeling-related episodes (18/68; 26%) were not systematic or very common.</w:t>
      </w:r>
    </w:p>
    <w:p>
      <w:pPr>
        <w:pStyle w:val="Heading4"/>
      </w:pPr>
      <w:bookmarkStart w:id="60" w:name="interpreting-and-communicating-findings"/>
      <w:bookmarkEnd w:id="60"/>
      <w:r>
        <w:t xml:space="preserve">Interpreting and communicating findings</w:t>
      </w:r>
    </w:p>
    <w:p>
      <w:pPr>
        <w:pStyle w:val="FirstParagraph"/>
      </w:pPr>
      <w:r>
        <w:t xml:space="preserve">In less than one-half (39/103, 38%) of the instructional episodes in which youth were interpreting and communicating findings, youth were sharing what they found from an investigation or the results of using the product they designed. For instance,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youth shared their ideas, describing what their ideas was, why it was a good idea, how much they could sell it for, and what their profit would be (all while fielding questions from youth activity leaders and their peers). Interpreting and communicating findings was also commonly present in instructional episodes in which youth were debating the findings of an investigation, such as the results of calculations for the number of recyclables entering waterways (in</w:t>
      </w:r>
      <w:r>
        <w:t xml:space="preserve"> </w:t>
      </w:r>
      <w:r>
        <w:rPr>
          <w:i/>
        </w:rPr>
        <w:t xml:space="preserve">Marine Investigators</w:t>
      </w:r>
      <w:r>
        <w:t xml:space="preserve">).</w:t>
      </w:r>
    </w:p>
    <w:p>
      <w:pPr>
        <w:pStyle w:val="BodyText"/>
      </w:pPr>
      <w:r>
        <w:t xml:space="preserve">In the other instructional episodes that were not focused on youth sharing what they found from an investigation, youth were most commonly communicating about topics other than the results of an investigation or design process (3/103, 3%). For example, during these episodes, youth tried to find out the answer to a discrete question posed by the youth activity leader or the youth activity leader. In other, episodes focused on interpreting and communicating findings (4/103, 4%), the youth activity leader, and not youth, were communicating the findings of an investigation. For instance, during the</w:t>
      </w:r>
      <w:r>
        <w:t xml:space="preserve"> </w:t>
      </w:r>
      <w:r>
        <w:rPr>
          <w:i/>
        </w:rPr>
        <w:t xml:space="preserve">Building Mania</w:t>
      </w:r>
      <w:r>
        <w:t xml:space="preserve"> </w:t>
      </w:r>
      <w:r>
        <w:t xml:space="preserve">program, the youth activity leader noted youth struggled to find a business’ profit and loss, and so worked through and shared the results of his problem-solving. In this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 The remaining episodes focused on communicating findings (57/103, 55%) were not very systematic or common.</w:t>
      </w:r>
    </w:p>
    <w:p>
      <w:pPr>
        <w:pStyle w:val="Heading2"/>
      </w:pPr>
      <w:bookmarkStart w:id="61" w:name="results-for-research-question-2-what-profiles-of-youth-engagement-emerge-from-experiential-data-collected-in-the-programs"/>
      <w:bookmarkEnd w:id="61"/>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of engagement was selected. This solution represents the profiles of engagement identified to answer this research question and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regarding the fit statistics and statistical tests. This solution, presented in Appendix F, was determined not to be superior to the six profile solution, ultimately chosen on the basis of parsimony and interpretability.</w:t>
      </w:r>
    </w:p>
    <w:p>
      <w:pPr>
        <w:pStyle w:val="BodyText"/>
      </w:pPr>
      <w:r>
        <w:t xml:space="preserve">The result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w:t>
      </w:r>
      <w:r>
        <w:t xml:space="preserve"> </w:t>
      </w:r>
      <w:r>
        <w:rPr>
          <w:i/>
        </w:rPr>
        <w:t xml:space="preserve">mean</w:t>
      </w:r>
      <w:r>
        <w:t xml:space="preserve"> </w:t>
      </w:r>
      <w:r>
        <w:t xml:space="preserve">of 0 and a</w:t>
      </w:r>
      <w:r>
        <w:t xml:space="preserve"> </w:t>
      </w:r>
      <w:r>
        <w:rPr>
          <w:i/>
        </w:rPr>
        <w:t xml:space="preserve">standard deviation</w:t>
      </w:r>
      <w:r>
        <w:t xml:space="preserve"> </w:t>
      </w:r>
      <w:r>
        <w:t xml:space="preserve">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r>
        <w:t xml:space="preserve"> </w:t>
      </w:r>
      <w:r>
        <w:t xml:space="preserve">The two plots are presented because they provide a different view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that youth were asked to consider when they responded (and potentially highlighting similarities that may seem very different in the plot with the centered data).</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2"/>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moderately (low)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moderately (low) levels of cognitive learning something new, challenge, and competence</w:t>
      </w:r>
    </w:p>
    <w:p>
      <w:pPr>
        <w:pStyle w:val="Compact"/>
        <w:numPr>
          <w:numId w:val="1006"/>
          <w:ilvl w:val="0"/>
        </w:numPr>
      </w:pPr>
      <w:r>
        <w:t xml:space="preserve">An</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Also, the number of observations across the profiles is relatively balanced (with no profiles associated with a very large or small number of observations). The universally low profile was associated with the most substantial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was associated with 300 to 400 observations. The results for research questions 3-5 use this solution and the six profiles in subsequent analyses.</w:t>
      </w:r>
    </w:p>
    <w:p>
      <w:pPr>
        <w:pStyle w:val="Heading2"/>
      </w:pPr>
      <w:bookmarkStart w:id="64" w:name="results-for-research-question-3-what-sources-of-variability-are-there-for-the-profiles-of-engagement"/>
      <w:bookmarkEnd w:id="64"/>
      <w:r>
        <w:t xml:space="preserve">Results for Research Question #3: What sources of variability are there for the profiles of engagement?</w:t>
      </w:r>
    </w:p>
    <w:p>
      <w:pPr>
        <w:pStyle w:val="FirstParagraph"/>
      </w:pPr>
      <w:r>
        <w:t xml:space="preserve">For all six profiles, the</w:t>
      </w:r>
      <w:r>
        <w:t xml:space="preserve"> </w:t>
      </w:r>
      <w:r>
        <w:rPr>
          <w:i/>
        </w:rPr>
        <w:t xml:space="preserve">ICC</w:t>
      </w:r>
      <w:r>
        <w:t xml:space="preserve">s (for the model with only the youth, instructional episode, and program levels themselves, but not variables at the levels) represent the systematic variability (the proportion of variance explained) associated with each of the levels for each profile. Thus, the different levels can have different proportions of variance explained for different profiles.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 At the program level, the</w:t>
      </w:r>
      <w:r>
        <w:t xml:space="preserve"> </w:t>
      </w:r>
      <w:r>
        <w:rPr>
          <w:i/>
        </w:rPr>
        <w:t xml:space="preserve">ICC</w:t>
      </w:r>
      <w:r>
        <w:t xml:space="preserve">s were found to be small, with values ranging from 0.00 to 0.023, suggesting that little variability can be explained by the program. For the instructional episode level, the</w:t>
      </w:r>
      <w:r>
        <w:t xml:space="preserve"> </w:t>
      </w:r>
      <w:r>
        <w:rPr>
          <w:i/>
        </w:rPr>
        <w:t xml:space="preserve">ICC</w:t>
      </w:r>
      <w:r>
        <w:t xml:space="preserve">s were also small, ranging from 0.004 to 0.01. Finally, at the youth level, the</w:t>
      </w:r>
      <w:r>
        <w:t xml:space="preserve"> </w:t>
      </w:r>
      <w:r>
        <w:rPr>
          <w:i/>
        </w:rPr>
        <w:t xml:space="preserve">ICC</w:t>
      </w:r>
      <w:r>
        <w:t xml:space="preserve">s ranged from .093 to .432.</w:t>
      </w:r>
    </w:p>
    <w:p>
      <w:pPr>
        <w:pStyle w:val="BodyText"/>
      </w:pPr>
      <w:r>
        <w:t xml:space="preserve">In terms of **ICC</w:t>
      </w:r>
      <w:r>
        <w:rPr>
          <w:i/>
        </w:rPr>
        <w:t xml:space="preserve">s at youth level across the six profiles, the value for the youth-level ICC was highest for the</w:t>
      </w:r>
      <w:r>
        <w:rPr>
          <w:i/>
        </w:rPr>
        <w:t xml:space="preserve"> </w:t>
      </w:r>
      <w:r>
        <w:t xml:space="preserve">Full* 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significant amount of variability is associated with the residual (variance that is not associated with the program, instructional episode, or youth levels). This suggests that there is wide variation in youths’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w:t>
      </w:r>
      <w:r>
        <w:t xml:space="preserve"> </w:t>
      </w:r>
      <w:r>
        <w:rPr>
          <w:i/>
        </w:rPr>
        <w:t xml:space="preserve">ICC</w:t>
      </w:r>
      <w:r>
        <w:t xml:space="preserve">s lend insight into the sources of variability for a specific profile; within-youth stability in terms of how frequently they reported particular profiles could lend further insight by considering variability across profiles. This analysis can be particularly useful for understanding variability at the youth level, which the</w:t>
      </w:r>
      <w:r>
        <w:t xml:space="preserve"> </w:t>
      </w:r>
      <w:r>
        <w:rPr>
          <w:i/>
        </w:rPr>
        <w:t xml:space="preserve">ICC</w:t>
      </w:r>
      <w:r>
        <w:t xml:space="preserve">s show to be associated with the most systematic variability. Each youth has a most-frequently reported profile. Results show that for some youth, the profile is very dominant, occurring in a substantial proportion of youths’ responses; for others, it occurs not that frequently, meaning that youth report a variety of different profiles. As presented in Figure 4.3, the mean proportion of responses for each youth in the profile they reported most varied widely across youth.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 There was a small number of youth who reported the same profile in all of their responses, but for most youth, the profile they reported most made up only a portion of all of their responses. For most youth, the most common profile was observed just over 50% of the time.</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6" w:name="results-for-research-question-4-aspects-of-work-with-data-and-engagement"/>
      <w:bookmarkEnd w:id="66"/>
      <w:r>
        <w:t xml:space="preserve">Results for Research Question #4: Aspects of work with data and engagement</w:t>
      </w:r>
    </w:p>
    <w:p>
      <w:pPr>
        <w:pStyle w:val="FirstParagraph"/>
      </w:pPr>
      <w:r>
        <w:t xml:space="preserve">To understand how aspects of work with data are related to engagement, six analytic models were specified – one for each engagement profile. In each model, the dependent variable is the probability of a response being classified in a particular profile (for example</w:t>
      </w:r>
      <w:r>
        <w:t xml:space="preserve"> </w:t>
      </w:r>
      <w:r>
        <w:t xml:space="preserve">“</w:t>
      </w:r>
      <w:r>
        <w:t xml:space="preserve">fully engaged</w:t>
      </w:r>
      <w:r>
        <w:t xml:space="preserve">”</w:t>
      </w:r>
      <w:r>
        <w:t xml:space="preserve">), as determined by the Latent Profile Analysis. The five aspects of work with data were the predictor (or independent) variables. Because various aspects of work with data tended to co-occur, simultaneously entering indicators for all five aspects isolates the association for any single aspect while controlling on the presence of the others. All models also include some youth characteristics which will be used to answer research question five below.</w:t>
      </w:r>
    </w:p>
    <w:p>
      <w:pPr>
        <w:pStyle w:val="BodyText"/>
      </w:pPr>
      <w:r>
        <w:t xml:space="preserve">Associations between the five aspects of work with data and the six engagement profiles are presented in Table 4.5. In this table, each column represents the output from one of the six different models. As an example, the first column reports the coefficients for the associations between the predictor variables and the</w:t>
      </w:r>
      <w:r>
        <w:t xml:space="preserve"> </w:t>
      </w:r>
      <w:r>
        <w:rPr>
          <w:i/>
        </w:rPr>
        <w:t xml:space="preserve">Only behavioral</w:t>
      </w:r>
      <w:r>
        <w:t xml:space="preserve"> </w:t>
      </w:r>
      <w:r>
        <w:t xml:space="preserve">profile. Because the outcome is in the form of a probability (ranging from 0.00 to 1.00), it can be interpreted as the change in the probability of a response being associated with each profile. Note that the</w:t>
      </w:r>
      <w:r>
        <w:t xml:space="preserve"> </w:t>
      </w:r>
      <w:r>
        <w:rPr>
          <w:i/>
        </w:rPr>
        <w:t xml:space="preserve">p</w:t>
      </w:r>
      <w:r>
        <w:t xml:space="preserve">-values are calculated using the most conservative and recommended by recent research Kenward-Rogers approximation (Halekoh &amp; Hojsgaard, 2014).</w:t>
      </w:r>
    </w:p>
    <w:p>
      <w:pPr>
        <w:pStyle w:val="BodyText"/>
      </w:pPr>
      <w:r>
        <w:t xml:space="preserve">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m:t>β</m:t>
        </m:r>
      </m:oMath>
      <w:r>
        <w:t xml:space="preserve"> </w:t>
      </w:r>
      <w:r>
        <w:t xml:space="preserve">= 0.034 (0.017),</w:t>
      </w:r>
      <w:r>
        <w:t xml:space="preserve"> </w:t>
      </w:r>
      <w:r>
        <w:rPr>
          <w:i/>
        </w:rPr>
        <w:t xml:space="preserve">p</w:t>
      </w:r>
      <w:r>
        <w:t xml:space="preserve"> </w:t>
      </w:r>
      <w:r>
        <w:t xml:space="preserve">= .020; partial</w:t>
      </w:r>
      <w:r>
        <w:t xml:space="preserve"> </w:t>
      </w:r>
      <m:oMath>
        <m:sSup>
          <m:e>
            <m:r>
              <m:t>R</m:t>
            </m:r>
          </m:e>
          <m:sup>
            <m:r>
              <m:t>2</m:t>
            </m:r>
          </m:sup>
        </m:sSup>
      </m:oMath>
      <w:r>
        <w:t xml:space="preserve"> </w:t>
      </w:r>
      <w:r>
        <w:t xml:space="preserve">= .002). In other words, when program activities included modeling data, youth are more likely to report working harder, learning more, enjoying themselves more, and feeling more competent and challenged.</w:t>
      </w:r>
    </w:p>
    <w:p>
      <w:pPr>
        <w:pStyle w:val="BodyText"/>
      </w:pPr>
      <w:r>
        <w:t xml:space="preserve">Youth were also more likely to be in the Full engagement profile when program activities included generating data (</w:t>
      </w:r>
      <m:oMath>
        <m:r>
          <m:t>β</m:t>
        </m:r>
      </m:oMath>
      <w:r>
        <w:t xml:space="preserve"> </w:t>
      </w:r>
      <w:r>
        <w:t xml:space="preserve">= 0.027 (0.015),</w:t>
      </w:r>
      <w:r>
        <w:t xml:space="preserve"> </w:t>
      </w:r>
      <w:r>
        <w:rPr>
          <w:i/>
        </w:rPr>
        <w:t xml:space="preserve">p</w:t>
      </w:r>
      <w:r>
        <w:t xml:space="preserve"> </w:t>
      </w:r>
      <w:r>
        <w:t xml:space="preserve">= .033; partial</w:t>
      </w:r>
      <w:r>
        <w:t xml:space="preserve"> </w:t>
      </w:r>
      <m:oMath>
        <m:sSup>
          <m:e>
            <m:r>
              <m:t>R</m:t>
            </m:r>
          </m:e>
          <m:sup>
            <m:r>
              <m:t>2</m:t>
            </m:r>
          </m:sup>
        </m:sSup>
      </m:oMath>
      <w:r>
        <w:t xml:space="preserve"> </w:t>
      </w:r>
      <w:r>
        <w:t xml:space="preserve">= .002). These particular program activities increased the probability of full engagement by around 3%. To sum up these two findings, modeling data and generating data are associated with a (very) positive form of engagement, that exhibited by the Full profile. However, the effect sizes indicate quite small effects in substantive terms.</w:t>
      </w:r>
    </w:p>
    <w:p>
      <w:pPr>
        <w:pStyle w:val="BodyText"/>
      </w:pPr>
      <w:r>
        <w:t xml:space="preserve">Sensitivity analysis was carried out for the statistically significant two effects was carried out to determine just how robust they were. This follow-up analysis revealed that the effect of modeling data on</w:t>
      </w:r>
      <w:r>
        <w:t xml:space="preserve"> </w:t>
      </w:r>
      <w:r>
        <w:rPr>
          <w:i/>
        </w:rPr>
        <w:t xml:space="preserve">Full</w:t>
      </w:r>
      <w:r>
        <w:t xml:space="preserve"> </w:t>
      </w:r>
      <w:r>
        <w:t xml:space="preserve">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caution).</w:t>
      </w:r>
    </w:p>
    <w:p>
      <w:pPr>
        <w:pStyle w:val="SourceCode"/>
      </w:pPr>
      <w:r>
        <w:rPr>
          <w:rStyle w:val="VerbatimChar"/>
        </w:rPr>
        <w:t xml:space="preserve">## Error in inherits(x, "list"): argument "x" is missing, with no default</w:t>
      </w:r>
      <w:r>
        <w:br w:type="textWrapping"/>
      </w:r>
      <w:r>
        <w:rPr>
          <w:rStyle w:val="VerbatimChar"/>
        </w:rPr>
        <w:t xml:space="preserve">##               [,1]              [,2]              [,3]            </w:t>
      </w:r>
      <w:r>
        <w:br w:type="textWrapping"/>
      </w:r>
      <w:r>
        <w:rPr>
          <w:rStyle w:val="VerbatimChar"/>
        </w:rPr>
        <w:t xml:space="preserve">## Profile       "Universally low" "Only behavioral" "Only affective"</w:t>
      </w:r>
      <w:r>
        <w:br w:type="textWrapping"/>
      </w:r>
      <w:r>
        <w:rPr>
          <w:rStyle w:val="VerbatimChar"/>
        </w:rPr>
        <w:t xml:space="preserve">## Pre-interest  "-0.047 (0.022)"  "-0.013 (0.012)"  "-0.012 (0.019)"</w:t>
      </w:r>
      <w:r>
        <w:br w:type="textWrapping"/>
      </w:r>
      <w:r>
        <w:rPr>
          <w:rStyle w:val="VerbatimChar"/>
        </w:rPr>
        <w:t xml:space="preserve">## Gender-Female "0.06 (0.037)+"   "0.019 (0.019)"   "-0.038 (0.033)"</w:t>
      </w:r>
      <w:r>
        <w:br w:type="textWrapping"/>
      </w:r>
      <w:r>
        <w:rPr>
          <w:rStyle w:val="VerbatimChar"/>
        </w:rPr>
        <w:t xml:space="preserve">## URM status    "-0.01 (0.052)"   "0.031 (0.026)"   "-0.076 (0.046)"</w:t>
      </w:r>
      <w:r>
        <w:br w:type="textWrapping"/>
      </w:r>
      <w:r>
        <w:rPr>
          <w:rStyle w:val="VerbatimChar"/>
        </w:rPr>
        <w:t xml:space="preserve">## Asking        "-0.015 (0.018)"  "0.015 (0.015)"   "0.023 (0.017)+"</w:t>
      </w:r>
      <w:r>
        <w:br w:type="textWrapping"/>
      </w:r>
      <w:r>
        <w:rPr>
          <w:rStyle w:val="VerbatimChar"/>
        </w:rPr>
        <w:t xml:space="preserve">## Observing     "0.003 (0.018)"   "0.013 (0.015)"   "0.007 (0.017)" </w:t>
      </w:r>
      <w:r>
        <w:br w:type="textWrapping"/>
      </w:r>
      <w:r>
        <w:rPr>
          <w:rStyle w:val="VerbatimChar"/>
        </w:rPr>
        <w:t xml:space="preserve">## Generating    "-0.014 (0.017)"  "0.014 (0.014)"   "0.012 (0.016)" </w:t>
      </w:r>
      <w:r>
        <w:br w:type="textWrapping"/>
      </w:r>
      <w:r>
        <w:rPr>
          <w:rStyle w:val="VerbatimChar"/>
        </w:rPr>
        <w:t xml:space="preserve">## Modeling      "0.004 (0.019)"   "-0.023 (0.016)"  "-0.004 (0.018)"</w:t>
      </w:r>
      <w:r>
        <w:br w:type="textWrapping"/>
      </w:r>
      <w:r>
        <w:rPr>
          <w:rStyle w:val="VerbatimChar"/>
        </w:rPr>
        <w:t xml:space="preserve">## Communicating "0.002 (0.018)"   "0.018 (0.015)"   "-0.011 (0.017)"</w:t>
      </w:r>
      <w:r>
        <w:br w:type="textWrapping"/>
      </w:r>
      <w:r>
        <w:rPr>
          <w:rStyle w:val="VerbatimChar"/>
        </w:rPr>
        <w:t xml:space="preserve">##               [,4]                            [,5]            </w:t>
      </w:r>
      <w:r>
        <w:br w:type="textWrapping"/>
      </w:r>
      <w:r>
        <w:rPr>
          <w:rStyle w:val="VerbatimChar"/>
        </w:rPr>
        <w:t xml:space="preserve">## Profile       "Eng. and comp. but not chall." "All moderate"  </w:t>
      </w:r>
      <w:r>
        <w:br w:type="textWrapping"/>
      </w:r>
      <w:r>
        <w:rPr>
          <w:rStyle w:val="VerbatimChar"/>
        </w:rPr>
        <w:t xml:space="preserve">## Pre-interest  "0.039 (0.016)*"                "0.007 (0.01)"  </w:t>
      </w:r>
      <w:r>
        <w:br w:type="textWrapping"/>
      </w:r>
      <w:r>
        <w:rPr>
          <w:rStyle w:val="VerbatimChar"/>
        </w:rPr>
        <w:t xml:space="preserve">## Gender-Female "0.025 (0.028)"                 "-0.02 (0.018)" </w:t>
      </w:r>
      <w:r>
        <w:br w:type="textWrapping"/>
      </w:r>
      <w:r>
        <w:rPr>
          <w:rStyle w:val="VerbatimChar"/>
        </w:rPr>
        <w:t xml:space="preserve">## URM status    "-0.012 (0.04)"                 "0.018 (0.025)" </w:t>
      </w:r>
      <w:r>
        <w:br w:type="textWrapping"/>
      </w:r>
      <w:r>
        <w:rPr>
          <w:rStyle w:val="VerbatimChar"/>
        </w:rPr>
        <w:t xml:space="preserve">## Asking        "-0.011 (0.015)"                "0.004 (0.014)" </w:t>
      </w:r>
      <w:r>
        <w:br w:type="textWrapping"/>
      </w:r>
      <w:r>
        <w:rPr>
          <w:rStyle w:val="VerbatimChar"/>
        </w:rPr>
        <w:t xml:space="preserve">## Observing     "0.009 (0.015)"                 "-0.017 (0.014)"</w:t>
      </w:r>
      <w:r>
        <w:br w:type="textWrapping"/>
      </w:r>
      <w:r>
        <w:rPr>
          <w:rStyle w:val="VerbatimChar"/>
        </w:rPr>
        <w:t xml:space="preserve">## Generating    "-0.014 (0.014)"                "-0.02 (0.013)" </w:t>
      </w:r>
      <w:r>
        <w:br w:type="textWrapping"/>
      </w:r>
      <w:r>
        <w:rPr>
          <w:rStyle w:val="VerbatimChar"/>
        </w:rPr>
        <w:t xml:space="preserve">## Modeling      "0 (0.015)"                     "-0.012 (0.015)"</w:t>
      </w:r>
      <w:r>
        <w:br w:type="textWrapping"/>
      </w:r>
      <w:r>
        <w:rPr>
          <w:rStyle w:val="VerbatimChar"/>
        </w:rPr>
        <w:t xml:space="preserve">## Communicating "0.004 (0.015)"                 "0.016 (0.014)" </w:t>
      </w:r>
      <w:r>
        <w:br w:type="textWrapping"/>
      </w:r>
      <w:r>
        <w:rPr>
          <w:rStyle w:val="VerbatimChar"/>
        </w:rPr>
        <w:t xml:space="preserve">##               [,6]            </w:t>
      </w:r>
      <w:r>
        <w:br w:type="textWrapping"/>
      </w:r>
      <w:r>
        <w:rPr>
          <w:rStyle w:val="VerbatimChar"/>
        </w:rPr>
        <w:t xml:space="preserve">## Profile       "Full"          </w:t>
      </w:r>
      <w:r>
        <w:br w:type="textWrapping"/>
      </w:r>
      <w:r>
        <w:rPr>
          <w:rStyle w:val="VerbatimChar"/>
        </w:rPr>
        <w:t xml:space="preserve">## Pre-interest  "0.018 (0.021)" </w:t>
      </w:r>
      <w:r>
        <w:br w:type="textWrapping"/>
      </w:r>
      <w:r>
        <w:rPr>
          <w:rStyle w:val="VerbatimChar"/>
        </w:rPr>
        <w:t xml:space="preserve">## Gender-Female "-0.035 (0.037)"</w:t>
      </w:r>
      <w:r>
        <w:br w:type="textWrapping"/>
      </w:r>
      <w:r>
        <w:rPr>
          <w:rStyle w:val="VerbatimChar"/>
        </w:rPr>
        <w:t xml:space="preserve">## URM status    "0.043 (0.053)" </w:t>
      </w:r>
      <w:r>
        <w:br w:type="textWrapping"/>
      </w:r>
      <w:r>
        <w:rPr>
          <w:rStyle w:val="VerbatimChar"/>
        </w:rPr>
        <w:t xml:space="preserve">## Asking        "-0.019 (0.016)"</w:t>
      </w:r>
      <w:r>
        <w:br w:type="textWrapping"/>
      </w:r>
      <w:r>
        <w:rPr>
          <w:rStyle w:val="VerbatimChar"/>
        </w:rPr>
        <w:t xml:space="preserve">## Observing     "-0.025 (0.016)"</w:t>
      </w:r>
      <w:r>
        <w:br w:type="textWrapping"/>
      </w:r>
      <w:r>
        <w:rPr>
          <w:rStyle w:val="VerbatimChar"/>
        </w:rPr>
        <w:t xml:space="preserve">## Generating    "0.027 (0.015)*"</w:t>
      </w:r>
      <w:r>
        <w:br w:type="textWrapping"/>
      </w:r>
      <w:r>
        <w:rPr>
          <w:rStyle w:val="VerbatimChar"/>
        </w:rPr>
        <w:t xml:space="preserve">## Modeling      "0.034 (0.017)*"</w:t>
      </w:r>
      <w:r>
        <w:br w:type="textWrapping"/>
      </w:r>
      <w:r>
        <w:rPr>
          <w:rStyle w:val="VerbatimChar"/>
        </w:rPr>
        <w:t xml:space="preserve">## Communicating "-0.027 (0.016)"</w:t>
      </w:r>
    </w:p>
    <w:p>
      <w:pPr>
        <w:pStyle w:val="Heading2"/>
      </w:pPr>
      <w:bookmarkStart w:id="67" w:name="results-for-research-question-5-youth-characteristics-and-engagement"/>
      <w:bookmarkEnd w:id="67"/>
      <w:r>
        <w:t xml:space="preserve">Results for Research Question #5: Youth characteristics and engagement</w:t>
      </w:r>
    </w:p>
    <w:p>
      <w:pPr>
        <w:pStyle w:val="FirstParagraph"/>
      </w:pPr>
      <w:r>
        <w:t xml:space="preserve">Associations between youth characteristics and the six profiles are reported in the top half of Table 4.5. Youth who enter the program with higher levels of interest (in STEM) are more likely to report being in the engaged and competent but not challenged profile (</w:t>
      </w:r>
      <m:oMath>
        <m:r>
          <m:t>β</m:t>
        </m:r>
      </m:oMath>
      <w:r>
        <w:t xml:space="preserve"> </w:t>
      </w:r>
      <w:r>
        <w:t xml:space="preserve">= 0.039,</w:t>
      </w:r>
      <w:r>
        <w:t xml:space="preserve"> </w:t>
      </w:r>
      <w:r>
        <w:rPr>
          <w:i/>
        </w:rPr>
        <w:t xml:space="preserve">p</w:t>
      </w:r>
      <w:r>
        <w:t xml:space="preserve"> </w:t>
      </w:r>
      <w:r>
        <w:t xml:space="preserve">= .009; partial</w:t>
      </w:r>
      <w:r>
        <w:t xml:space="preserve"> </w:t>
      </w:r>
      <m:oMath>
        <m:sSup>
          <m:e>
            <m:r>
              <m:t>R</m:t>
            </m:r>
          </m:e>
          <m:sup>
            <m:r>
              <m:t>2</m:t>
            </m:r>
          </m:sup>
        </m:sSup>
      </m:oMath>
      <w:r>
        <w:t xml:space="preserve"> </w:t>
      </w:r>
      <w:r>
        <w:t xml:space="preserve">= .001). In other words, youth who are more interested at the outset of the program report working harder, learning more, enjoying themselves more, and feeling more competent when they are involved in program activities, though they also report lower levels of challenge. For this effect, 17.879% would be needed to invalidate the inference, suggesting a moderately robust effect.</w:t>
      </w:r>
    </w:p>
    <w:p>
      <w:pPr>
        <w:pStyle w:val="BodyText"/>
      </w:pPr>
      <w:r>
        <w:t xml:space="preserve">In terms of youths’ pre-program interest, these analyses show that youth who enter the program with higher levels of interest (in STEM)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w:t>
      </w:r>
      <w:r>
        <w:rPr>
          <w:i/>
        </w:rPr>
        <w:t xml:space="preserve"> </w:t>
      </w:r>
      <m:oMath>
        <m:sSup>
          <m:e>
            <m:r>
              <m:t>R</m:t>
            </m:r>
          </m:e>
          <m:sup>
            <m:r>
              <m:t>2</m:t>
            </m:r>
          </m:sup>
        </m:sSup>
      </m:oMath>
      <w:r>
        <w:t xml:space="preserve"> </w:t>
      </w:r>
      <w:r>
        <w:t xml:space="preserve">= .001). For each one-unit increase in pre-program interest in STEM, youth are around 4% more likely to report this profile. In other words, youth who are more interested at the outset of the program report working harder, learning more, enjoying themselves more, and feeling more competent when they are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pPr>
        <w:pStyle w:val="BodyText"/>
      </w:pPr>
      <w: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w:t>
      </w:r>
      <w:r>
        <w:t xml:space="preserve"> </w:t>
      </w:r>
      <w:r>
        <w:rPr>
          <w:i/>
        </w:rPr>
        <w:t xml:space="preserve">not</w:t>
      </w:r>
      <w:r>
        <w:t xml:space="preserve"> </w:t>
      </w:r>
      <w:r>
        <w:t xml:space="preserve">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pPr>
        <w:pStyle w:val="BodyText"/>
      </w:pPr>
      <w:r>
        <w:t xml:space="preserve">These (somewhat minimal) findings for the youth characteristics were more surprising than those observed for the aspects of work with data. The results of research question #3, on the sources of variability for the profiles of engagement, suggested that there was much systematic variability at the level of the youth (there were large</w:t>
      </w:r>
      <w:r>
        <w:t xml:space="preserve"> </w:t>
      </w:r>
      <w:r>
        <w:rPr>
          <w:i/>
        </w:rPr>
        <w:t xml:space="preserve">ICC</w:t>
      </w:r>
      <w:r>
        <w:t xml:space="preserve">s at the youth level, with smaller</w:t>
      </w:r>
      <w:r>
        <w:t xml:space="preserve"> </w:t>
      </w:r>
      <w:r>
        <w:rPr>
          <w:i/>
        </w:rPr>
        <w:t xml:space="preserve">ICC</w:t>
      </w:r>
      <w:r>
        <w:t xml:space="preserve">s at the instructional episode level). Because pre-interest, gender, and URM status are variables at this level, it could be expected that they would have meaningful relations with the profiles of engagement. However, it appears that the particular youth characteristics considered were not useful at explaining much of this variability; possible reasons why are discussed further in the next section.</w:t>
      </w:r>
    </w:p>
    <w:p>
      <w:pPr>
        <w:pStyle w:val="Heading1"/>
      </w:pPr>
      <w:bookmarkStart w:id="68" w:name="discussion"/>
      <w:bookmarkEnd w:id="68"/>
      <w:r>
        <w:t xml:space="preserve">Discussion</w:t>
      </w:r>
    </w:p>
    <w:p>
      <w:pPr>
        <w:pStyle w:val="FirstParagraph"/>
      </w:pPr>
      <w:r>
        <w:t xml:space="preserve">Each of the disciplines that contribute to STEM learning - science, technology and computer science, engineering, and mathematics - involve work with data. While past research has focused on what aspects of work with data learners are involved in with respect to work with data, or specific conceptual outcomes from working with data, little research has considered youths’ engagement when they work with data. In this study, engagement was used as a lens to understand the experience of youth working with data during summer STEM programs. In particular, five aspects of work with data, a) asking questions, b) observing phenomena, c) constructing measures and generating data, d) data modeling, and e) interpreting and communicating findings, were identified from video-recordings of the programs. The nature and frequency of these codes was explored, and then the codes were used to predict, along with youths’ characteristics, profiles of engagement. These profiles of engagement depict distinct groups on the basis of different levels, of youths’ cognitive, behavioral, and affective engagement, and youths’ perceptions of challenge and competence.</w:t>
      </w:r>
    </w:p>
    <w:p>
      <w:pPr>
        <w:pStyle w:val="BodyText"/>
      </w:pPr>
      <w:r>
        <w:t xml:space="preserve">Findings indicate that work with data occurs frequently in the programs and that there are some examples of ambitious activities centered on working with real-world data as well as some that highlight the heterogeneity in how work with data is enacted in them.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This study suggests that work with data has affordances in terms of understanding the nature of what youth do in summer STEM programs. These findings also show the value of an innovative method, ESM, and a modeling approach designed to identify engagement in a holistic manner, LPA, that together provide some access to youths’ experience in-the-moment of the activities they were involved in during the program. Data, and who is able to work with it, important roles in STEM learning and in society; efforts to understand and support learners engaging in these ambitious activities should be encouraged and expanded.</w:t>
      </w:r>
    </w:p>
    <w:p>
      <w:pPr>
        <w:pStyle w:val="Heading2"/>
      </w:pPr>
      <w:bookmarkStart w:id="69" w:name="key-findings-related-to-work-with-data-in-summer-stem-programs"/>
      <w:bookmarkEnd w:id="69"/>
      <w:r>
        <w:t xml:space="preserve">Key findings related to work with data in summer STEM programs</w:t>
      </w:r>
    </w:p>
    <w:p>
      <w:pPr>
        <w:pStyle w:val="FirstParagraph"/>
      </w:pPr>
      <w:r>
        <w:t xml:space="preserve">Work with data was common in the summer STEM programs. 170 out of the 236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w:t>
      </w:r>
    </w:p>
    <w:p>
      <w:pPr>
        <w:pStyle w:val="BodyText"/>
      </w:pPr>
      <w:r>
        <w:t xml:space="preserve">Given the design and goals of summer STEM programs, these align with what may be expected given past research: Such programs are designed to engage youth in the practices, including and as I argue earlier</w:t>
      </w:r>
      <w:r>
        <w:t xml:space="preserve"> </w:t>
      </w:r>
      <w:r>
        <w:rPr>
          <w:i/>
        </w:rPr>
        <w:t xml:space="preserve">especially</w:t>
      </w:r>
      <w:r>
        <w:t xml:space="preserve"> </w:t>
      </w:r>
      <w:r>
        <w:t xml:space="preserve">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findings. While there are not other results of this particular kind, a related, an area of related work concerns other studies that have used the PQA measure. However, studies have (yet) used the version that is adapted for STEM content areas. Some reports call for greater use of measures (such as the PQA) in the study (and evaluation) of summer and outside-of-school STEM programs (e.g., Yohalem et al., 2005). As one example of such a study (but one that is not focused on STEM), Smith et al. (2012) reported findings from a continuous improvement intervention (that used a rigorous experimental design), finding that the intervention positively impacted the quality of instruction in the programs.</w:t>
      </w:r>
    </w:p>
    <w:p>
      <w:pPr>
        <w:pStyle w:val="BodyText"/>
      </w:pPr>
      <w:r>
        <w:t xml:space="preserve">In addition to work with data being common, it was highly varied in nature. In-depth qualitative analysis revealed that there was often a variety of ways in which each of the aspects were carried out, with implications for how youth may engage in each of them. Many times, youth engaged in what can be described as ambitious and potentially highly engaging ways of being involved in work with data. When youth were asking questions, 39% of the time they worked to make predictions or hypotheses about the phenomena they were exploring or the problem they were seeking to solve. When making observations, in 86% of the episodes, they did so of phenomena in the field (such as an estuary or an island in the case of science-focused programs). In mathematics and engineering-focused programs, such observations were of the physical objects that youth created in workshops or were through computers in classroom settings. These findings suggest, broadly, that there were opportunities available for youth to be highly engaged in work with data.</w:t>
      </w:r>
    </w:p>
    <w:p>
      <w:pPr>
        <w:pStyle w:val="BodyText"/>
      </w:pPr>
      <w:r>
        <w:t xml:space="preserve">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 Also of note was what occurred during the rest of the time: When youths’ questions, for example, were not focused on predicting or hypothesizing about what they were exploring, type of question was more general, or was instructor-led, rather than driven by youth, forms of work with data that is much more variable than may be expect by recent reform efforts (i.e., National Research Council, 2012; NGSS Lead States, 2013; National Governors Association Center for Best Practices, Council of Chief State School Officers, 2010), but more expected given past research pointing out variability in what evidence and data mean, especially in science education settings (McNeill and Berland, 2017; Lehrer &amp; Schauble, 2015).</w:t>
      </w:r>
    </w:p>
    <w:p>
      <w:pPr>
        <w:pStyle w:val="BodyText"/>
      </w:pPr>
      <w:r>
        <w:t xml:space="preserve">Also of note was the frequency of these three aspects of work with data overall: They occurred much more frequently than the two (making observations and data modeling) for which a larger proportion of their enactment was more in-line with policy and curricular standards. The type of activities that may be the most demanding for youth were still common, but not quite as common as the overall frequencies presented for the quantitative would suggest.</w:t>
      </w:r>
    </w:p>
    <w:p>
      <w:pPr>
        <w:pStyle w:val="BodyText"/>
      </w:pPr>
      <w:r>
        <w:t xml:space="preserve">While descriptive in nature, these results present the first insight into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pPr>
        <w:pStyle w:val="BodyText"/>
      </w:pPr>
      <w:r>
        <w:t xml:space="preserve">Past research does point out the heterogeneity in how work with data is enacted in educational settings. Past research, for example, highlights use of</w:t>
      </w:r>
      <w:r>
        <w:t xml:space="preserve"> </w:t>
      </w:r>
      <w:r>
        <w:t xml:space="preserve">“</w:t>
      </w:r>
      <w:r>
        <w:t xml:space="preserve">data to solve real problems and to ask authentic questions</w:t>
      </w:r>
      <w:r>
        <w:t xml:space="preserve">”</w:t>
      </w:r>
      <w:r>
        <w:t xml:space="preserve"> </w:t>
      </w:r>
      <w:r>
        <w:t xml:space="preserve">(Hancock et al., 1992, p. 337). Research on generating data emphasized an aspect not very much the focus of the present research, namely, structuring data into spreadsheets (Konold, Finzer, &amp; Kreetong, 2017; Lehrer &amp; Kim, 2009). Research on posing questions that can be answered with data shows that there is a connection between student-centered teaching strategies and students’ ability to ask empirical (Bielik &amp; Yarden, 2016).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pPr>
        <w:pStyle w:val="Heading2"/>
      </w:pPr>
      <w:bookmarkStart w:id="70" w:name="key-findings-related-to-engagement"/>
      <w:bookmarkEnd w:id="70"/>
      <w:r>
        <w:t xml:space="preserve">Key findings related to engagement</w:t>
      </w:r>
    </w:p>
    <w:p>
      <w:pPr>
        <w:pStyle w:val="FirstParagraph"/>
      </w:pPr>
      <w:r>
        <w:t xml:space="preserve">Six profiles of engagement were found using a rigorous model selection approach. Before discussing these results in-depth, it is important to note that LPA is an exploratory approach: The number and nature of the profiles identified were found through a rigorous and systematic approach, but this is not a guarantee that the same number and make-up of profiles would emerge in other samples and other contexts: These profiles should be considered as initial evidence, and not as proof that these are</w:t>
      </w:r>
      <w:r>
        <w:t xml:space="preserve"> </w:t>
      </w:r>
      <w:r>
        <w:rPr>
          <w:i/>
        </w:rPr>
        <w:t xml:space="preserve">the</w:t>
      </w:r>
      <w:r>
        <w:t xml:space="preserve"> </w:t>
      </w:r>
      <w:r>
        <w:t xml:space="preserve">six profiles of engagement that will exist in all settings.</w:t>
      </w:r>
    </w:p>
    <w:p>
      <w:pPr>
        <w:pStyle w:val="BodyText"/>
      </w:pPr>
      <w:r>
        <w:t xml:space="preserve">The number of profiles found is broadly similar to that found in past research. Six profiles is the same number of profiles of engagement identified in recent, past research and the similar number provides further information about the nature of engagement in educational contexts: Schmidt et al. (2018) found six profiles of engagement. Their profiles were constructed on the basis of the indicators (cognitive, behavioral, and affective) of engagement, and not perceptions of challenge and competence. As Schmidt et al.</w:t>
      </w:r>
      <w:r>
        <w:t xml:space="preserve">‘</w:t>
      </w:r>
      <w:r>
        <w:t xml:space="preserve">s study is the only other to examine engagement profiles, another point of comparison is other, similar outcomes, including youths</w:t>
      </w:r>
      <w:r>
        <w:t xml:space="preserve">’</w:t>
      </w:r>
      <w:r>
        <w:t xml:space="preserve"> </w:t>
      </w:r>
      <w:r>
        <w:t xml:space="preserve">(and students’) motivation (see Wormington and Linnenbrink-Garcia, 2017, for a review in motivational settings). Wormington and Linnenbrink-Garcia (2017) report that, usually, a smaller number, with only two of the 22 studies reviewed finding six profiles. This suggests, on the basis of this study and Schmidt et al.’s (2018) study,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These profiles have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pPr>
        <w:pStyle w:val="Heading2"/>
      </w:pPr>
      <w:bookmarkStart w:id="71" w:name="key-findings-related-to-work-with-data-and-youth-characteristics-and-their-relations-to-engagement"/>
      <w:bookmarkEnd w:id="71"/>
      <w:r>
        <w:t xml:space="preserve">Key findings related to work with data and youth characteristics and their relations to engagement</w:t>
      </w:r>
    </w:p>
    <w:p>
      <w:pPr>
        <w:pStyle w:val="FirstParagraph"/>
      </w:pPr>
      <w:r>
        <w:t xml:space="preserve">The source of variation in the profiles of engagement that</w:t>
      </w:r>
      <w:r>
        <w:t xml:space="preserve"> </w:t>
      </w:r>
      <w:r>
        <w:rPr>
          <w:i/>
        </w:rPr>
        <w:t xml:space="preserve">can be</w:t>
      </w:r>
      <w:r>
        <w:t xml:space="preserve"> </w:t>
      </w:r>
      <w:r>
        <w:t xml:space="preserve">explained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 First, this study explored the sources of variability for the profiles of engagement, revealing that little variability was at the instructional episode level (important given that work with data is a variable at this level) and at the program level. This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pPr>
        <w:pStyle w:val="BodyText"/>
      </w:pPr>
      <w:r>
        <w:t xml:space="preserve">In line with what the sources of variability would suggest,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pPr>
        <w:pStyle w:val="BodyText"/>
      </w:pPr>
      <w: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Generating and modeling data may have such relations because they are particularly important aspects of work with data. As Lehrer and Schauble (2006) explain,</w:t>
      </w:r>
      <w:r>
        <w:t xml:space="preserve"> </w:t>
      </w:r>
      <w:r>
        <w:rPr>
          <w:i/>
        </w:rPr>
        <w:t xml:space="preserve">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Miller et al., in press).</w:t>
      </w:r>
    </w:p>
    <w:p>
      <w:pPr>
        <w:pStyle w:val="BodyText"/>
      </w:pPr>
      <w:r>
        <w:t xml:space="preserve">While the findings for this question were somewhat minimal, there are key findings from both the important relationships that were found to be statistically significant (between generating data and data modeling and</w:t>
      </w:r>
      <w:r>
        <w:t xml:space="preserve"> </w:t>
      </w:r>
      <w:r>
        <w:rPr>
          <w:i/>
        </w:rPr>
        <w:t xml:space="preserve">Full</w:t>
      </w:r>
      <w:r>
        <w:t xml:space="preserve"> </w:t>
      </w:r>
      <w:r>
        <w:t xml:space="preserve">engagement) and from those that were not. Finding few significant findings may show that, in this sample and with work with data as carried out, it is difficult to say with certainty just how much of an impact work with data has upon youths’ engagement. This suggests that other samples, other enactments of work with data, and, possibly, other analytic approaches can build on this work to further substantiate what is known about how work with data is engaging to youth.</w:t>
      </w:r>
    </w:p>
    <w:p>
      <w:pPr>
        <w:pStyle w:val="BodyText"/>
      </w:pPr>
      <w:r>
        <w:t xml:space="preserve">The relations between youth characteristics and the profiles were found to be small and not as much in line with expectations given the preliminary analysis. These small relations were similar (in magnitude) to those between work with data and the profiles, but they were more surprising for a reason related to the sample for this study, namely, given the substantial variability at the youth level among the responses. This is described in detail in the discussion of the findings for research question #3.</w:t>
      </w:r>
    </w:p>
    <w:p>
      <w:pPr>
        <w:pStyle w:val="BodyText"/>
      </w:pPr>
      <w:r>
        <w:t xml:space="preserve">There was a lot of variability in the profiles of engagement at the youth level, but not many relations.</w:t>
      </w:r>
      <w:r>
        <w:t xml:space="preserve"> </w:t>
      </w:r>
      <w:r>
        <w:t xml:space="preserve">Findings revealed that youth with higher pre-program interest were more likely to be</w:t>
      </w:r>
      <w:r>
        <w:t xml:space="preserve"> </w:t>
      </w:r>
      <w:r>
        <w:rPr>
          <w:i/>
        </w:rPr>
        <w:t xml:space="preserve">Engaged and competent but not challenged</w:t>
      </w:r>
      <w:r>
        <w:t xml:space="preserve">. This suggests that youth with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pPr>
        <w:pStyle w:val="BodyText"/>
      </w:pPr>
      <w:r>
        <w:t xml:space="preserve">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w:t>
      </w:r>
    </w:p>
    <w:p>
      <w:pPr>
        <w:pStyle w:val="BodyText"/>
      </w:pPr>
      <w:r>
        <w:t xml:space="preserve">Why might these findings be so limited? One reason may be that summer STEM programs are different from other contexts in terms of work with data: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Moreover, youth may perceive the programs to have lower stakes in terms of their future. This may mean that the individual activities that youth engage in is less connected to their engagement: Youth instead engage in typical (to each youth) ways, rather than in ways that are much more sensitive to changes in their context. Another possible explanation for these limited findings may be that youth are not very challenged or are not very supported: A profile with low challenge but high competence and cognitive, behavioral, and affective engagement was found, suggesting that youth may be engaged and good at what they are doing, but are not challenged: Greater challenge may be found to be associated with more full engagement.</w:t>
      </w:r>
    </w:p>
    <w:p>
      <w:pPr>
        <w:pStyle w:val="BodyText"/>
      </w:pPr>
      <w:r>
        <w:t xml:space="preserve">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Heading1"/>
      </w:pPr>
      <w:bookmarkStart w:id="72" w:name="limitations-to-the-present-study-and-recommendations-for-research"/>
      <w:bookmarkEnd w:id="72"/>
      <w:r>
        <w:t xml:space="preserve">Limitations to the present study and recommendations for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a correlational analysis, or another analysis that uses that variables used to create profiles of engagement but does not use the profiles themselves.</w:t>
      </w:r>
    </w:p>
    <w:p>
      <w:pPr>
        <w:pStyle w:val="BodyText"/>
      </w:pPr>
      <w:r>
        <w:t xml:space="preserve">There were some general measurement-related limitations. Work with data can be difficult to measure because, as the qualitative analysis revealed, there are a variety of ways in which youth can be involved in work with data. Related,, work with data was measured as being present or not present; might a scale, that measures gradations of work with data, or a learning progression for work with data, be used as part of different measures? More specific in terms of the alignment of the measure with the conceptual framework for work with data, the dimensions of the STEM-PQA measure aligned closely with the aspects of work with data. But, there were some possible divergences that may have had an impact upon some of the findings.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pPr>
        <w:pStyle w:val="BodyText"/>
      </w:pPr>
      <w:r>
        <w:t xml:space="preserve">As another example of this limitation,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pPr>
        <w:pStyle w:val="BodyText"/>
      </w:pPr>
      <w:r>
        <w:t xml:space="preserve">While these divergences in measures were not large,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 revealed by the qualitative coding carried out in this study.</w:t>
      </w:r>
    </w:p>
    <w:p>
      <w:pPr>
        <w:pStyle w:val="BodyText"/>
      </w:pPr>
      <w:r>
        <w:t xml:space="preserve">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BodyText"/>
      </w:pPr>
      <w:r>
        <w:t xml:space="preserve">For example, as McNeill and Berland (2017) argue, it is not just engaging in these practices by rote, but about integrating them, as they overlap and interconnect.They argue that a view of work with data focused on sense-making with real-world phenomena and iterative cycles of engaging in work with data, and revision of intermediate ideas.</w:t>
      </w:r>
    </w:p>
    <w:p>
      <w:pPr>
        <w:pStyle w:val="Heading1"/>
      </w:pPr>
      <w:bookmarkStart w:id="73" w:name="implications-for-practice"/>
      <w:bookmarkEnd w:id="73"/>
      <w:r>
        <w:t xml:space="preserve">Implications for Practice</w:t>
      </w:r>
    </w:p>
    <w:p>
      <w:pPr>
        <w:pStyle w:val="FirstParagraph"/>
      </w:pPr>
      <w:r>
        <w:t xml:space="preserve">Two key implications related to engaging youth in generating and modeling data and including other practices to the extent that they involve youth in generating and modeling are discussed. This is based on the increases in full engagement when youth are involved in these activities, all else being equal. While this is somewhat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BodyText"/>
      </w:pPr>
      <w:r>
        <w:t xml:space="preserve">A final note concerns how the modeling was carried out. Because LPA is an exploratory approach, it requires a blend of exploring the data while also systematically taking account of how the solutions change while different solutions are explored. Because of the challenge of doing this, I developed an open-source tool that made it easier to work toward the aim of systematically exploring the data. Other educational researchers may consider the utility of such development efforts, though such efforts are not a regular part of the products created in the course of most educational research. Such development work by educational researchers may even inform the type of activities youth do when working with data: While a STEM content area, programming and computer science-related activities were not emphasized as much as those related to science, mathematics, and engineering.</w:t>
      </w:r>
    </w:p>
    <w:p>
      <w:pPr>
        <w:pStyle w:val="Heading1"/>
      </w:pPr>
      <w:bookmarkStart w:id="74" w:name="references"/>
      <w:bookmarkEnd w:id="74"/>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75">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76">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77">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78">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79">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0">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1">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2">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3">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4">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85">
        <w:r>
          <w:rPr>
            <w:rStyle w:val="Hyperlink"/>
          </w:rPr>
          <w:t xml:space="preserve">doi:10.1007/s10648-016-9358-2</w:t>
        </w:r>
      </w:hyperlink>
    </w:p>
    <w:p>
      <w:pPr>
        <w:pStyle w:val="Heading1"/>
      </w:pPr>
      <w:bookmarkStart w:id="86" w:name="appendix"/>
      <w:bookmarkEnd w:id="86"/>
      <w:r>
        <w:t xml:space="preserve">Appendix</w:t>
      </w:r>
    </w:p>
    <w:p>
      <w:pPr>
        <w:pStyle w:val="Heading2"/>
      </w:pPr>
      <w:bookmarkStart w:id="87" w:name="appendix-a-stem-pqa-alignment"/>
      <w:bookmarkEnd w:id="87"/>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88" w:name="appendix-b-program-descriptions"/>
      <w:bookmarkEnd w:id="88"/>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89" w:name="appendix-c-work-with-data-by-program"/>
      <w:bookmarkEnd w:id="89"/>
      <w:r>
        <w:t xml:space="preserve">Appendix C: Work with data by program</w:t>
      </w:r>
    </w:p>
    <w:p>
      <w:pPr>
        <w:pStyle w:val="TableCaption"/>
      </w:pPr>
      <w:r>
        <w:t xml:space="preserve">Table 8 Proportion of instructional episodes for which each of the aspects of work with data was present</w:t>
      </w:r>
    </w:p>
    <w:tbl>
      <w:tblPr>
        <w:tblStyle w:val="TableNormal"/>
        <w:tblW w:type="pct" w:w="0.0"/>
        <w:tblLook w:firstRow="1"/>
        <w:tblCaption w:val="Table 8 Proportion of instructional episode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instructional episodes for which each of the aspects of work with data was present by program</w:t>
      </w:r>
    </w:p>
    <w:tbl>
      <w:tblPr>
        <w:tblStyle w:val="TableNormal"/>
        <w:tblW w:type="pct" w:w="0.0"/>
        <w:tblLook w:firstRow="1"/>
        <w:tblCaption w:val="Table 8 Proportion of instructional episode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BodyText"/>
      </w:pPr>
      <w:r>
        <w:rPr>
          <w:i/>
        </w:rPr>
        <w:t xml:space="preserve">Note</w:t>
      </w:r>
      <w:r>
        <w:t xml:space="preserve">. The</w:t>
      </w:r>
      <w:r>
        <w:t xml:space="preserve"> </w:t>
      </w:r>
      <w:r>
        <w:rPr>
          <w:i/>
        </w:rPr>
        <w:t xml:space="preserve">Comunidad de Aprendizaje</w:t>
      </w:r>
      <w:r>
        <w:t xml:space="preserve"> </w:t>
      </w:r>
      <w:r>
        <w:t xml:space="preserve">program had different sections in the morning and afternoon, which is why the number of instructional episodes is higher than in the other programs.</w:t>
      </w:r>
    </w:p>
    <w:p>
      <w:pPr>
        <w:pStyle w:val="Heading3"/>
      </w:pPr>
      <w:bookmarkStart w:id="90" w:name="appendix-d-model-specifications-details"/>
      <w:bookmarkEnd w:id="90"/>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1" w:name="varying-means-equal-variances-and-covariances-fixed-to-0-model-1"/>
      <w:bookmarkEnd w:id="91"/>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2" w:name="varying-means-equal-variances-and-equal-covariances-model-2"/>
      <w:bookmarkEnd w:id="92"/>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3" w:name="varying-means-varying-variances-and-covariances-fixed-to-0-model-3"/>
      <w:bookmarkEnd w:id="93"/>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4" w:name="varying-means-varying-variances-and-equal-covariances-model-4"/>
      <w:bookmarkEnd w:id="94"/>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95" w:name="varying-means-equal-variances-and-varying-covariances-model-5"/>
      <w:bookmarkEnd w:id="95"/>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96" w:name="varying-means-varying-variances-and-varying-covariances-model-6"/>
      <w:bookmarkEnd w:id="96"/>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97" w:name="appendix-e-additional-details-on-the-model-selection-process"/>
      <w:bookmarkEnd w:id="97"/>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98"/>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99"/>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0" w:name="appendix-f-alternate-model-selected-model-type-1-seven-profile-solution"/>
      <w:bookmarkEnd w:id="100"/>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1"/>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2"/>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ed21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5f04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91b1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85" Target="doi:10.1007/s10648-016-9358-2" TargetMode="External" /><Relationship Type="http://schemas.openxmlformats.org/officeDocument/2006/relationships/hyperlink" Id="rId82" Target="doi:10.1080/00461520.2014.1002924" TargetMode="External" /><Relationship Type="http://schemas.openxmlformats.org/officeDocument/2006/relationships/hyperlink" Id="rId75" Target="http://doi.org/10.1002/j.2161-0045.2015.00097.x" TargetMode="External" /><Relationship Type="http://schemas.openxmlformats.org/officeDocument/2006/relationships/hyperlink" Id="rId83" Target="http://doi.org/10.1007/s10964-007-9241-z" TargetMode="External" /><Relationship Type="http://schemas.openxmlformats.org/officeDocument/2006/relationships/hyperlink" Id="rId79" Target="http://dx.doi.org/10.1016/j.learninstruc.2017.07.007" TargetMode="External" /><Relationship Type="http://schemas.openxmlformats.org/officeDocument/2006/relationships/hyperlink" Id="rId78" Target="http://dx.doi.org/10.1037/edu0000214" TargetMode="External" /><Relationship Type="http://schemas.openxmlformats.org/officeDocument/2006/relationships/hyperlink" Id="rId84" Target="http://faculty.sites.uci.edu/childcare/files/2013/07/SL-Outcomes-2011-Pilot_Edited_8.19.pdf" TargetMode="External" /><Relationship Type="http://schemas.openxmlformats.org/officeDocument/2006/relationships/hyperlink" Id="rId76" Target="https://doi.org/10.1007/978-1-4614-2018-7_37" TargetMode="External" /><Relationship Type="http://schemas.openxmlformats.org/officeDocument/2006/relationships/hyperlink" Id="rId81" Target="https://dx.doi.org/10.1002/tea.21409" TargetMode="External" /><Relationship Type="http://schemas.openxmlformats.org/officeDocument/2006/relationships/hyperlink" Id="rId80" Target="https://jrosen48.github.io/r-markdown/comparing-mplus-mclust.html" TargetMode="External" /><Relationship Type="http://schemas.openxmlformats.org/officeDocument/2006/relationships/hyperlink" Id="rId77"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85" Target="doi:10.1007/s10648-016-9358-2" TargetMode="External" /><Relationship Type="http://schemas.openxmlformats.org/officeDocument/2006/relationships/hyperlink" Id="rId82" Target="doi:10.1080/00461520.2014.1002924" TargetMode="External" /><Relationship Type="http://schemas.openxmlformats.org/officeDocument/2006/relationships/hyperlink" Id="rId75" Target="http://doi.org/10.1002/j.2161-0045.2015.00097.x" TargetMode="External" /><Relationship Type="http://schemas.openxmlformats.org/officeDocument/2006/relationships/hyperlink" Id="rId83" Target="http://doi.org/10.1007/s10964-007-9241-z" TargetMode="External" /><Relationship Type="http://schemas.openxmlformats.org/officeDocument/2006/relationships/hyperlink" Id="rId79" Target="http://dx.doi.org/10.1016/j.learninstruc.2017.07.007" TargetMode="External" /><Relationship Type="http://schemas.openxmlformats.org/officeDocument/2006/relationships/hyperlink" Id="rId78" Target="http://dx.doi.org/10.1037/edu0000214" TargetMode="External" /><Relationship Type="http://schemas.openxmlformats.org/officeDocument/2006/relationships/hyperlink" Id="rId84" Target="http://faculty.sites.uci.edu/childcare/files/2013/07/SL-Outcomes-2011-Pilot_Edited_8.19.pdf" TargetMode="External" /><Relationship Type="http://schemas.openxmlformats.org/officeDocument/2006/relationships/hyperlink" Id="rId76" Target="https://doi.org/10.1007/978-1-4614-2018-7_37" TargetMode="External" /><Relationship Type="http://schemas.openxmlformats.org/officeDocument/2006/relationships/hyperlink" Id="rId81" Target="https://dx.doi.org/10.1002/tea.21409" TargetMode="External" /><Relationship Type="http://schemas.openxmlformats.org/officeDocument/2006/relationships/hyperlink" Id="rId80" Target="https://jrosen48.github.io/r-markdown/comparing-mplus-mclust.html" TargetMode="External" /><Relationship Type="http://schemas.openxmlformats.org/officeDocument/2006/relationships/hyperlink" Id="rId77"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2018-06-12T20:35:57Z</dcterms:created>
  <dcterms:modified xsi:type="dcterms:W3CDTF">2018-06-12T20:35:57Z</dcterms:modified>
</cp:coreProperties>
</file>