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3.png" ContentType="image/png"/>
  <Override PartName="/word/media/rId119.png" ContentType="image/png"/>
  <Override PartName="/word/media/rId120.png" ContentType="image/png"/>
  <Override PartName="/word/media/rId116.png" ContentType="image/png"/>
  <Override PartName="/word/media/rId117.png" ContentType="image/png"/>
  <Override PartName="/word/media/rId67.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Work</w:t>
      </w:r>
      <w:r>
        <w:t xml:space="preserve"> </w:t>
      </w:r>
      <w:r>
        <w:t xml:space="preserve">With</w:t>
      </w:r>
      <w:r>
        <w:t xml:space="preserve"> </w:t>
      </w:r>
      <w:r>
        <w:t xml:space="preserve">Data</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Through</w:t>
      </w:r>
      <w:r>
        <w:t xml:space="preserve"> </w:t>
      </w:r>
      <w:r>
        <w:t xml:space="preserve">An</w:t>
      </w:r>
      <w:r>
        <w:t xml:space="preserve"> </w:t>
      </w:r>
      <w:r>
        <w:t xml:space="preserve">Experience</w:t>
      </w:r>
      <w:r>
        <w:t xml:space="preserve"> </w:t>
      </w:r>
      <w:r>
        <w:t xml:space="preserve">Sampling</w:t>
      </w:r>
      <w:r>
        <w:t xml:space="preserve"> </w:t>
      </w:r>
      <w:r>
        <w:t xml:space="preserve">Method</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2018-04-26</w:t>
      </w:r>
    </w:p>
    <w:p>
      <w:pPr>
        <w:pStyle w:val="Heading1"/>
      </w:pPr>
      <w:bookmarkStart w:id="21" w:name="intro-placemarker"/>
      <w:bookmarkEnd w:id="21"/>
      <w:r>
        <w:t xml:space="preserve">Introduction</w:t>
      </w:r>
    </w:p>
    <w:p>
      <w:pPr>
        <w:pStyle w:val="FirstParagraph"/>
      </w:pPr>
      <w:r>
        <w:t xml:space="preserve">Changes in how we plan our day-to-day lives, communicate, and learn are increasingly impacted by data. These sources of data–quantitative and qualitative–are created by us, for us, and about us, although at present opportunities for learners to analyze data in educational settings remain limited. Work with data more broadly includes processes of collecting, creating, modeling data, and asking questions that may be answered with data and making sense of findings.</w:t>
      </w:r>
    </w:p>
    <w:p>
      <w:pPr>
        <w:pStyle w:val="BodyText"/>
      </w:pPr>
      <w:r>
        <w:t xml:space="preserve">Work with data, then, is more than just crunching numbers or interpreting a figure created by someone else, but rather is about making sense of phenomena and problem solving, a point particularly relevant to work with data in educational contexts (Lee &amp; Wilkerson, 2018; Wild &amp; Pfannkuch, 1999). Aspects of work with data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key data analytic processes, particularly those related to generating measures of phenomena and creating data models, using these as anchoring practices for other aspects of work with data, like posing questions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Learners’ experiences, considered from the perspective of engagement theory, consist not only of cognitive processes, but also behavioral and even affective dimensions, too (Fredricks, Blumenfeld, &amp; Paris, 2004; Skinner &amp; Pitzer, 2012). When learners’ experiences are considered in terms of their engagement, we can hypothesize that learners who are engaged in high-quality activities related to work with data will be more or less cognitively, behaviorally, and affectively engaged. This engagement is a key outcome in its own right and may be an antecedent of changes in other outcomes, such as students’ intention to pursue an area of study or career in a STEM domain.</w:t>
      </w:r>
    </w:p>
    <w:p>
      <w:pPr>
        <w:pStyle w:val="BodyText"/>
      </w:pPr>
      <w:r>
        <w:t xml:space="preserve">While scholars have looked at cognitive outcomes and learners’ capability to participate in specific, learners’ experiences of working with data has not been the focus of past research. Thus, the present study sets out to understand to how learners’ experiences are impacted by work with data. In this study, I use contemporary engagement theory as a framework to understand learners’ experience. Past research has shown that how engaged learners and youth are is a predictor of key outcomes, such as their well-being, achievement and pursuit of an area of study or career (Sinatra, Heddy, &amp; Lombardi, 2015; Wang, Chow, Hofkens, &amp; Salmela-Aro, 2015; Wang &amp; Eccles, 2012).</w:t>
      </w:r>
    </w:p>
    <w:p>
      <w:pPr>
        <w:pStyle w:val="BodyText"/>
      </w:pPr>
      <w:r>
        <w:t xml:space="preserve">In this framework, engagement is considered to multi-dimensional and dynamic, or changing over time (Fredricks &amp; McColskey, 2012). Scholars commonly consider engagement in terms of three dimensions: cognitive (i.e., use of meta-cognitive learning strategies), behavioral (hard work on a task), and affective dimensions (enjoyment; Fredricks, Blumenfeld, &amp; Paris, 2004; Sinatra, et al., 2015; Skinner &amp; Pitzer, 2012). In recognition of its dynamic nature, some engagement scholars have drawn upon flow theory (Csikszentmihalyi, 1990, 1997) to identify not only dimensions of engagement, but also other, subjective, characteristics that effect engagement. This past research, drawn upon in the present study, has considered two of learners’ subjective considerations, their perceived competence and challenge, act as key conditions of engagement (Shernoff, Kelly, Tonks, Anderson, Cavanagh, Sinha, &amp; Abdi, 2016).</w:t>
      </w:r>
    </w:p>
    <w:p>
      <w:pPr>
        <w:pStyle w:val="BodyText"/>
      </w:pPr>
      <w:r>
        <w:t xml:space="preserve">The purpose of this study, then, is to understand learners’ experience of working with data through the lens of engagement.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Work with data is considered in terms of specific aspects, such as asking questions and generating and modeling data, identified from past research. Engagement in work with data is explored in the context of outside-of-school STEM enrichment programs carried out during the summer.</w:t>
      </w:r>
    </w:p>
    <w:p>
      <w:pPr>
        <w:pStyle w:val="Heading1"/>
      </w:pPr>
      <w:bookmarkStart w:id="22" w:name="literature-review"/>
      <w:bookmarkEnd w:id="22"/>
      <w:r>
        <w:t xml:space="preserve">Literature Review</w:t>
      </w:r>
    </w:p>
    <w:p>
      <w:pPr>
        <w:pStyle w:val="FirstParagraph"/>
      </w:pPr>
      <w:r>
        <w:t xml:space="preserve">I define work with data as a key practice across STEM domains. I also describe a multi-dimensional approach to understanding engagement that considers engagement and the two influencers of engagement (perceptions of competence and challenge) and an approach to analyzing data from such an approach in order to establish the framework used in the present study.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While work with data has been conceived in different ways (see Lee and Wikerson (in press) for a review and Wild and Pfannkuch (1999), Franklin et al. (2007), Lehrer and Schauble (2004) for specific examples from past research), some core components have emerged. Different approaches to working with data are distilled into five key aspects (see Figure 1) that guide their conceptualization in this study:</w:t>
      </w:r>
    </w:p>
    <w:p>
      <w:pPr>
        <w:pStyle w:val="Compact"/>
        <w:numPr>
          <w:numId w:val="1001"/>
          <w:ilvl w:val="0"/>
        </w:numPr>
      </w:pPr>
      <w:r>
        <w:t xml:space="preserve">Asking questions: Generating questions that can be answered with empirical evidence</w:t>
      </w:r>
    </w:p>
    <w:p>
      <w:pPr>
        <w:pStyle w:val="Compact"/>
        <w:numPr>
          <w:numId w:val="1001"/>
          <w:ilvl w:val="0"/>
        </w:numPr>
      </w:pPr>
      <w:r>
        <w:t xml:space="preserve">Making observations: Watching phenomena and noticing what is happening with respect to the phenomena or problem being investigated</w:t>
      </w:r>
    </w:p>
    <w:p>
      <w:pPr>
        <w:pStyle w:val="Compact"/>
        <w:numPr>
          <w:numId w:val="1001"/>
          <w:ilvl w:val="0"/>
        </w:numPr>
      </w:pPr>
      <w:r>
        <w:t xml:space="preserve">Generating data: The process of figuring out how or why to inscribe an observation as data about a phenomena, as well as generating coding frames or tools for measuring</w:t>
      </w:r>
    </w:p>
    <w:p>
      <w:pPr>
        <w:pStyle w:val="Compact"/>
        <w:numPr>
          <w:numId w:val="1001"/>
          <w:ilvl w:val="0"/>
        </w:numPr>
      </w:pPr>
      <w:r>
        <w:t xml:space="preserve">Data modeling: Activities involving use of simple statistics, such as the mean and variance, as well as more complicated models, such as linear models and extensions of the linear model</w:t>
      </w:r>
    </w:p>
    <w:p>
      <w:pPr>
        <w:pStyle w:val="Compact"/>
        <w:numPr>
          <w:numId w:val="1001"/>
          <w:ilvl w:val="0"/>
        </w:numPr>
      </w:pPr>
      <w:r>
        <w:t xml:space="preserve">Interpreting and communicating findings: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 five practices are a cycle because not only does each part follow that before it, but also because the overall process is iterative: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w:t>
      </w:r>
    </w:p>
    <w:p>
      <w:pPr>
        <w:pStyle w:val="Heading2"/>
      </w:pPr>
      <w:bookmarkStart w:id="25" w:name="the-role-of-work-with-data-in-the-curriculum"/>
      <w:bookmarkEnd w:id="25"/>
      <w:r>
        <w:t xml:space="preserve">The role of work with data in the curriculum</w:t>
      </w:r>
    </w:p>
    <w:p>
      <w:pPr>
        <w:pStyle w:val="FirstParagraph"/>
      </w:pPr>
      <w:r>
        <w:t xml:space="preserve">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this past research, how learners participate in different aspects of work with data in terms of engagement theory has not been a focus of any past studies.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 Engagement is also considered to be dynamic and changing in response to individual, situation or moment, and broader contextual factors, such as the family, classroom, or outside-of-school programs.</w:t>
      </w:r>
    </w:p>
    <w:p>
      <w:pPr>
        <w:pStyle w:val="BodyText"/>
      </w:pPr>
      <w:r>
        <w:t xml:space="preserve">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Heading2"/>
      </w:pPr>
      <w:bookmarkStart w:id="28" w:name="what-conditions-and-youth-characteristics-impact-engagement"/>
      <w:bookmarkEnd w:id="28"/>
      <w:r>
        <w:t xml:space="preserve">What conditions and youth characteristics impact engagement</w:t>
      </w:r>
    </w:p>
    <w:p>
      <w:pPr>
        <w:pStyle w:val="FirstParagraph"/>
      </w:pPr>
      <w:r>
        <w:t xml:space="preserve">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engagement, but also the conditions of engagement as part in terms of both learners’ subjective experiences. The conditions included in the PECs relate to learners’ subjective perceptions of two key factors suggested by past research and theory, in particular, how challenging they perceive the activity to be and how good at it they perceive themselves to be (Csikszentmihalyi, 1990).</w:t>
      </w:r>
    </w:p>
    <w:p>
      <w:pPr>
        <w:pStyle w:val="BodyText"/>
      </w:pPr>
      <w:r>
        <w:t xml:space="preserve">I review a few other youth characteristics that impact engagement.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29" w:name="using-esm-to-study-the-dynamics-of-engagement"/>
      <w:bookmarkEnd w:id="29"/>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has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30" w:name="the-benefit-of-profiles-of-engagement-and-the-conditions-of-engagement-perceptions-of-challenge-and-competence"/>
      <w:bookmarkEnd w:id="30"/>
      <w:r>
        <w:t xml:space="preserve">The benefit of profiles of engagement and the conditions of engagement (perceptions of challenge and competence)</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momentary engagement, or engagement as reported by youth via ESM during particular moments. Note that ESM involves asking youth about to report on their experience at the time they were signaled.</w:t>
      </w:r>
    </w:p>
    <w:p>
      <w:pPr>
        <w:pStyle w:val="BodyText"/>
      </w:pPr>
      <w:r>
        <w:t xml:space="preserve">Profiles seek to capture both the cognitive, behavioral, and affective dimensions of engagement and the subjective conditions of challenge and competence to understand how students experience engagement and its conditions in a more holistic way. There are some recent studies taking a person-oriented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person-oriented approach has an important implication for how we analyze data collected from ESM about youths’ engagement, in particular when we consider how to understand engagement as a meta-construct (Skinner, Kindermann, &amp; Furrer, 2009) and how to account for its dynamic nature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2018). Different from this past research, another potential way to account for the dynamics of engagement is to consider both engagement and its conditions at once. Since a person-oriented approach emphasizes the dynamic nature of development and the impact of not only external but also intra-individual factors. As in the present study, youths’ perceptions of challenge and competence, also collected via ESM, are used along with the measures of engagement to construct momentary profiles. Thus, the profiles of engagement can be considered to be profiles of engagement and its conditions, as they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1" w:name="need-for-the-present-study"/>
      <w:bookmarkEnd w:id="31"/>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that are more engaging and which provide more support to learners in terms of their perceptions of challenge and their own competence. In addition to this general need to study engagement in work with data through the lens of engagement, no research that I am aware of has examined work with data or data analysis more generally in the context of outside-of-school programs. These settings are potentially rich with opportunities for highly engaged learners to analyze authentic data sources. Finally, little research has examined how data is part of the experiences of youth in out-of-school-time programs, despite its place as one of a few core practices in STEM.</w:t>
      </w:r>
    </w:p>
    <w:p>
      <w:pPr>
        <w:pStyle w:val="Heading2"/>
      </w:pPr>
      <w:bookmarkStart w:id="32" w:name="conceptual-framework-and-research-questions"/>
      <w:bookmarkEnd w:id="32"/>
      <w:r>
        <w:t xml:space="preserve">Conceptual Framework and Research Questions</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473685"/>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3"/>
                    <a:stretch>
                      <a:fillRect/>
                    </a:stretch>
                  </pic:blipFill>
                  <pic:spPr bwMode="auto">
                    <a:xfrm>
                      <a:off x="0" y="0"/>
                      <a:ext cx="5334000" cy="3473685"/>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 engagement in work with data is associated with different profiles of engagement and its conditions, referred to as either profiles of engagement and its conditions or profiles in the remainder of this manuscript. The theoretical framework for the person-oriented approach suggests that while the dynamics among the individual aspects of engagement emerge in complex and situation-specific ways, it is possible to consider engagement in terms of patterns among its components. In addition, a pre-program measure of learners’ individual interest in STEM is hypothesized to be associated with the profiles and the relations of work with data and the profiles. The ESM responses that make up the profiles are associated with students, moments, and program effects that must be accounted for (Strati et al., 2017).</w:t>
      </w:r>
    </w:p>
    <w:p>
      <w:pPr>
        <w:pStyle w:val="BodyText"/>
      </w:pPr>
      <w:r>
        <w:t xml:space="preserve">As depicted in the Figure 2, the four research questions are formalized as follows:</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profiles of youth engagement and its conditions emerge from experiential data collected in the programs?</w:t>
      </w:r>
    </w:p>
    <w:p>
      <w:pPr>
        <w:pStyle w:val="Compact"/>
        <w:numPr>
          <w:numId w:val="1003"/>
          <w:ilvl w:val="0"/>
        </w:numPr>
      </w:pPr>
      <w:r>
        <w:t xml:space="preserve">How do data practices relate to youth engagement in the programs?</w:t>
      </w:r>
    </w:p>
    <w:p>
      <w:pPr>
        <w:pStyle w:val="Compact"/>
        <w:numPr>
          <w:numId w:val="1003"/>
          <w:ilvl w:val="0"/>
        </w:numPr>
      </w:pPr>
      <w:r>
        <w:t xml:space="preserve">How do youth characteristics relate to their engagement?</w:t>
      </w:r>
    </w:p>
    <w:p>
      <w:pPr>
        <w:pStyle w:val="Heading1"/>
      </w:pPr>
      <w:bookmarkStart w:id="34" w:name="method"/>
      <w:bookmarkEnd w:id="34"/>
      <w:r>
        <w:t xml:space="preserve">Method</w:t>
      </w:r>
    </w:p>
    <w:p>
      <w:pPr>
        <w:pStyle w:val="FirstParagraph"/>
      </w:pPr>
      <w:r>
        <w:t xml:space="preserve">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2"/>
      </w:pPr>
      <w:bookmarkStart w:id="35" w:name="participants"/>
      <w:bookmarkEnd w:id="35"/>
      <w:r>
        <w:t xml:space="preserve">Participants</w:t>
      </w:r>
    </w:p>
    <w:p>
      <w:pPr>
        <w:pStyle w:val="FirstParagraph"/>
      </w:pPr>
      <w:r>
        <w:t xml:space="preserve">Participants consist of 203 youth. Youth in these programs are from diverse racial and ethnic backgrounds (see Table 1). Most participants are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context"/>
      <w:bookmarkEnd w:id="36"/>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7" w:name="procedure"/>
      <w:bookmarkEnd w:id="37"/>
      <w:r>
        <w:t xml:space="preserve">Procedure</w:t>
      </w:r>
    </w:p>
    <w:p>
      <w:pPr>
        <w:pStyle w:val="FirstParagraph"/>
      </w:pPr>
      <w:r>
        <w:t xml:space="preserve">Youth completed a pre-survey before the program. Youth also completed pre-course surveys of their experience in STEM, intention to pursue a STEM major or career, and questions for other motivation and engagement-related measures. At the beginning of the programs, youth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youth were signaled four times. These signals were at the same time for all of the youth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also recorded detailed field notes on the nature of program activities. So that measures corresponding to the video and ESM data can be matched, videos include a signal from the video-recorder identifying the ESM signal to which youth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38" w:name="data-sources-and-measures"/>
      <w:bookmarkEnd w:id="38"/>
      <w:r>
        <w:t xml:space="preserve">Data Sources and Measures</w:t>
      </w:r>
    </w:p>
    <w:p>
      <w:pPr>
        <w:pStyle w:val="FirstParagraph"/>
      </w:pPr>
      <w:r>
        <w:t xml:space="preserve">Data sources consist of self-reported ESM measures of engagement and learners’ perceptions of themselves and the activity, pre-survey measures of youths’ interest, youths’ demographic information, and video-recordings of programs.</w:t>
      </w:r>
    </w:p>
    <w:p>
      <w:pPr>
        <w:pStyle w:val="Heading3"/>
      </w:pPr>
      <w:bookmarkStart w:id="39" w:name="esm-measures-of-learners-engagement-and-its-conditions-for-the-profiles"/>
      <w:bookmarkEnd w:id="39"/>
      <w:r>
        <w:t xml:space="preserve">ESM measures of learners’ engagement and its conditions for the profiles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profiles. Each of the ESM items consisted of the item text and the following four item response options, of which youth were directed to select one: Not at all (associated with the number 1 on the survey), A little (2), Somewhat (3), and Very Much (4), as presented in Table 3.</w:t>
      </w:r>
    </w:p>
    <w:p>
      <w:pPr>
        <w:pStyle w:val="TableCaption"/>
      </w:pPr>
      <w:r>
        <w:t xml:space="preserve">Table 2 ESM measures for profiles of engagement and its conditions</w:t>
      </w:r>
    </w:p>
    <w:tbl>
      <w:tblPr>
        <w:tblStyle w:val="TableNormal"/>
        <w:tblW w:type="pct" w:w="0.0"/>
        <w:tblLook w:firstRow="1"/>
        <w:tblCaption w:val="Table 2 ESM measures for profiles of engagement and its condition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40" w:name="survey-measures-of-pre-interest"/>
      <w:bookmarkEnd w:id="40"/>
      <w:r>
        <w:t xml:space="preserve">Survey measures of pre-interest</w:t>
      </w:r>
    </w:p>
    <w:p>
      <w:pPr>
        <w:pStyle w:val="FirstParagraph"/>
      </w:pPr>
      <w:r>
        <w:t xml:space="preserve">Measures of youths’ pre-interest are used as youth-level influencers of the profiles.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The measure was constructed by taking the maximum value for the scales for the different content areas (science, mathematics, and engineering), so that the value for a youth whose response for the science scale was 2.5 and for the mathematics scale was 2.75 would be 2.5.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1" w:name="codes-from-video-recordings-for-work-with-data"/>
      <w:bookmarkEnd w:id="41"/>
      <w:r>
        <w:t xml:space="preserve">Codes from video-recordings for work with data</w:t>
      </w:r>
    </w:p>
    <w:p>
      <w:pPr>
        <w:pStyle w:val="FirstParagraph"/>
      </w:pPr>
      <w:r>
        <w:t xml:space="preserve">Different aspects of work with data are identified from video-recordings with the use of a coding frame with five for each of the aspects of work with data. These codes are developed from the STEM-Program Quality Assessment (STEM-PQA; Forum for Youth Investment, 2012), an assessment of quality programming in after school programs. For the PQA, raters contracted by American Institute of Research (AIR) were trained in the use of the PQA measure during February, 2017.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overall PQA measure used the STEM-PQA scored one video segment, for which there were no disagreements on scoring across the four raters on any items. If any of the raters encountered into a situation that was difficult to score, they would all discuss the issue by telephone or more often by email after viewing the video in question and reach a consensus on how to score the specific item. Programs were divided up among all of the raters, so raters coded some of the videos for all of the programs.</w:t>
      </w:r>
    </w:p>
    <w:p>
      <w:pPr>
        <w:pStyle w:val="BodyText"/>
      </w:pPr>
      <w:r>
        <w:t xml:space="preserve">Specific details on how the measure aligns with the original STEM-PQA on which this measure is based are presented in the appendix.</w:t>
      </w:r>
    </w:p>
    <w:p>
      <w:pPr>
        <w:pStyle w:val="TableCaption"/>
      </w:pPr>
      <w:r>
        <w:t xml:space="preserve">Table 4 Coding Frame for Work With Data</w:t>
      </w:r>
    </w:p>
    <w:tbl>
      <w:tblPr>
        <w:tblStyle w:val="TableNormal"/>
        <w:tblW w:type="pct" w:w="0.0"/>
        <w:tblLook w:firstRow="1"/>
        <w:tblCaption w:val="Table 4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2" w:name="demographic-variables-used"/>
      <w:bookmarkEnd w:id="42"/>
      <w:r>
        <w:t xml:space="preserve">Demographic variables used</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3" w:name="data-analysis"/>
      <w:bookmarkEnd w:id="43"/>
      <w:r>
        <w:t xml:space="preserve">Data Analysis</w:t>
      </w:r>
    </w:p>
    <w:p>
      <w:pPr>
        <w:pStyle w:val="FirstParagraph"/>
      </w:pPr>
      <w:r>
        <w:t xml:space="preserve">The steps for both preliminary and the primary analyses are described in this section.</w:t>
      </w:r>
    </w:p>
    <w:p>
      <w:pPr>
        <w:pStyle w:val="Heading3"/>
      </w:pPr>
      <w:bookmarkStart w:id="44" w:name="preliminary-analyses"/>
      <w:bookmarkEnd w:id="44"/>
      <w:r>
        <w:t xml:space="preserve">Preliminary analyses</w:t>
      </w:r>
    </w:p>
    <w:p>
      <w:pPr>
        <w:pStyle w:val="FirstParagraph"/>
      </w:pPr>
      <w:r>
        <w:t xml:space="preserve">First-order Pearson correlations and the frequency, range, mean, and standard deviations are first examined for all variables. In addition, the frequency of the codes for aspects of work with data, and the numbers of responses by youth, program, and moment are examined.</w:t>
      </w:r>
    </w:p>
    <w:p>
      <w:pPr>
        <w:pStyle w:val="Heading3"/>
      </w:pPr>
      <w:bookmarkStart w:id="45" w:name="analysis-for-research-question-1-on-the-frequency-and-nature-of-work-with-data"/>
      <w:bookmarkEnd w:id="45"/>
      <w:r>
        <w:t xml:space="preserve">Analysis for Research Question #1 (on the frequency and nature of work with data)</w:t>
      </w:r>
    </w:p>
    <w:p>
      <w:pPr>
        <w:pStyle w:val="FirstParagraph"/>
      </w:pPr>
      <w:r>
        <w:t xml:space="preserve">First, the frequency of the codes for the individual aspects of work with data from the PQA measure of work with data (described above), and the composite for work with data, which was simply the sum of the codes for the individual aspects of work with data, are calculated. Then, to present a qualitative description, all of the segments were coded, moments associated with specific codes were identified and used to provide examples for each of the aspects of work with data.</w:t>
      </w:r>
    </w:p>
    <w:p>
      <w:pPr>
        <w:pStyle w:val="BodyText"/>
      </w:pPr>
      <w:r>
        <w:t xml:space="preserve">To code the data, three research assistants were trained for approximately eight hours over four meetings. Then, each research assistant coded all of the segments associated with one of the videos. The guiding questions for the qualitative coding were as follows:</w:t>
      </w:r>
    </w:p>
    <w:p>
      <w:pPr>
        <w:pStyle w:val="Compact"/>
        <w:numPr>
          <w:numId w:val="1004"/>
          <w:ilvl w:val="0"/>
        </w:numPr>
      </w:pPr>
      <w:r>
        <w:t xml:space="preserve">What are youth doing?</w:t>
      </w:r>
    </w:p>
    <w:p>
      <w:pPr>
        <w:pStyle w:val="Compact"/>
        <w:numPr>
          <w:numId w:val="1004"/>
          <w:ilvl w:val="0"/>
        </w:numPr>
      </w:pPr>
      <w:r>
        <w:t xml:space="preserve">When asking questions or defining problems is coded, what, if any are the questions or problems? Who is asking the question (i.e teacher or student)</w:t>
      </w:r>
    </w:p>
    <w:p>
      <w:pPr>
        <w:pStyle w:val="Compact"/>
        <w:numPr>
          <w:numId w:val="1004"/>
          <w:ilvl w:val="0"/>
        </w:numPr>
      </w:pPr>
      <w:r>
        <w:t xml:space="preserve">When making observations is coded, what are youth doing?</w:t>
      </w:r>
    </w:p>
    <w:p>
      <w:pPr>
        <w:pStyle w:val="Compact"/>
        <w:numPr>
          <w:numId w:val="1004"/>
          <w:ilvl w:val="0"/>
        </w:numPr>
      </w:pPr>
      <w:r>
        <w:t xml:space="preserve">When generating data is coded, how, if they are, are youth collecting or recording data?</w:t>
      </w:r>
    </w:p>
    <w:p>
      <w:pPr>
        <w:pStyle w:val="Compact"/>
        <w:numPr>
          <w:numId w:val="1004"/>
          <w:ilvl w:val="0"/>
        </w:numPr>
      </w:pPr>
      <w:r>
        <w:t xml:space="preserve">When analyzing or modeling data is coded, what analysis are they doing, or what models are they using? Are they talking about variability or uncertainty? If so, how?</w:t>
      </w:r>
    </w:p>
    <w:p>
      <w:pPr>
        <w:pStyle w:val="Compact"/>
        <w:numPr>
          <w:numId w:val="1004"/>
          <w:ilvl w:val="0"/>
        </w:numPr>
      </w:pPr>
      <w:r>
        <w:t xml:space="preserve">When interpreting and communicating findings is coded, what are youth interpreting or how are they communicating?</w:t>
      </w:r>
    </w:p>
    <w:p>
      <w:pPr>
        <w:pStyle w:val="Compact"/>
        <w:numPr>
          <w:numId w:val="1004"/>
          <w:ilvl w:val="0"/>
        </w:numPr>
      </w:pPr>
      <w:r>
        <w:t xml:space="preserve">Is there a phenomena being studied or a problem being investigated? If so, what is the phenomena being studied or problem being investigated?</w:t>
      </w:r>
    </w:p>
    <w:p>
      <w:pPr>
        <w:pStyle w:val="Compact"/>
        <w:numPr>
          <w:numId w:val="1004"/>
          <w:ilvl w:val="0"/>
        </w:numPr>
      </w:pPr>
      <w:r>
        <w:t xml:space="preserve">Is the activity related to something youth have previously done or learned about? If so, how?</w:t>
      </w:r>
    </w:p>
    <w:p>
      <w:pPr>
        <w:pStyle w:val="Compact"/>
        <w:numPr>
          <w:numId w:val="1004"/>
          <w:ilvl w:val="0"/>
        </w:numPr>
      </w:pPr>
      <w:r>
        <w:t xml:space="preserve">Is the activity related to something youth will do or will learn about? If so, how?</w:t>
      </w:r>
    </w:p>
    <w:p>
      <w:pPr>
        <w:pStyle w:val="Compact"/>
        <w:numPr>
          <w:numId w:val="1004"/>
          <w:ilvl w:val="0"/>
        </w:numPr>
      </w:pPr>
      <w:r>
        <w:t xml:space="preserve">Is the activity collaborative? If so, what is happening?</w:t>
      </w:r>
    </w:p>
    <w:p>
      <w:pPr>
        <w:pStyle w:val="Compact"/>
        <w:numPr>
          <w:numId w:val="1004"/>
          <w:ilvl w:val="0"/>
        </w:numPr>
      </w:pPr>
      <w:r>
        <w:t xml:space="preserve">Is anything else of interest or that is noteworthy going on?</w:t>
      </w:r>
    </w:p>
    <w:p>
      <w:pPr>
        <w:pStyle w:val="FirstParagraph"/>
      </w:pPr>
      <w:r>
        <w:t xml:space="preserve">After the coding was complete, the three research assistants and I met to discuss how well the coding frame and potential sources of disagreement. Then, two coders coded every segment that was coded for at least one of the aspects of work with data. This coding took around 75 hours of coding by the research assistants. After coding all of the segments associated with each program, the coders met to discuss potential issues that emerged throughout the coding, and to clarify how they applied the coding frame.</w:t>
      </w:r>
    </w:p>
    <w:p>
      <w:pPr>
        <w:pStyle w:val="BodyText"/>
      </w:pPr>
      <w:r>
        <w:t xml:space="preserve">I then read through all of the codes for all of the segments, and made notes associated with each of the five aspects of work with data (i.e., asking questions, making observations, and the other aspects). These notes focused on whether and in what ways there appeared to be alignment between the codes for work with data (from the PQA) and the conceptual framework for work with data. I used these notes to write detailed descriptions of each of the aspects of work with data. I also calculated how many time these aligned (i.e., how many times both the PQA code for an aspect of work with data was supported by the qualitative code) for each aspect of work with data.</w:t>
      </w:r>
    </w:p>
    <w:p>
      <w:pPr>
        <w:pStyle w:val="Heading3"/>
      </w:pPr>
      <w:bookmarkStart w:id="46" w:name="analysis-for-research-question-2-what-profiles-of-engagement-emerge"/>
      <w:bookmarkEnd w:id="46"/>
      <w:r>
        <w:t xml:space="preserve">Analysis for Research Question #2 (what profiles of engagement emerge)</w:t>
      </w:r>
    </w:p>
    <w:p>
      <w:pPr>
        <w:pStyle w:val="Heading4"/>
      </w:pPr>
      <w:bookmarkStart w:id="47" w:name="background-information-on-latent-profile-analysis-lpa"/>
      <w:bookmarkEnd w:id="47"/>
      <w:r>
        <w:t xml:space="preserve">Background information on Latent Profile Analysis (LPA)</w:t>
      </w:r>
    </w:p>
    <w:p>
      <w:pPr>
        <w:pStyle w:val="FirstParagraph"/>
      </w:pPr>
      <w:r>
        <w:t xml:space="preserve">LPA can be used to identify common patterns in learners’ ESM responses as part of a person-oriented analysis to construct the profiles.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cluster analysis). LPA also provides</w:t>
      </w:r>
      <w:r>
        <w:t xml:space="preserve"> </w:t>
      </w:r>
      <w:r>
        <w:rPr>
          <w:i/>
        </w:rPr>
        <w:t xml:space="preserve">probabilities</w:t>
      </w:r>
      <w:r>
        <w:t xml:space="preserve"> </w:t>
      </w:r>
      <w:r>
        <w:t xml:space="preserve">of an observation being in a particular profile, unlike cluster analysis, which involves exclusively classifying an observation into one profile.</w:t>
      </w:r>
    </w:p>
    <w:p>
      <w:pPr>
        <w:pStyle w:val="BodyText"/>
      </w:pPr>
      <w:r>
        <w:t xml:space="preserve">This question addresses what profiles emerged from the ESM responses for cognitive, behavioral, and affective engagement, and perceptions of challenge and competence. To answer this question, 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Answers to this question will help to understand how the aspects of engagement relate to both one another and to key conditions that influence engagement.</w:t>
      </w:r>
    </w:p>
    <w:p>
      <w:pPr>
        <w:pStyle w:val="BodyText"/>
      </w:pPr>
      <w:r>
        <w:t xml:space="preserve">To create the profiles,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LPA allows for capturing the multidimensional nature of engagement and its conditions, as is the goal of the analysis for the present study.</w:t>
      </w:r>
    </w:p>
    <w:p>
      <w:pPr>
        <w:pStyle w:val="Heading4"/>
      </w:pPr>
      <w:bookmarkStart w:id="48" w:name="selecting-a-model-on-the-basis-of-fit-indices-and-other-techniques"/>
      <w:bookmarkEnd w:id="48"/>
      <w:r>
        <w:t xml:space="preserve">Selecting a model on the basis of fit indices and other techniques</w:t>
      </w:r>
    </w:p>
    <w:p>
      <w:pPr>
        <w:pStyle w:val="FirstParagraph"/>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 The number of profiles are determined on the basis of the log-likelihood and bootstrapped likelihood ratio test, entropy, Akaike Information Criteria, and Bayesian Information Criteria statistics, as well as concerns of parsimony and interpretability.</w:t>
      </w:r>
    </w:p>
    <w:p>
      <w:pPr>
        <w:pStyle w:val="BodyText"/>
      </w:pPr>
      <w:r>
        <w:t xml:space="preserve">First, I examined a wide range of model types (i.e., the parameterization of the model, with the six options described in the appendix as candidates) and the numbers of profiles. These roughly became more complex, with additional parameters estimated, as the number for the model type increases from one to six. This step is taken to select candidate solutions to investigate in more detail. In order to carry out this analysis, I followed guidelines recommended by the developers of the MPlus software (Asparouhov &amp; Muthen, 2012; Muthen &amp; Muthen, 2017) as well as those making recommendations about its use (Geiser, 2012).</w:t>
      </w:r>
    </w:p>
    <w:p>
      <w:pPr>
        <w:pStyle w:val="BodyText"/>
      </w:pPr>
      <w:r>
        <w:t xml:space="preserve">To select a model for use in subsequent analyses, the log-likelihood (LL),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Past research suggests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 Of the three statistical tests, the bootstrapped is considered to be the best indicator of which of two models, one nested (with certain parameters fixed to 0) within the other, fits better, but it is also the most computationally-intensive to carry out (Asparouhov &amp; Muthen, 2012).</w:t>
      </w:r>
    </w:p>
    <w:p>
      <w:pPr>
        <w:pStyle w:val="Heading3"/>
      </w:pPr>
      <w:bookmarkStart w:id="49" w:name="statistical-software-developed"/>
      <w:bookmarkEnd w:id="49"/>
      <w:r>
        <w:t xml:space="preserve">Statistical software developed</w:t>
      </w:r>
    </w:p>
    <w:p>
      <w:pPr>
        <w:pStyle w:val="FirstParagraph"/>
      </w:pPr>
      <w:r>
        <w:t xml:space="preserve">The MPlus software is used to carry out LPA as part of this study. In order to more flexibly carry out LPA, an open-source tool, tidyLPA (Rosenberg, Schmidt, &amp; Beymer, ),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3"/>
      </w:pPr>
      <w:bookmarkStart w:id="50" w:name="analysis-for-research-question-3-how-work-with-data-relates-to-engagement"/>
      <w:bookmarkEnd w:id="50"/>
      <w:r>
        <w:t xml:space="preserve">Analysis for Research Question #3 (how work with data relates to engagement)</w:t>
      </w:r>
    </w:p>
    <w:p>
      <w:pPr>
        <w:pStyle w:val="FirstParagraph"/>
      </w:pPr>
      <w:r>
        <w:t xml:space="preserve">Broadly, this question is focused on how work with data, as coded from video-recordings of the programs, relates to the profiles.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To answer this question, on how well the aspects of work with data predict the profiles, first, indicators for activities coded for any of the five aspects of work with data and either of the other two activities are used to predict each PEC. The</w:t>
      </w:r>
      <w:r>
        <w:t xml:space="preserve"> </w:t>
      </w:r>
      <w:r>
        <w:rPr>
          <w:i/>
        </w:rPr>
        <w:t xml:space="preserve">lme4</w:t>
      </w:r>
      <w:r>
        <w:t xml:space="preserve"> </w:t>
      </w:r>
      <w:r>
        <w:t xml:space="preserve">R package (Bates, Martin, Bolker, &amp; Walker, 2015) is used. All of the models for this and research question #4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First, null models with only the random parts (i.e., random learner, momentary, and program effects) are specified. Then, the predictors are added to the model with the main effects of the variables added. Lastly, a model with the work with data composite (constructed as a sum of the values of the variables for the aspects of work with data) is specified.</w:t>
      </w:r>
    </w:p>
    <w:p>
      <w:pPr>
        <w:pStyle w:val="Heading3"/>
      </w:pPr>
      <w:bookmarkStart w:id="51" w:name="analysis-for-research-question-4-how-youth-characteristics-relate-to-engagement"/>
      <w:bookmarkEnd w:id="51"/>
      <w:r>
        <w:t xml:space="preserve">Analysis for Research Question #4 (how youth characteristics relate to engagement)</w:t>
      </w:r>
    </w:p>
    <w:p>
      <w:pPr>
        <w:pStyle w:val="FirstParagraph"/>
      </w:pPr>
      <w:r>
        <w:t xml:space="preserve">Research question #4 is focused on how the relationships of work with data differ on the basis of pre-program interest and other youth characteristics–their gender and URM status. Like for the previous two research questions, models that account for the cross-classification of the moment and the youth are used. Findings from models with pre interest, gender, and URM status are first carried out. Then, models with these variable and the individual aspects and composite of work with data are added and then models with the interaction between these characteristics and the composite.</w:t>
      </w:r>
    </w:p>
    <w:p>
      <w:pPr>
        <w:pStyle w:val="Heading2"/>
      </w:pPr>
      <w:bookmarkStart w:id="52" w:name="sensitivity-analysis"/>
      <w:bookmarkEnd w:id="52"/>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1"/>
      </w:pPr>
      <w:bookmarkStart w:id="53" w:name="results"/>
      <w:bookmarkEnd w:id="53"/>
      <w:r>
        <w:t xml:space="preserve">Results</w:t>
      </w:r>
    </w:p>
    <w:p>
      <w:pPr>
        <w:pStyle w:val="FirstParagraph"/>
      </w:pPr>
      <w:r>
        <w:t xml:space="preserve">In this section, I present the results associated with the preliminary analysis and the four research questions.</w:t>
      </w:r>
    </w:p>
    <w:p>
      <w:pPr>
        <w:pStyle w:val="Heading2"/>
      </w:pPr>
      <w:bookmarkStart w:id="54" w:name="results-from-the-preliminary-analysis"/>
      <w:bookmarkEnd w:id="54"/>
      <w:r>
        <w:t xml:space="preserve">Results from the preliminary analysis</w:t>
      </w:r>
    </w:p>
    <w:p>
      <w:pPr>
        <w:pStyle w:val="Heading3"/>
      </w:pPr>
      <w:bookmarkStart w:id="55" w:name="descriptive-statistics-for-study-variables"/>
      <w:bookmarkEnd w:id="55"/>
      <w:r>
        <w:t xml:space="preserve">Descriptive statistics for study variables</w:t>
      </w:r>
    </w:p>
    <w:p>
      <w:pPr>
        <w:pStyle w:val="FirstParagraph"/>
      </w:pPr>
      <w:r>
        <w:t xml:space="preserve">First, descriptive statistics for all of the study variables–overall pre-interest, the five variables that are used to estimate the profiles, are presented. Overall pre-interest and the variables used to estimate the profiles are presented first.</w:t>
      </w:r>
    </w:p>
    <w:p>
      <w:pPr>
        <w:pStyle w:val="Heading3"/>
      </w:pPr>
      <w:bookmarkStart w:id="56" w:name="correlations-among-study-variables"/>
      <w:bookmarkEnd w:id="56"/>
      <w:r>
        <w:t xml:space="preserve">Correlations among study variables</w:t>
      </w:r>
    </w:p>
    <w:p>
      <w:pPr>
        <w:pStyle w:val="FirstParagraph"/>
      </w:pPr>
      <w:r>
        <w:t xml:space="preserve">Next, correlations between individual aspects of work with data (and the composite) and the variables that are used to create the profiles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w:t>
      </w:r>
    </w:p>
    <w:p>
      <w:pPr>
        <w:pStyle w:val="BodyText"/>
      </w:pPr>
      <w:r>
        <w:t xml:space="preserve">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w:t>
      </w:r>
    </w:p>
    <w:p>
      <w:pPr>
        <w:pStyle w:val="Heading2"/>
      </w:pPr>
      <w:bookmarkStart w:id="57" w:name="results-for-research-question-1"/>
      <w:bookmarkEnd w:id="57"/>
      <w:r>
        <w:t xml:space="preserve">Results for Research Question #1</w:t>
      </w:r>
    </w:p>
    <w:p>
      <w:pPr>
        <w:pStyle w:val="Heading3"/>
      </w:pPr>
      <w:bookmarkStart w:id="58" w:name="frequency-of-work-with-data"/>
      <w:bookmarkEnd w:id="58"/>
      <w:r>
        <w:t xml:space="preserve">Frequency of work with data</w:t>
      </w:r>
    </w:p>
    <w:p>
      <w:pPr>
        <w:pStyle w:val="FirstParagraph"/>
      </w:pPr>
      <w:r>
        <w:t xml:space="preserve">From the coding with the STEM-PQA, work with data appears common. Out of the 248 segments, 236 were coded for work with data; for the other, not-coded segments, issues with the video-recordings were the primary source of the missing data; in these cases, youth may have still replied to signals, but it was not possible to code for work with data associated with these responses.</w:t>
      </w:r>
    </w:p>
    <w:p>
      <w:pPr>
        <w:pStyle w:val="BodyText"/>
      </w:pPr>
      <w:r>
        <w:t xml:space="preserve">The composite measure, created on the basis of summing the codes for the five aspects of work with data, has a minimum value of 0 and a maximum of 5. Its mean is 1.86 (</w:t>
      </w:r>
      <w:r>
        <w:rPr>
          <w:i/>
        </w:rPr>
        <w:t xml:space="preserve">SD</w:t>
      </w:r>
      <w:r>
        <w:t xml:space="preserve"> </w:t>
      </w:r>
      <w:r>
        <w:t xml:space="preserve">= 1.61). This indicates that, on average, youth were engaged in 1.86 aspects of the work with data during the program.</w:t>
      </w:r>
    </w:p>
    <w:p>
      <w:pPr>
        <w:pStyle w:val="BodyText"/>
      </w:pPr>
      <w:r>
        <w:t xml:space="preserve">We can also examine the breakdown by program, which shows that, descriptively, there exists substantial variability.</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5 Proportion of signals for which each of the aspects of work with data was present by program</w:t>
      </w:r>
    </w:p>
    <w:tbl>
      <w:tblPr>
        <w:tblStyle w:val="TableNormal"/>
        <w:tblW w:type="pct" w:w="0.0"/>
        <w:tblLook w:firstRow="1"/>
        <w:tblCaption w:val="Table 5 Proportion of signals for which each of the aspects of work with data was present by program"/>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0.3125000</w:t>
            </w:r>
          </w:p>
        </w:tc>
        <w:tc>
          <w:p>
            <w:pPr>
              <w:pStyle w:val="Compact"/>
              <w:jc w:val="right"/>
            </w:pPr>
            <w:r>
              <w:t xml:space="preserve">0.3750000</w:t>
            </w:r>
          </w:p>
        </w:tc>
        <w:tc>
          <w:p>
            <w:pPr>
              <w:pStyle w:val="Compact"/>
              <w:jc w:val="right"/>
            </w:pPr>
            <w:r>
              <w:t xml:space="preserve">0.4375000</w:t>
            </w:r>
          </w:p>
        </w:tc>
        <w:tc>
          <w:p>
            <w:pPr>
              <w:pStyle w:val="Compact"/>
              <w:jc w:val="right"/>
            </w:pPr>
            <w:r>
              <w:t xml:space="preserve">0.2500000</w:t>
            </w:r>
          </w:p>
        </w:tc>
        <w:tc>
          <w:p>
            <w:pPr>
              <w:pStyle w:val="Compact"/>
              <w:jc w:val="right"/>
            </w:pPr>
            <w:r>
              <w:t xml:space="preserve">0.3750000</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0.6250000</w:t>
            </w:r>
          </w:p>
        </w:tc>
        <w:tc>
          <w:p>
            <w:pPr>
              <w:pStyle w:val="Compact"/>
              <w:jc w:val="right"/>
            </w:pPr>
            <w:r>
              <w:t xml:space="preserve">0.4166667</w:t>
            </w:r>
          </w:p>
        </w:tc>
        <w:tc>
          <w:p>
            <w:pPr>
              <w:pStyle w:val="Compact"/>
              <w:jc w:val="right"/>
            </w:pPr>
            <w:r>
              <w:t xml:space="preserve">0.5000000</w:t>
            </w:r>
          </w:p>
        </w:tc>
        <w:tc>
          <w:p>
            <w:pPr>
              <w:pStyle w:val="Compact"/>
              <w:jc w:val="right"/>
            </w:pPr>
            <w:r>
              <w:t xml:space="preserve">0.2916667</w:t>
            </w:r>
          </w:p>
        </w:tc>
        <w:tc>
          <w:p>
            <w:pPr>
              <w:pStyle w:val="Compact"/>
              <w:jc w:val="right"/>
            </w:pPr>
            <w:r>
              <w:t xml:space="preserve">0.5000000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0.2500000</w:t>
            </w:r>
          </w:p>
        </w:tc>
        <w:tc>
          <w:p>
            <w:pPr>
              <w:pStyle w:val="Compact"/>
              <w:jc w:val="right"/>
            </w:pPr>
            <w:r>
              <w:t xml:space="preserve">0.1666667</w:t>
            </w:r>
          </w:p>
        </w:tc>
        <w:tc>
          <w:p>
            <w:pPr>
              <w:pStyle w:val="Compact"/>
              <w:jc w:val="right"/>
            </w:pPr>
            <w:r>
              <w:t xml:space="preserve">0.1250000</w:t>
            </w:r>
          </w:p>
        </w:tc>
        <w:tc>
          <w:p>
            <w:pPr>
              <w:pStyle w:val="Compact"/>
              <w:jc w:val="right"/>
            </w:pPr>
            <w:r>
              <w:t xml:space="preserve">0.1666667</w:t>
            </w:r>
          </w:p>
        </w:tc>
        <w:tc>
          <w:p>
            <w:pPr>
              <w:pStyle w:val="Compact"/>
              <w:jc w:val="right"/>
            </w:pPr>
            <w:r>
              <w:t xml:space="preserve">0.2083333</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0.4583333</w:t>
            </w:r>
          </w:p>
        </w:tc>
        <w:tc>
          <w:p>
            <w:pPr>
              <w:pStyle w:val="Compact"/>
              <w:jc w:val="right"/>
            </w:pPr>
            <w:r>
              <w:t xml:space="preserve">0.3333333</w:t>
            </w:r>
          </w:p>
        </w:tc>
        <w:tc>
          <w:p>
            <w:pPr>
              <w:pStyle w:val="Compact"/>
              <w:jc w:val="right"/>
            </w:pPr>
            <w:r>
              <w:t xml:space="preserve">0.2500000</w:t>
            </w:r>
          </w:p>
        </w:tc>
        <w:tc>
          <w:p>
            <w:pPr>
              <w:pStyle w:val="Compact"/>
              <w:jc w:val="right"/>
            </w:pPr>
            <w:r>
              <w:t xml:space="preserve">0.3750000</w:t>
            </w:r>
          </w:p>
        </w:tc>
        <w:tc>
          <w:p>
            <w:pPr>
              <w:pStyle w:val="Compact"/>
              <w:jc w:val="right"/>
            </w:pPr>
            <w:r>
              <w:t xml:space="preserve">0.5416667</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0.3272727</w:t>
            </w:r>
          </w:p>
        </w:tc>
        <w:tc>
          <w:p>
            <w:pPr>
              <w:pStyle w:val="Compact"/>
              <w:jc w:val="right"/>
            </w:pPr>
            <w:r>
              <w:t xml:space="preserve">0.1818182</w:t>
            </w:r>
          </w:p>
        </w:tc>
        <w:tc>
          <w:p>
            <w:pPr>
              <w:pStyle w:val="Compact"/>
              <w:jc w:val="right"/>
            </w:pPr>
            <w:r>
              <w:t xml:space="preserve">0.4000000</w:t>
            </w:r>
          </w:p>
        </w:tc>
        <w:tc>
          <w:p>
            <w:pPr>
              <w:pStyle w:val="Compact"/>
              <w:jc w:val="right"/>
            </w:pPr>
            <w:r>
              <w:t xml:space="preserve">0.2727273</w:t>
            </w:r>
          </w:p>
        </w:tc>
        <w:tc>
          <w:p>
            <w:pPr>
              <w:pStyle w:val="Compact"/>
              <w:jc w:val="right"/>
            </w:pPr>
            <w:r>
              <w:t xml:space="preserve">0.3272727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0.1666667</w:t>
            </w:r>
          </w:p>
        </w:tc>
        <w:tc>
          <w:p>
            <w:pPr>
              <w:pStyle w:val="Compact"/>
              <w:jc w:val="right"/>
            </w:pPr>
            <w:r>
              <w:t xml:space="preserve">0.0833333</w:t>
            </w:r>
          </w:p>
        </w:tc>
        <w:tc>
          <w:p>
            <w:pPr>
              <w:pStyle w:val="Compact"/>
              <w:jc w:val="right"/>
            </w:pPr>
            <w:r>
              <w:t xml:space="preserve">0.5416667</w:t>
            </w:r>
          </w:p>
        </w:tc>
        <w:tc>
          <w:p>
            <w:pPr>
              <w:pStyle w:val="Compact"/>
              <w:jc w:val="right"/>
            </w:pPr>
            <w:r>
              <w:t xml:space="preserve">0.4583333</w:t>
            </w:r>
          </w:p>
        </w:tc>
        <w:tc>
          <w:p>
            <w:pPr>
              <w:pStyle w:val="Compact"/>
              <w:jc w:val="right"/>
            </w:pPr>
            <w:r>
              <w:t xml:space="preserve">0.7500000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0.3750000</w:t>
            </w:r>
          </w:p>
        </w:tc>
        <w:tc>
          <w:p>
            <w:pPr>
              <w:pStyle w:val="Compact"/>
              <w:jc w:val="right"/>
            </w:pPr>
            <w:r>
              <w:t xml:space="preserve">0.2083333</w:t>
            </w:r>
          </w:p>
        </w:tc>
        <w:tc>
          <w:p>
            <w:pPr>
              <w:pStyle w:val="Compact"/>
              <w:jc w:val="right"/>
            </w:pPr>
            <w:r>
              <w:t xml:space="preserve">0.7083333</w:t>
            </w:r>
          </w:p>
        </w:tc>
        <w:tc>
          <w:p>
            <w:pPr>
              <w:pStyle w:val="Compact"/>
              <w:jc w:val="right"/>
            </w:pPr>
            <w:r>
              <w:t xml:space="preserve">0.1666667</w:t>
            </w:r>
          </w:p>
        </w:tc>
        <w:tc>
          <w:p>
            <w:pPr>
              <w:pStyle w:val="Compact"/>
              <w:jc w:val="right"/>
            </w:pPr>
            <w:r>
              <w:t xml:space="preserve">0.2916667</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0.3333333</w:t>
            </w:r>
          </w:p>
        </w:tc>
        <w:tc>
          <w:p>
            <w:pPr>
              <w:pStyle w:val="Compact"/>
              <w:jc w:val="right"/>
            </w:pPr>
            <w:r>
              <w:t xml:space="preserve">0.2083333</w:t>
            </w:r>
          </w:p>
        </w:tc>
        <w:tc>
          <w:p>
            <w:pPr>
              <w:pStyle w:val="Compact"/>
              <w:jc w:val="right"/>
            </w:pPr>
            <w:r>
              <w:t xml:space="preserve">0.3750000</w:t>
            </w:r>
          </w:p>
        </w:tc>
        <w:tc>
          <w:p>
            <w:pPr>
              <w:pStyle w:val="Compact"/>
              <w:jc w:val="right"/>
            </w:pPr>
            <w:r>
              <w:t xml:space="preserve">0.3333333</w:t>
            </w:r>
          </w:p>
        </w:tc>
        <w:tc>
          <w:p>
            <w:pPr>
              <w:pStyle w:val="Compact"/>
              <w:jc w:val="right"/>
            </w:pPr>
            <w:r>
              <w:t xml:space="preserve">0.5000000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0.5833333</w:t>
            </w:r>
          </w:p>
        </w:tc>
        <w:tc>
          <w:p>
            <w:pPr>
              <w:pStyle w:val="Compact"/>
              <w:jc w:val="right"/>
            </w:pPr>
            <w:r>
              <w:t xml:space="preserve">0.2916667</w:t>
            </w:r>
          </w:p>
        </w:tc>
        <w:tc>
          <w:p>
            <w:pPr>
              <w:pStyle w:val="Compact"/>
              <w:jc w:val="right"/>
            </w:pPr>
            <w:r>
              <w:t xml:space="preserve">0.5416667</w:t>
            </w:r>
          </w:p>
        </w:tc>
        <w:tc>
          <w:p>
            <w:pPr>
              <w:pStyle w:val="Compact"/>
              <w:jc w:val="right"/>
            </w:pPr>
            <w:r>
              <w:t xml:space="preserve">0.4583333</w:t>
            </w:r>
          </w:p>
        </w:tc>
        <w:tc>
          <w:p>
            <w:pPr>
              <w:pStyle w:val="Compact"/>
              <w:jc w:val="right"/>
            </w:pPr>
            <w:r>
              <w:t xml:space="preserve">0.7500000</w:t>
            </w:r>
          </w:p>
        </w:tc>
        <w:tc>
          <w:p>
            <w:pPr>
              <w:pStyle w:val="Compact"/>
              <w:jc w:val="right"/>
            </w:pPr>
            <w:r>
              <w:t xml:space="preserve">24</w:t>
            </w:r>
          </w:p>
        </w:tc>
      </w:tr>
    </w:tbl>
    <w:p>
      <w:pPr>
        <w:pStyle w:val="Heading3"/>
      </w:pPr>
      <w:bookmarkStart w:id="59" w:name="nature-of-work-with-data"/>
      <w:bookmarkEnd w:id="59"/>
      <w:r>
        <w:t xml:space="preserve">Nature of work with data</w:t>
      </w:r>
    </w:p>
    <w:p>
      <w:pPr>
        <w:pStyle w:val="FirstParagraph"/>
      </w:pPr>
      <w:r>
        <w:t xml:space="preserve">Each of the segments of video was coded. This coding resulted in approximately three to four sentence notes from each of two raters for every segment. I then reviewed these notes with the aim to identify themes based on enriching and better understanding the aspects of work with data.</w:t>
      </w:r>
    </w:p>
    <w:p>
      <w:pPr>
        <w:pStyle w:val="Heading4"/>
      </w:pPr>
      <w:bookmarkStart w:id="60" w:name="asking-questions-or-identifying-problems"/>
      <w:bookmarkEnd w:id="60"/>
      <w:r>
        <w:t xml:space="preserve">Asking questions or identifying problems</w:t>
      </w:r>
    </w:p>
    <w:p>
      <w:pPr>
        <w:pStyle w:val="FirstParagraph"/>
      </w:pPr>
      <w:r>
        <w:t xml:space="preserve">Asking questions occurred in 92 of the segments (as coded by the PQA). In the 92 segments that were coded with asking questions, the open-ended, in-depth analysis identified 36 segments that were focused on asking questions in ways that clearly aligned with the conceptual framework for work with data. Qualitative coding showed that this aspect of work with data was highly variable. When the qualitative coding revealed this code to be present, it was often when youth were trying to better understand the phenomenon or problem they were investigating. For example, in a segment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 Other segments showed that there were also many segments for which the PQA codes suggested asking questions would be present, but the in-depth analysis revealed were not always always focused on predicting, conjecturing, or hypothesizing. In these cases, the code was applied to instances in which the youth were asking generic questions (i.e., about how they do an assignment) or when the instructor was asking youth questions (i.e., math-related questions). For example, in the</w:t>
      </w:r>
      <w:r>
        <w:t xml:space="preserve"> </w:t>
      </w:r>
      <w:r>
        <w:rPr>
          <w:i/>
        </w:rPr>
        <w:t xml:space="preserve">Marine Investigators</w:t>
      </w:r>
      <w:r>
        <w:t xml:space="preserve"> </w:t>
      </w:r>
      <w:r>
        <w:t xml:space="preserve">program, youth visited a water treatment site, and were provided opportunities to ask questions about what they saw.</w:t>
      </w:r>
    </w:p>
    <w:p>
      <w:pPr>
        <w:pStyle w:val="Heading4"/>
      </w:pPr>
      <w:bookmarkStart w:id="61" w:name="making-observations"/>
      <w:bookmarkEnd w:id="61"/>
      <w:r>
        <w:t xml:space="preserve">Making observations</w:t>
      </w:r>
    </w:p>
    <w:p>
      <w:pPr>
        <w:pStyle w:val="FirstParagraph"/>
      </w:pPr>
      <w:r>
        <w:t xml:space="preserve">Making observations occurred in 57 of the segments (as coded by the PQA), 49 which the open-ended coding revealed were clearly aligned with the coding frame, indicating that this code was used in ways that were close to how this aspect of work with data was conceptualized. Many of the times, this code was applied in conjunction with observing phenomenon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 When qualitative coders determined this was not present, it was usually due to the observations being not of phenomena, but of the instructor. For example, in the</w:t>
      </w:r>
      <w:r>
        <w:t xml:space="preserve"> </w:t>
      </w:r>
      <w:r>
        <w:rPr>
          <w:i/>
        </w:rPr>
        <w:t xml:space="preserve">Adventures in Mathematics</w:t>
      </w:r>
      <w:r>
        <w:t xml:space="preserve"> </w:t>
      </w:r>
      <w:r>
        <w:t xml:space="preserve">program, instances in which youth observed other youth or the youth activity leader solving a mathematics problem was often coded as involving making observations.</w:t>
      </w:r>
    </w:p>
    <w:p>
      <w:pPr>
        <w:pStyle w:val="Heading4"/>
      </w:pPr>
      <w:bookmarkStart w:id="62" w:name="generating-data"/>
      <w:bookmarkEnd w:id="62"/>
      <w:r>
        <w:t xml:space="preserve">Generating data</w:t>
      </w:r>
    </w:p>
    <w:p>
      <w:pPr>
        <w:pStyle w:val="FirstParagraph"/>
      </w:pPr>
      <w:r>
        <w:t xml:space="preserve">Generating data occurred in 102 segments (as coded by the PQA), 48 of which the in-depth analysis showed were aligned with the coding frame. When present based on qualitative codes, youth were writing down observations,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 When the PQA code indicated that work with data was present, but the subsequent analysis indicated that this practice was not evident, this was often youth were writing down what the youth activity leader was saying, or was focused on collecting specimens, but not writing them down, entering them into a spreadsheet, or otherwise recording them as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could be considered as data, at least in the segment described, youth did not inscribe notes or any other observations on the specimens they were collecting, and so data was not generated (at this stage).</w:t>
      </w:r>
    </w:p>
    <w:p>
      <w:pPr>
        <w:pStyle w:val="Heading4"/>
      </w:pPr>
      <w:bookmarkStart w:id="63" w:name="data-modeling"/>
      <w:bookmarkEnd w:id="63"/>
      <w:r>
        <w:t xml:space="preserve">Data modeling</w:t>
      </w:r>
    </w:p>
    <w:p>
      <w:pPr>
        <w:pStyle w:val="FirstParagraph"/>
      </w:pPr>
      <w:r>
        <w:t xml:space="preserve">Data modeling occurred in 68 segments (as coded by the PQA), 49 which were aligned with the coding frame. Like making observations, for data modeling, there was a high degree of alignment between the PQA codes and what the open-ended coding. When this aspect of work with data was found to be present on the basis of the qualitative coding, youth used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When the PQA code was present but data modeling was not done in a way aligned with the conceptual framework for work with data, the youth activity leader, rather than students, was doing the modeling, or the model was not one that could generate data.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w:t>
      </w:r>
    </w:p>
    <w:p>
      <w:pPr>
        <w:pStyle w:val="Heading4"/>
      </w:pPr>
      <w:bookmarkStart w:id="64" w:name="interpreting-and-communicating-findings"/>
      <w:bookmarkEnd w:id="64"/>
      <w:r>
        <w:t xml:space="preserve">Interpreting and communicating findings</w:t>
      </w:r>
    </w:p>
    <w:p>
      <w:pPr>
        <w:pStyle w:val="FirstParagraph"/>
      </w:pPr>
      <w:r>
        <w:t xml:space="preserve">Codes for interpreting and communicating were present in 103 segments (as coded by the PQA), in-depth, open-ended coding revealed 49 were aligned with the coding frame. When the qualitative coding revealed this aspect of work with data to be present, youth were often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segment, the youth activity leader asks youth to think of an idea that would make an investor willing to invest in; students shared their ideas, describing what their ideas was, why it was a good idea, how much they could sell it for, and what their profit would be, while fielding questions from youth activity leaders and their peers. Interpreting and communicating findings was also commonly present in segments in which youth were debating the findings of an investigation, such as the results of calculations for the amount of recyclables entering waterways (in</w:t>
      </w:r>
      <w:r>
        <w:t xml:space="preserve"> </w:t>
      </w:r>
      <w:r>
        <w:rPr>
          <w:i/>
        </w:rPr>
        <w:t xml:space="preserve">Marine Investigators</w:t>
      </w:r>
      <w:r>
        <w:t xml:space="preserve">). When not present, which was common, youth were communicating about topics other than the results of an investigation or design process, such as trying to find out the answer to a question posed by the youth activity leader, or the youth activity leader was who was doing the interpreting and communicating. For example, in the</w:t>
      </w:r>
      <w:r>
        <w:t xml:space="preserve"> </w:t>
      </w:r>
      <w:r>
        <w:rPr>
          <w:i/>
        </w:rPr>
        <w:t xml:space="preserve">Adventures in Mathematics</w:t>
      </w:r>
      <w:r>
        <w:t xml:space="preserve"> </w:t>
      </w:r>
      <w:r>
        <w:t xml:space="preserve">program, the youth activity leader helped youth to solve problems on a worksheet, asking guiding questions to help youth start to solve problems on their own.</w:t>
      </w:r>
    </w:p>
    <w:p>
      <w:pPr>
        <w:pStyle w:val="Heading3"/>
      </w:pPr>
      <w:bookmarkStart w:id="65" w:name="summary-of-findings-for-research-question-1"/>
      <w:bookmarkEnd w:id="65"/>
      <w:r>
        <w:t xml:space="preserve">Summary of Findings for Research Question #1</w:t>
      </w:r>
    </w:p>
    <w:p>
      <w:pPr>
        <w:pStyle w:val="FirstParagraph"/>
      </w:pPr>
      <w:r>
        <w:t xml:space="preserve">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2"/>
      </w:pPr>
      <w:bookmarkStart w:id="66" w:name="results-for-research-question-2-what-profiles-of-youth-engagement-and-its-conditions-emerge-from-experiential-data-collected-in-the-programs"/>
      <w:bookmarkEnd w:id="66"/>
      <w:r>
        <w:t xml:space="preserve">Results for Research Question #2: What profiles of youth engagement and its conditions emerge from experiential data collected in the programs?</w:t>
      </w:r>
    </w:p>
    <w:p>
      <w:pPr>
        <w:pStyle w:val="FirstParagraph"/>
      </w:pPr>
      <w:r>
        <w:t xml:space="preserve">For every combination of models one through six and from two through ten profiles, only solutions associated with model specifications 1 and 2 (and among these two solutions, only those associated with particular number of profiles) converged. This suggests that the more complex models were too complex given the systematic variability in the data used for the analysis. Thus, only solutions associated with models 1 (the model with varying means, equal variances, and covariances fixed to zero) and model 2 (varying means, equal variances, and equal covariances) were explored in subsequent sections.</w:t>
      </w:r>
    </w:p>
    <w:p>
      <w:pPr>
        <w:pStyle w:val="BodyText"/>
      </w:pPr>
      <w:r>
        <w:t xml:space="preserve">Following from the in-depth exploration of all of the models that converged (as described in the Appendix), the model one type, six profile model is selected on the basis of a range of criteria including fit statistics, statistical tests, and concerns of interpretability and parsimony. This model demonstrated superior fit on the basis of the information criteria (AIC and BIC) and on the basis of the measure of classification accuracy (entropy) and it was also highly interpretable. The model one type, seven profile solution also demonstrated good fit and high interpretability; this model is presented in detail in the Appendix. For the selected model, presented below,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unnamed-chunk-10-1.png" id="0" name="Picture"/>
                    <pic:cNvPicPr>
                      <a:picLocks noChangeArrowheads="1" noChangeAspect="1"/>
                    </pic:cNvPicPr>
                  </pic:nvPicPr>
                  <pic:blipFill>
                    <a:blip r:embed="rId67"/>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 title="" id="1" name="Picture"/>
            <a:graphic>
              <a:graphicData uri="http://schemas.openxmlformats.org/drawingml/2006/picture">
                <pic:pic>
                  <pic:nvPicPr>
                    <pic:cNvPr descr="rosenberg-dissertation_files/figure-docx/unnamed-chunk-10-2.png" id="0" name="Picture"/>
                    <pic:cNvPicPr>
                      <a:picLocks noChangeArrowheads="1" noChangeAspect="1"/>
                    </pic:cNvPicPr>
                  </pic:nvPicPr>
                  <pic:blipFill>
                    <a:blip r:embed="rId68"/>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This solution is characterized by:</w:t>
      </w:r>
    </w:p>
    <w:p>
      <w:pPr>
        <w:pStyle w:val="Compact"/>
        <w:numPr>
          <w:numId w:val="1005"/>
          <w:ilvl w:val="0"/>
        </w:numPr>
      </w:pPr>
      <w:r>
        <w:t xml:space="preserve">A</w:t>
      </w:r>
      <w:r>
        <w:t xml:space="preserve"> </w:t>
      </w:r>
      <w:r>
        <w:rPr>
          <w:i/>
        </w:rPr>
        <w:t xml:space="preserve">full</w:t>
      </w:r>
      <w:r>
        <w:t xml:space="preserve"> </w:t>
      </w:r>
      <w:r>
        <w:t xml:space="preserve">profile, profile 6</w:t>
      </w:r>
    </w:p>
    <w:p>
      <w:pPr>
        <w:pStyle w:val="Compact"/>
        <w:numPr>
          <w:numId w:val="1005"/>
          <w:ilvl w:val="0"/>
        </w:numPr>
      </w:pPr>
      <w:r>
        <w:t xml:space="preserve">An</w:t>
      </w:r>
      <w:r>
        <w:t xml:space="preserve"> </w:t>
      </w:r>
      <w:r>
        <w:rPr>
          <w:i/>
        </w:rPr>
        <w:t xml:space="preserve">universally low</w:t>
      </w:r>
      <w:r>
        <w:t xml:space="preserve"> </w:t>
      </w:r>
      <w:r>
        <w:t xml:space="preserve">profile, profile 2</w:t>
      </w:r>
    </w:p>
    <w:p>
      <w:pPr>
        <w:pStyle w:val="Compact"/>
        <w:numPr>
          <w:numId w:val="1005"/>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5"/>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5"/>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5"/>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 Unlike other solutions, this solution was associated with profiles that distinguished observations on the basis of both: There were profiles for only behaviorally and affectively engaged and for engaged and competent but not challenged.</w:t>
      </w:r>
    </w:p>
    <w:p>
      <w:pPr>
        <w:pStyle w:val="Heading3"/>
      </w:pPr>
      <w:bookmarkStart w:id="69" w:name="summary-of-research-question-2-findings"/>
      <w:bookmarkEnd w:id="69"/>
      <w:r>
        <w:t xml:space="preserve">Summary of research question #2 findings</w:t>
      </w:r>
    </w:p>
    <w:p>
      <w:pPr>
        <w:pStyle w:val="FirstParagraph"/>
      </w:pPr>
      <w:r>
        <w:t xml:space="preserve">After reviewing a wide range of models, a relatively simple model (model 1) with six profiles was selected for use in subsequent analyses. This model has momentary profiles of engagement and its conditions characterized by both varying levels on the dimensions of engagement and perceptions of challenge and competence. In addition, the number of observations across the profiles is relatively balanced.</w:t>
      </w:r>
    </w:p>
    <w:p>
      <w:pPr>
        <w:pStyle w:val="Heading2"/>
      </w:pPr>
      <w:bookmarkStart w:id="70" w:name="results-for-research-question-3-how-do-data-practices-relate-to-youth-engagement-in-the-programs"/>
      <w:bookmarkEnd w:id="70"/>
      <w:r>
        <w:t xml:space="preserve">Results for Research Question #3: How do data practices relate to youth engagement in the programs?</w:t>
      </w:r>
    </w:p>
    <w:p>
      <w:pPr>
        <w:pStyle w:val="Heading3"/>
      </w:pPr>
      <w:bookmarkStart w:id="71" w:name="null-models"/>
      <w:bookmarkEnd w:id="71"/>
      <w:r>
        <w:t xml:space="preserve">Null models</w:t>
      </w:r>
    </w:p>
    <w:p>
      <w:pPr>
        <w:pStyle w:val="FirstParagraph"/>
      </w:pPr>
      <w:r>
        <w:t xml:space="preserve">The null models presented in the table provide insight into the levels at which predictors may be able to explain the outcome. For all six profiles, the ICCs at the program level were very small, from 0.00 to 0.023. This suggests that very little variability can be explained simply by the program. For the momentary level, the ICCs were also very small, ranging from 0.004 to 0.011. Finally, the youth-level ICCs ranged from .099 to .427.</w:t>
      </w:r>
    </w:p>
    <w:p>
      <w:pPr>
        <w:pStyle w:val="BodyText"/>
      </w:pPr>
      <w:r>
        <w:t xml:space="preserve">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to explain. In turn, this suggests that these variables, including those for work with data, may not have strong effects in terms of their relations with the profiles.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72" w:name="models-with-variables-for-aspects-of-work-with-data-added-separately"/>
      <w:bookmarkEnd w:id="72"/>
      <w:r>
        <w:t xml:space="preserve">Models with variables for aspects of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m:oMath>
        <m:r>
          <m:t>β</m:t>
        </m:r>
      </m:oMath>
      <w:r>
        <w:t xml:space="preserve"> </w:t>
      </w:r>
      <w:r>
        <w:t xml:space="preserve">= 0.036 (0.016),</w:t>
      </w:r>
      <w:r>
        <w:t xml:space="preserve"> </w:t>
      </w:r>
      <w:r>
        <w:rPr>
          <w:i/>
        </w:rPr>
        <w:t xml:space="preserve">p</w:t>
      </w:r>
      <w:r>
        <w:t xml:space="preserve"> </w:t>
      </w:r>
      <w:r>
        <w:t xml:space="preserve">= .016) and between generating data and the full profile (</w:t>
      </w:r>
      <m:oMath>
        <m:r>
          <m:t>β</m:t>
        </m:r>
      </m:oMath>
      <w:r>
        <w:t xml:space="preserve"> </w:t>
      </w:r>
      <w:r>
        <w:t xml:space="preserve">= 0.029 (0.015),</w:t>
      </w:r>
      <w:r>
        <w:t xml:space="preserve"> </w:t>
      </w:r>
      <w:r>
        <w:rPr>
          <w:i/>
        </w:rPr>
        <w:t xml:space="preserve">p</w:t>
      </w:r>
      <w:r>
        <w:t xml:space="preserve"> </w:t>
      </w:r>
      <w:r>
        <w:t xml:space="preserve">= .024). Interpreting and communicating findings was positively related to the</w:t>
      </w:r>
      <w:r>
        <w:t xml:space="preserve"> </w:t>
      </w:r>
      <w:r>
        <w:rPr>
          <w:i/>
        </w:rPr>
        <w:t xml:space="preserve">Only behavioral</w:t>
      </w:r>
      <w:r>
        <w:t xml:space="preserve"> </w:t>
      </w:r>
      <w:r>
        <w:t xml:space="preserve">profile (</w:t>
      </w:r>
      <m:oMath>
        <m:r>
          <m:t>β</m:t>
        </m:r>
      </m:oMath>
      <w:r>
        <w:t xml:space="preserve"> </w:t>
      </w:r>
      <w:r>
        <w:t xml:space="preserve">= 0.025 (0.014),</w:t>
      </w:r>
      <w:r>
        <w:t xml:space="preserve"> </w:t>
      </w:r>
      <w:r>
        <w:rPr>
          <w:i/>
        </w:rPr>
        <w:t xml:space="preserve">p</w:t>
      </w:r>
      <w:r>
        <w:t xml:space="preserve"> </w:t>
      </w:r>
      <w:r>
        <w:t xml:space="preserve">= .043).</w:t>
      </w:r>
    </w:p>
    <w:p>
      <w:pPr>
        <w:pStyle w:val="BodyText"/>
      </w:pPr>
      <w:r>
        <w:t xml:space="preserve">Adding these variables changed the (conditional upon the random effects) R</w:t>
      </w:r>
      <w:r>
        <w:rPr>
          <w:vertAlign w:val="superscript"/>
        </w:rPr>
        <w:t xml:space="preserve">2</w:t>
      </w:r>
      <w:r>
        <w:t xml:space="preserve"> </w:t>
      </w:r>
      <w:r>
        <w:t xml:space="preserve">values from, .002 to .018, very small changes suggesting that the aspects of work with data do not strongly predict the profiles.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and for the effect of interpreting and communicating findings, 9.41% would need to be due to bias.</w:t>
      </w:r>
    </w:p>
    <w:p>
      <w:pPr>
        <w:pStyle w:val="Heading3"/>
      </w:pPr>
      <w:bookmarkStart w:id="73" w:name="models-with-the-composite-added"/>
      <w:bookmarkEnd w:id="73"/>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m:oMath>
        <m:r>
          <m:t>β</m:t>
        </m:r>
      </m:oMath>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12.261% would need to be due to bias to invalidate the inference. The change in R</w:t>
      </w:r>
      <w:r>
        <w:rPr>
          <w:vertAlign w:val="superscript"/>
        </w:rPr>
        <w:t xml:space="preserve">2</w:t>
      </w:r>
      <w:r>
        <w:t xml:space="preserve"> </w:t>
      </w:r>
      <w:r>
        <w:t xml:space="preserve">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4" w:name="summary-of-findings-for-research-question-3"/>
      <w:bookmarkEnd w:id="74"/>
      <w:r>
        <w:t xml:space="preserve">Summary of findings for research question #3</w:t>
      </w:r>
    </w:p>
    <w:p>
      <w:pPr>
        <w:pStyle w:val="FirstParagraph"/>
      </w:pPr>
      <w:r>
        <w:t xml:space="preserve">When looking across findings, we find few relations between work with data and the profiles, though there were notable effects of modeling and generating data, though they were small effects (i.e., when students are doing this, they are around 3% more likely to be responding in a way associated with the</w:t>
      </w:r>
      <w:r>
        <w:t xml:space="preserve"> </w:t>
      </w:r>
      <w:r>
        <w:rPr>
          <w:i/>
        </w:rPr>
        <w:t xml:space="preserve">full</w:t>
      </w:r>
      <w:r>
        <w:t xml:space="preserve"> </w:t>
      </w:r>
      <w:r>
        <w:t xml:space="preserve">profile).</w:t>
      </w:r>
    </w:p>
    <w:p>
      <w:pPr>
        <w:pStyle w:val="BodyText"/>
      </w:pPr>
      <w:r>
        <w:t xml:space="preserve">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work with data in the context of summer STEM programs and how this support is measured in terms of codes from the video–are the focus on research question #4 and are discussed in the next chapter. Moreover, these findings are deepened in subsequent analyses for research questions #4.</w:t>
      </w:r>
    </w:p>
    <w:p>
      <w:pPr>
        <w:pStyle w:val="Heading2"/>
      </w:pPr>
      <w:bookmarkStart w:id="75" w:name="results-for-research-question-4-how-do-youth-characteristics-relate-to-their-engagement-in-summer-stem-programs"/>
      <w:bookmarkEnd w:id="75"/>
      <w:r>
        <w:t xml:space="preserve">Results for Research Question #4: How do youth characteristics relate to their engagement in summer STEM programs?</w:t>
      </w:r>
    </w:p>
    <w:p>
      <w:pPr>
        <w:pStyle w:val="FirstParagraph"/>
      </w:pPr>
      <w:r>
        <w:t xml:space="preserve">In this section, models with the individual characteristics added separately followed by models with their interactions with the work with data composite are specified.</w:t>
      </w:r>
    </w:p>
    <w:p>
      <w:pPr>
        <w:pStyle w:val="Heading3"/>
      </w:pPr>
      <w:bookmarkStart w:id="76" w:name="models-with-pre-interest-gender-and-under-represented-minority-urm-status"/>
      <w:bookmarkEnd w:id="76"/>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m:oMath>
        <m:r>
          <m:t>β</m:t>
        </m:r>
      </m:oMath>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w:t>
      </w:r>
      <w:r>
        <w:rPr>
          <w:vertAlign w:val="superscript"/>
        </w:rPr>
        <w:t xml:space="preserve">2</w:t>
      </w:r>
      <w:r>
        <w:t xml:space="preserve"> </w:t>
      </w:r>
      <w:r>
        <w:t xml:space="preserve">values ranged from .004 to .007, suggesting that pre-interest and other individual characteristics - in addition to the aspects of work with data - have minimal relations with the profiles. This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7" w:name="pre-interest-gender-and-urm-status-interactions-work-with-data-composite"/>
      <w:bookmarkEnd w:id="77"/>
      <w:r>
        <w:t xml:space="preserve">Pre-interest, gender, and URM status interactions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m:oMath>
        <m:r>
          <m:t>β</m:t>
        </m:r>
      </m:oMath>
      <w:r>
        <w:t xml:space="preserve"> </w:t>
      </w:r>
      <w:r>
        <w:t xml:space="preserve">= 0.033 (0.018), p = .033). Being female is again related but not to a level that it meets the criteria for statistical significance (</w:t>
      </w:r>
      <m:oMath>
        <m:r>
          <m:t>β</m:t>
        </m:r>
      </m:oMath>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m:oMath>
        <m:r>
          <m:t>β</m:t>
        </m:r>
      </m:oMath>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m:oMath>
        <m:r>
          <m:t>β</m:t>
        </m:r>
      </m:oMath>
      <w:r>
        <w:t xml:space="preserve"> </w:t>
      </w:r>
      <w:r>
        <w:t xml:space="preserve">= 0.012 (0.006), p = .026). However, only 1.953% of the effect would need to be due to bias to invalidate the inference. The R</w:t>
      </w:r>
      <w:r>
        <w:rPr>
          <w:vertAlign w:val="superscript"/>
        </w:rPr>
        <w:t xml:space="preserve">2</w:t>
      </w:r>
      <w:r>
        <w:t xml:space="preserve"> </w:t>
      </w:r>
      <w:r>
        <w:t xml:space="preserve">values, relative to the models with only random effects (the null models), increased from .003 to .028, again suggesting small effects of the predictors upon the profiles. Note that</w:t>
      </w:r>
      <w:r>
        <w:t xml:space="preserve"> </w:t>
      </w:r>
      <w:r>
        <w:t xml:space="preserve">“</w:t>
      </w:r>
      <w:r>
        <w:t xml:space="preserve">Comp.</w:t>
      </w:r>
      <w:r>
        <w:t xml:space="preserve">”</w:t>
      </w:r>
      <w:r>
        <w:t xml:space="preserve"> </w:t>
      </w:r>
      <w:r>
        <w:t xml:space="preserve">refers to the data modeling composite.</w:t>
      </w:r>
    </w:p>
    <w:p>
      <w:pPr>
        <w:pStyle w:val="Heading3"/>
      </w:pPr>
      <w:bookmarkStart w:id="78" w:name="summary-of-findings-for-research-question-4"/>
      <w:bookmarkEnd w:id="78"/>
      <w:r>
        <w:t xml:space="preserve">Summary of findings for research question #4</w:t>
      </w:r>
    </w:p>
    <w:p>
      <w:pPr>
        <w:pStyle w:val="FirstParagraph"/>
      </w:pPr>
      <w:r>
        <w:t xml:space="preserve">When looking across findings, we find minimal relations between pre-interest and other individual characteristics.</w:t>
      </w:r>
    </w:p>
    <w:p>
      <w:pPr>
        <w:pStyle w:val="BodyText"/>
      </w:pPr>
      <w:r>
        <w:t xml:space="preserve">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significant.Note that the positive pre-interest coefficient is the estimate from the model with the interaction (without the interaction, the coefficient was also statistically significant and was 0.039).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w:t>
      </w:r>
      <w:r>
        <w:rPr>
          <w:vertAlign w:val="superscript"/>
        </w:rPr>
        <w:t xml:space="preserve">2</w:t>
      </w:r>
      <w:r>
        <w:t xml:space="preserve"> </w:t>
      </w:r>
      <w:r>
        <w:t xml:space="preserve">value as a consequence of adding this interaction), and the effect appears to not be highly robust to potential sources of bias. Like for research question #2, reasons for why this may be are explored in the next chapter.</w:t>
      </w:r>
    </w:p>
    <w:p>
      <w:pPr>
        <w:pStyle w:val="Heading1"/>
      </w:pPr>
      <w:bookmarkStart w:id="79" w:name="discussion"/>
      <w:bookmarkEnd w:id="79"/>
      <w:r>
        <w:t xml:space="preserve">Discussion</w:t>
      </w:r>
    </w:p>
    <w:p>
      <w:pPr>
        <w:pStyle w:val="Heading2"/>
      </w:pPr>
      <w:bookmarkStart w:id="80" w:name="key-findings"/>
      <w:bookmarkEnd w:id="80"/>
      <w:r>
        <w:t xml:space="preserve">Key Findings</w:t>
      </w:r>
    </w:p>
    <w:p>
      <w:pPr>
        <w:pStyle w:val="Heading3"/>
      </w:pPr>
      <w:bookmarkStart w:id="81" w:name="key-findings-for-research-question-1-on-the-frequency-and-nature-of-work-with-data"/>
      <w:bookmarkEnd w:id="81"/>
      <w:r>
        <w:t xml:space="preserve">Key findings for research question #1 (on the frequency and nature of work with data)</w:t>
      </w:r>
    </w:p>
    <w:p>
      <w:pPr>
        <w:pStyle w:val="FirstParagraph"/>
      </w:pPr>
      <w:r>
        <w:t xml:space="preserve">In terms of the frequency and nature of work with data, work with data was found to be common in the summer STEM programs that made the context for this study, with frequencies ranging from .258 (making observations) to .470 (communicating findings) of the programs, with any aspect being present in [add] of the program. Data modeling was, like making observations, less common, whereas asking questions and generating data, like communicating findings, were relatively more common. This suggests that work with data is, in general, common across STEM programs, as expected based on past research (Lee &amp; Wilkerson, in press) and the design and goals of such programs (Dabney et al., 2012; Elam et al., 2012; add). Subsequent qualitative showed that asking questions, generating data, and interpreting and communicating findings, the three aspects that were</w:t>
      </w:r>
      <w:r>
        <w:t xml:space="preserve"> </w:t>
      </w:r>
      <w:r>
        <w:rPr>
          <w:i/>
        </w:rPr>
        <w:t xml:space="preserve">more frequent</w:t>
      </w:r>
      <w:r>
        <w:t xml:space="preserve"> </w:t>
      </w:r>
      <w:r>
        <w:t xml:space="preserve">in the programs, also were the most inconsistent with how work with data was conceptualized in this study. This suggests that while work with data is somewhat common, more veridical forms of it are somewhat less common, occurring in around 25% of the programs’ time. 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w:t>
      </w:r>
    </w:p>
    <w:p>
      <w:pPr>
        <w:pStyle w:val="Heading3"/>
      </w:pPr>
      <w:bookmarkStart w:id="82" w:name="key-findings-for-research-question-2-what-profiles-of-engagement-emerge"/>
      <w:bookmarkEnd w:id="82"/>
      <w:r>
        <w:t xml:space="preserve">Key findings for research question #2 (what profiles of engagement emerge)</w:t>
      </w:r>
    </w:p>
    <w:p>
      <w:pPr>
        <w:pStyle w:val="FirstParagraph"/>
      </w:pPr>
      <w:r>
        <w:t xml:space="preserve">Six profiles of engagement and its conditions were identified. These profiles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The profiles suggest that the experiences of youth in summer STEM programs are variable and that the use of ESM can aid in the study of youths’ engagement. Little research has examined profiles of engagement, though Schmidt et al. (2018) examined profiles of momentary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Heading3"/>
      </w:pPr>
      <w:bookmarkStart w:id="83" w:name="key-findings-for-research-question-3-how-work-with-data-relates-to-engagement"/>
      <w:bookmarkEnd w:id="83"/>
      <w:r>
        <w:t xml:space="preserve">Key findings for research question #3 (how work with data relates to engagement)</w:t>
      </w:r>
    </w:p>
    <w:p>
      <w:pPr>
        <w:pStyle w:val="FirstParagraph"/>
      </w:pPr>
      <w:r>
        <w:t xml:space="preserve">Before relations between the groups of</w:t>
      </w:r>
      <w:r>
        <w:t xml:space="preserve"> </w:t>
      </w:r>
      <w:r>
        <w:t xml:space="preserve">“</w:t>
      </w:r>
      <w:r>
        <w:t xml:space="preserve">predictor</w:t>
      </w:r>
      <w:r>
        <w:t xml:space="preserve">”</w:t>
      </w:r>
      <w:r>
        <w:t xml:space="preserve"> </w:t>
      </w:r>
      <w:r>
        <w:t xml:space="preserve">variables, work with data and youth characteristics, and the profiles, were explored, the amount of variability that could be explained at the program, youth, and momentary levels were explored. The amount of variability that could be explained at the program and momentary level was small (no larger for any profile than .023, and as low as .00 at the program level and .004 at the momentary level for some profiles), while the amount of variability that could be explained at the youth level was moderate to large (between .099 and .427). This suggests that while there is variability in the composition of the profiles that were identified, youth characteristics–their pre-program thoughts, beliefs, and characteristics and their inclination to engage in particular ways throughout the program–largely explains the prevalence of the profiles. This also suggests that what youth do during the programs, and the design and implementation of the programs themselves, have little to do with how youth engage in them. This implies that even the strongest predictor variables at these (momentary and program) levels would likely not explain much variability in the profiles (though this is not always the case, as there are cases in which adding variables at one level can increase the amount of variability that can be explained at another; Gelman &amp; Hill, 2007).</w:t>
      </w:r>
    </w:p>
    <w:p>
      <w:pPr>
        <w:pStyle w:val="BodyText"/>
      </w:pPr>
      <w:r>
        <w:t xml:space="preserve">In line with what the preliminary analysis of the amount of variability that could be explained at the youth, momentary, and program levels, relations between work with data were largely not found, though some small, statistically significant relations were identified. Importantly, both generating and modeling data were found to be positively related to the</w:t>
      </w:r>
      <w:r>
        <w:t xml:space="preserve"> </w:t>
      </w:r>
      <w:r>
        <w:rPr>
          <w:i/>
        </w:rPr>
        <w:t xml:space="preserve">Full</w:t>
      </w:r>
      <w:r>
        <w:t xml:space="preserve"> </w:t>
      </w:r>
      <w:r>
        <w:t xml:space="preserve">profile, suggesting that when youth are involved in these practices, then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 Both communicating and interpreting findings and the composite measure for work with data were positively related to the</w:t>
      </w:r>
      <w:r>
        <w:t xml:space="preserve"> </w:t>
      </w:r>
      <w:r>
        <w:rPr>
          <w:i/>
        </w:rPr>
        <w:t xml:space="preserve">Only behavioral</w:t>
      </w:r>
      <w:r>
        <w:t xml:space="preserve"> </w:t>
      </w:r>
      <w:r>
        <w:t xml:space="preserve">profile and these findings were fairly robust. This profile may indicate that students are experiencing a routine engagement (and not particularly adaptive) when they are communicating findings and being involved in work with data in general. As there is no research on how work with data relates to youths’ engagement, the findings associated with this research question provide some, albeit limited, evidence (and directions for future research) for how some aspects of work with data relate to youths’ engagement.</w:t>
      </w:r>
    </w:p>
    <w:p>
      <w:pPr>
        <w:pStyle w:val="Heading3"/>
      </w:pPr>
      <w:bookmarkStart w:id="84" w:name="key-findings-for-research-question-4-how-youth-characteristics-relate-to-engagement"/>
      <w:bookmarkEnd w:id="84"/>
      <w:r>
        <w:t xml:space="preserve">Key findings for research question #4 (how youth characteristics relate to engagement)</w:t>
      </w:r>
    </w:p>
    <w:p>
      <w:pPr>
        <w:pStyle w:val="FirstParagraph"/>
      </w:pPr>
      <w:r>
        <w:t xml:space="preserve">Not as much in line with expectations given the preliminary analysis, relations between youth characteristics and the profiles were found to be small. In this way, these small relations were similar (in magnitude) to those between work with data and the profiles. Youth with higher pre-program interest were more likely to be</w:t>
      </w:r>
      <w:r>
        <w:t xml:space="preserve"> </w:t>
      </w:r>
      <w:r>
        <w:rPr>
          <w:i/>
        </w:rPr>
        <w:t xml:space="preserve">Engaged and competent but not challenged</w:t>
      </w:r>
      <w:r>
        <w:t xml:space="preserve">, suggesting that youth with higher interest in STEM are inclined to be highly engaged and good at what they are doing, but are not challenged by the activities they experience. This could be a function of the relationship between youths’ interest and their competence before the program, which are often strongly related ([add]); these youth, as a result of their higher interest and competence, need more challenging activities to be more fully engaged. This effect was fairly robust. The interaction with gender and the work with data composite revealed a positive relationship with</w:t>
      </w:r>
      <w:r>
        <w:t xml:space="preserve"> </w:t>
      </w:r>
      <w:r>
        <w:rPr>
          <w:i/>
        </w:rPr>
        <w:t xml:space="preserve">Full</w:t>
      </w:r>
      <w:r>
        <w:t xml:space="preserve"> </w:t>
      </w:r>
      <w:r>
        <w:t xml:space="preserve">engagement, suggesting that the more that female youth work with data, the more likely they are to be positively engaged. However, sensitivity analysis revealed that this effect was not very robust, which, along with its small magnitude, suggests that it should be interpreted with some caution. Finding that female youth who are engaged in work with data are more likely to be fully engaged is important, given that past research has suggested that female students are less likely to be engaged in STEM classes but we have limited information about what types of instruction may best support female students to be engaged and successful (e.g., Patall et al., 2017).</w:t>
      </w:r>
    </w:p>
    <w:p>
      <w:pPr>
        <w:pStyle w:val="Heading2"/>
      </w:pPr>
      <w:bookmarkStart w:id="85" w:name="limitations-of-the-study-and-recommendations-for-future-research"/>
      <w:bookmarkEnd w:id="85"/>
      <w:r>
        <w:t xml:space="preserve">Limitations of the Study and Recommendations for Future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and its conditions,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Manz, Russ, Stroupe, and Berland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A potential issue concerns the analytic approach. As noted above, the profiles demonstrated very little variability at the program and momentary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A final limitation concerns the measures used. In particular, the qualitative coding revealed alignment but also discrepancies between work with data as determined from the PQA codes and the conceptual framework for work with data. While these issues were small, they suggest that the coding frame for work with data is a limitation of the present study.</w:t>
      </w:r>
    </w:p>
    <w:p>
      <w:pPr>
        <w:pStyle w:val="BodyText"/>
      </w:pPr>
      <w:r>
        <w:t xml:space="preserve">While these are important limitations, it is worth noting that the modeling strategy (with the mixed effects models) in inherently a conservative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2"/>
      </w:pPr>
      <w:bookmarkStart w:id="86" w:name="implications-for-practice"/>
      <w:bookmarkEnd w:id="86"/>
      <w:r>
        <w:t xml:space="preserve">Implications for Practice</w:t>
      </w:r>
    </w:p>
    <w:p>
      <w:pPr>
        <w:pStyle w:val="Heading3"/>
      </w:pPr>
      <w:bookmarkStart w:id="87" w:name="engage-youth-in-key-aspects-of-work-with-data"/>
      <w:bookmarkEnd w:id="87"/>
      <w:r>
        <w:t xml:space="preserve">Engage youth in key aspects of work with data</w:t>
      </w:r>
    </w:p>
    <w:p>
      <w:pPr>
        <w:pStyle w:val="FirstParagraph"/>
      </w:pPr>
      <w:r>
        <w:t xml:space="preserve">While limited evidence, this study suggests that generating and modeling data 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learners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3"/>
      </w:pPr>
      <w:bookmarkStart w:id="88" w:name="leverage-the-affordances-of-summer-stem-and-other-stem-enrichment-programs"/>
      <w:bookmarkEnd w:id="88"/>
      <w:r>
        <w:t xml:space="preserve">Leverage the affordances of summer STEM and other STEM enrichment programs</w:t>
      </w:r>
    </w:p>
    <w:p>
      <w:pPr>
        <w:pStyle w:val="FirstParagraph"/>
      </w:pPr>
      <w:r>
        <w:t xml:space="preserve">Another implication for practice concerns the affordances (and constraints) of summer STEM and other STEM enrichment programs. One affordance of these programs relevant to these informal and to K-12 learning environments concerns selecting activities that are engaging to learners. 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3"/>
      </w:pPr>
      <w:bookmarkStart w:id="89" w:name="consider-the-constraints-of-summer-stem-and-other-stem-enrichment-programs"/>
      <w:bookmarkEnd w:id="89"/>
      <w:r>
        <w:t xml:space="preserve">Consider the constraints of summer STEM and other STEM enrichment programs</w:t>
      </w:r>
    </w:p>
    <w:p>
      <w:pPr>
        <w:pStyle w:val="FirstParagraph"/>
      </w:pPr>
      <w:r>
        <w:t xml:space="preserve">There are also constraints to summer STEM and other STEM enrichment programs. For example, 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Another constraint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2"/>
      </w:pPr>
      <w:bookmarkStart w:id="90" w:name="conclusion"/>
      <w:bookmarkEnd w:id="90"/>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practices learners do when working with data, or specific conceptual outcomes,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and its conditions were identified, representing different configurations of the three dimensions of engagement and its conditions. Relations of work with data and youth characteristics (pre-program interest in STEM and youths’ gender and status in terms of being a member of under-represented groups in STEM) were, overall, not strongly related with the profiles of engagement and its conditions, though some key findings were identified. Generating and modeling data were both related to the most potentially beneficial profile, one characterized by high levels of all five of the variables used to create the profiles. Female youth who were involved in work with data (at the momentary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91" w:name="references"/>
      <w:bookmarkEnd w:id="91"/>
      <w:r>
        <w:t xml:space="preserve">References</w:t>
      </w:r>
    </w:p>
    <w:p>
      <w:pPr>
        <w:pStyle w:val="FirstParagraph"/>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92">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93">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94">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95">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96">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97">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98">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99">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100">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101">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102">
        <w:r>
          <w:rPr>
            <w:rStyle w:val="Hyperlink"/>
          </w:rPr>
          <w:t xml:space="preserve">https://jakewestfall.shinyapps.io/pangea/</w:t>
        </w:r>
      </w:hyperlink>
      <w:r>
        <w:br w:type="textWrapping"/>
      </w:r>
      <w:r>
        <w:t xml:space="preserve">Wickham, H. (2018). CRAN downloads. Retrieved from</w:t>
      </w:r>
      <w:r>
        <w:t xml:space="preserve"> </w:t>
      </w:r>
      <w:hyperlink r:id="rId103">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104">
        <w:r>
          <w:rPr>
            <w:rStyle w:val="Hyperlink"/>
          </w:rPr>
          <w:t xml:space="preserve">doi:10.1007/s10648-016-9358-2</w:t>
        </w:r>
      </w:hyperlink>
    </w:p>
    <w:p>
      <w:pPr>
        <w:pStyle w:val="Heading1"/>
      </w:pPr>
      <w:bookmarkStart w:id="105" w:name="appendix"/>
      <w:bookmarkEnd w:id="105"/>
      <w:r>
        <w:t xml:space="preserve">Appendix</w:t>
      </w:r>
    </w:p>
    <w:p>
      <w:pPr>
        <w:pStyle w:val="Heading2"/>
      </w:pPr>
      <w:bookmarkStart w:id="106" w:name="appendix-a-stem-pqa-alignment"/>
      <w:bookmarkEnd w:id="106"/>
      <w:r>
        <w:t xml:space="preserve">Appendix A: STEM-PQA alignment</w:t>
      </w:r>
    </w:p>
    <w:p>
      <w:pPr>
        <w:pStyle w:val="SourceCode"/>
      </w:pPr>
      <w:r>
        <w:rPr>
          <w:rStyle w:val="VerbatimChar"/>
        </w:rPr>
        <w:t xml:space="preserve">## Error: 'landscape' is not an exported object from 'namespace:knitr'</w:t>
      </w:r>
    </w:p>
    <w:p>
      <w:pPr>
        <w:pStyle w:val="Heading3"/>
      </w:pPr>
      <w:bookmarkStart w:id="107" w:name="appendix-b-program-descriptions"/>
      <w:bookmarkEnd w:id="107"/>
      <w:r>
        <w:t xml:space="preserve">Appendix B: Program descriptions</w:t>
      </w:r>
    </w:p>
    <w:p>
      <w:pPr>
        <w:pStyle w:val="Heading3"/>
      </w:pPr>
      <w:bookmarkStart w:id="108" w:name="appendix-c-model-specifications-details"/>
      <w:bookmarkEnd w:id="108"/>
      <w:r>
        <w:t xml:space="preserve">Appendix C: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109" w:name="varying-means-equal-variances-and-covariances-fixed-to-0-model-1"/>
      <w:bookmarkEnd w:id="109"/>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110" w:name="varying-means-equal-variances-and-equal-covariances-model-2"/>
      <w:bookmarkEnd w:id="110"/>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111" w:name="varying-means-varying-variances-and-covariances-fixed-to-0-model-3"/>
      <w:bookmarkEnd w:id="111"/>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12" w:name="varying-means-varying-variances-and-equal-covariances-model-4"/>
      <w:bookmarkEnd w:id="112"/>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13" w:name="varying-means-equal-variances-and-varying-covariances-model-5"/>
      <w:bookmarkEnd w:id="113"/>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14" w:name="varying-means-varying-variances-and-varying-covariances-model-6"/>
      <w:bookmarkEnd w:id="114"/>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15" w:name="appendix-d-additional-details-on-the-model-selection-process"/>
      <w:bookmarkEnd w:id="115"/>
      <w:r>
        <w:t xml:space="preserve">Appendix D: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16"/>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17"/>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18" w:name="appendix-e-alternate-model-selected-model-type-1-seven-profile-solution"/>
      <w:bookmarkEnd w:id="118"/>
      <w:r>
        <w:t xml:space="preserve">Appendix E: Alternate model selected (model type 1, seven profile solution)</w:t>
      </w:r>
    </w:p>
    <w:p>
      <w:pPr>
        <w:pStyle w:val="FirstParagraph"/>
      </w:pPr>
      <w:r>
        <w:t xml:space="preserve">This solution is characterized by:</w:t>
      </w:r>
    </w:p>
    <w:p>
      <w:pPr>
        <w:pStyle w:val="Compact"/>
        <w:numPr>
          <w:numId w:val="1006"/>
          <w:ilvl w:val="0"/>
        </w:numPr>
      </w:pPr>
      <w:r>
        <w:t xml:space="preserve">A</w:t>
      </w:r>
      <w:r>
        <w:t xml:space="preserve"> </w:t>
      </w:r>
      <w:r>
        <w:rPr>
          <w:i/>
        </w:rPr>
        <w:t xml:space="preserve">full</w:t>
      </w:r>
      <w:r>
        <w:t xml:space="preserve"> </w:t>
      </w:r>
      <w:r>
        <w:t xml:space="preserve">profile, profile 7</w:t>
      </w:r>
    </w:p>
    <w:p>
      <w:pPr>
        <w:pStyle w:val="Compact"/>
        <w:numPr>
          <w:numId w:val="1006"/>
          <w:ilvl w:val="0"/>
        </w:numPr>
      </w:pPr>
      <w:r>
        <w:t xml:space="preserve">A</w:t>
      </w:r>
      <w:r>
        <w:t xml:space="preserve"> </w:t>
      </w:r>
      <w:r>
        <w:rPr>
          <w:i/>
        </w:rPr>
        <w:t xml:space="preserve">universally low</w:t>
      </w:r>
      <w:r>
        <w:t xml:space="preserve"> </w:t>
      </w:r>
      <w:r>
        <w:t xml:space="preserve">profile, profile 1</w:t>
      </w:r>
    </w:p>
    <w:p>
      <w:pPr>
        <w:pStyle w:val="Compact"/>
        <w:numPr>
          <w:numId w:val="1006"/>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6"/>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6"/>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6"/>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6"/>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19"/>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20"/>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9fba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dd32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b45e3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104" Target="doi:10.1007/s10648-016-9358-2" TargetMode="External" /><Relationship Type="http://schemas.openxmlformats.org/officeDocument/2006/relationships/hyperlink" Id="rId99" Target="doi:10.1080/00461520.2014.1002924" TargetMode="External" /><Relationship Type="http://schemas.openxmlformats.org/officeDocument/2006/relationships/hyperlink" Id="rId92" Target="http://doi.org/10.1002/j.2161-0045.2015.00097.x" TargetMode="External" /><Relationship Type="http://schemas.openxmlformats.org/officeDocument/2006/relationships/hyperlink" Id="rId100" Target="http://doi.org/10.1007/s10964-007-9241-z" TargetMode="External" /><Relationship Type="http://schemas.openxmlformats.org/officeDocument/2006/relationships/hyperlink" Id="rId96" Target="http://dx.doi.org/10.1016/j.learninstruc.2017.07.007" TargetMode="External" /><Relationship Type="http://schemas.openxmlformats.org/officeDocument/2006/relationships/hyperlink" Id="rId95" Target="http://dx.doi.org/10.1037/edu0000214" TargetMode="External" /><Relationship Type="http://schemas.openxmlformats.org/officeDocument/2006/relationships/hyperlink" Id="rId101" Target="http://faculty.sites.uci.edu/childcare/files/2013/07/SL-Outcomes-2011-Pilot_Edited_8.19.pdf" TargetMode="External" /><Relationship Type="http://schemas.openxmlformats.org/officeDocument/2006/relationships/hyperlink" Id="rId93" Target="https://doi.org/10.1007/978-1-4614-2018-7_37" TargetMode="External" /><Relationship Type="http://schemas.openxmlformats.org/officeDocument/2006/relationships/hyperlink" Id="rId98" Target="https://dx.doi.org/10.1002/tea.21409" TargetMode="External" /><Relationship Type="http://schemas.openxmlformats.org/officeDocument/2006/relationships/hyperlink" Id="rId103" Target="https://hadley.shinyapps.io/cran-downloads/" TargetMode="External" /><Relationship Type="http://schemas.openxmlformats.org/officeDocument/2006/relationships/hyperlink" Id="rId102" Target="https://jakewestfall.shinyapps.io/pangea/" TargetMode="External" /><Relationship Type="http://schemas.openxmlformats.org/officeDocument/2006/relationships/hyperlink" Id="rId97" Target="https://jrosen48.github.io/r-markdown/comparing-mplus-mclust.html" TargetMode="External" /><Relationship Type="http://schemas.openxmlformats.org/officeDocument/2006/relationships/hyperlink" Id="rId94"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104" Target="doi:10.1007/s10648-016-9358-2" TargetMode="External" /><Relationship Type="http://schemas.openxmlformats.org/officeDocument/2006/relationships/hyperlink" Id="rId99" Target="doi:10.1080/00461520.2014.1002924" TargetMode="External" /><Relationship Type="http://schemas.openxmlformats.org/officeDocument/2006/relationships/hyperlink" Id="rId92" Target="http://doi.org/10.1002/j.2161-0045.2015.00097.x" TargetMode="External" /><Relationship Type="http://schemas.openxmlformats.org/officeDocument/2006/relationships/hyperlink" Id="rId100" Target="http://doi.org/10.1007/s10964-007-9241-z" TargetMode="External" /><Relationship Type="http://schemas.openxmlformats.org/officeDocument/2006/relationships/hyperlink" Id="rId96" Target="http://dx.doi.org/10.1016/j.learninstruc.2017.07.007" TargetMode="External" /><Relationship Type="http://schemas.openxmlformats.org/officeDocument/2006/relationships/hyperlink" Id="rId95" Target="http://dx.doi.org/10.1037/edu0000214" TargetMode="External" /><Relationship Type="http://schemas.openxmlformats.org/officeDocument/2006/relationships/hyperlink" Id="rId101" Target="http://faculty.sites.uci.edu/childcare/files/2013/07/SL-Outcomes-2011-Pilot_Edited_8.19.pdf" TargetMode="External" /><Relationship Type="http://schemas.openxmlformats.org/officeDocument/2006/relationships/hyperlink" Id="rId93" Target="https://doi.org/10.1007/978-1-4614-2018-7_37" TargetMode="External" /><Relationship Type="http://schemas.openxmlformats.org/officeDocument/2006/relationships/hyperlink" Id="rId98" Target="https://dx.doi.org/10.1002/tea.21409" TargetMode="External" /><Relationship Type="http://schemas.openxmlformats.org/officeDocument/2006/relationships/hyperlink" Id="rId103" Target="https://hadley.shinyapps.io/cran-downloads/" TargetMode="External" /><Relationship Type="http://schemas.openxmlformats.org/officeDocument/2006/relationships/hyperlink" Id="rId102" Target="https://jakewestfall.shinyapps.io/pangea/" TargetMode="External" /><Relationship Type="http://schemas.openxmlformats.org/officeDocument/2006/relationships/hyperlink" Id="rId97" Target="https://jrosen48.github.io/r-markdown/comparing-mplus-mclust.html" TargetMode="External" /><Relationship Type="http://schemas.openxmlformats.org/officeDocument/2006/relationships/hyperlink" Id="rId94"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Work With Data in Summer STEM Programs Through An Experience Sampling Method Approach</dc:title>
  <dc:creator>Joshua M. Rosenberg</dc:creator>
  <dcterms:created xsi:type="dcterms:W3CDTF">2018-04-27T03:05:59Z</dcterms:created>
  <dcterms:modified xsi:type="dcterms:W3CDTF">2018-04-27T03:05:59Z</dcterms:modified>
</cp:coreProperties>
</file>