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6.png" ContentType="image/png"/>
  <Override PartName="/word/media/rId107.png" ContentType="image/png"/>
  <Override PartName="/word/media/rId103.png" ContentType="image/png"/>
  <Override PartName="/word/media/rId104.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2018-05-15</w:t>
      </w:r>
    </w:p>
    <w:p>
      <w:pPr>
        <w:pStyle w:val="Heading1"/>
      </w:pPr>
      <w:bookmarkStart w:id="21" w:name="intro-placemarker"/>
      <w:bookmarkEnd w:id="21"/>
      <w:r>
        <w:t xml:space="preserve">Introduction</w:t>
      </w:r>
    </w:p>
    <w:p>
      <w:pPr>
        <w:pStyle w:val="FirstParagraph"/>
      </w:pPr>
      <w:r>
        <w:t xml:space="preserve">How citizens plan our day-to-day lives, communicate, and learn are increasingly impacted by data. These sources of data–either quantitative</w:t>
      </w:r>
      <w:r>
        <w:t xml:space="preserve"> </w:t>
      </w:r>
      <w:r>
        <w:rPr>
          <w:i/>
        </w:rPr>
        <w:t xml:space="preserve">or</w:t>
      </w:r>
      <w:r>
        <w:t xml:space="preserve"> </w:t>
      </w:r>
      <w:r>
        <w:t xml:space="preserve">qualitative–are created by us, for us, and about us, although at present opportunities for learners to analyze data in educational settings remain limited. Work with data includes broad processes of collecting, creating, modeling data, and eveb asking questions that can be answered with data.</w:t>
      </w:r>
    </w:p>
    <w:p>
      <w:pPr>
        <w:pStyle w:val="BodyText"/>
      </w:pPr>
      <w:r>
        <w:t xml:space="preserve">Working with data, then, is more than just crunching numbers, or interpreting a figure created by someone else. Rather, it is about making sense of phenomena in the world (or solving problems), a point particularly relevant to those interested in the educational plaec and implications of working with data (Lee &amp; Wilkerson, in press; Singer, Hilton, &amp; Schweingruber, 2006; Wild &amp; Pfannkuch, 1999). Aspects of work with data cut across STEM domains and are recognized as core competencies across recent curricular documents. For example, the</w:t>
      </w:r>
      <w:r>
        <w:t xml:space="preserve"> </w:t>
      </w:r>
      <w:r>
        <w:rPr>
          <w:i/>
        </w:rPr>
        <w:t xml:space="preserve">Next Generation Science Standards</w:t>
      </w:r>
      <w:r>
        <w:t xml:space="preserve"> </w:t>
      </w:r>
      <w:r>
        <w:t xml:space="preserve">and the</w:t>
      </w:r>
      <w:r>
        <w:t xml:space="preserve"> </w:t>
      </w:r>
      <w:r>
        <w:rPr>
          <w:i/>
        </w:rPr>
        <w:t xml:space="preserve">Common Core State Standards</w:t>
      </w:r>
      <w:r>
        <w:t xml:space="preserve"> </w:t>
      </w:r>
      <w:r>
        <w:t xml:space="preserve">(in mathematics; National Governors Association Center for Best Practices, Council of Chief State School Officers, 2010; NGSS Lead States, 2013) both highlight the role of authentic work work with data. Scholars have pointed out the benefits of working with data for learners as young as two years old (Gopnik, &amp; Sobel, 2000).</w:t>
      </w:r>
    </w:p>
    <w:p>
      <w:pPr>
        <w:pStyle w:val="BodyText"/>
      </w:pPr>
      <w:r>
        <w:t xml:space="preserve">In supporting teachers and learners’ data analysis efforts, scholars have examined a variety of learning-related practices. In particular, past research has focused on mathematical practices, or activities, like generating measures of phenomena and creating data models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Because engaging in data-related practices seems to be so potentially beneficial to learners (Lee &amp; Wilkerson, in press; National Research Council, 2012), we need to better understand the nature of learners’ engagement in learning activities that involve various aspects of work with data. To date, past research shows that using an engagement framework to characterize students’ learning activities is highly informative. One’s engagement in learning tasks is a key outcome in its own right and may be an antecedent of changes in other outcomes, such as their well-being, achievement and pursuit of an area of study or career (Sinatra, Heddy, &amp; Lombardi, 2015; Wang, Chow, Hofkens, &amp; Salmela-Aro, 2015; Wang &amp; Eccles, 2012). However, research has not examined engagement in these data-related activities in particular.</w:t>
      </w:r>
    </w:p>
    <w:p>
      <w:pPr>
        <w:pStyle w:val="BodyText"/>
      </w:pPr>
      <w:r>
        <w:t xml:space="preserve">The purpose of this study, then, is to examine youth engagement in a variety of learning activities that involve work with data. Engagement in work with data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in work with data is valuable as engagement is a meaningful outcome for STEM learners in its own right (Sinatra et al., 2015).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or activities, student engagement, and analytic approaches to modeling multidimensional constructs. In this review of literature, I define work with data as a key practice across STEM domains. I also describe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While work with data has been conceived in different ways, some core components have emerged. See Lee and Wikerson’s (in press) forthcoming summary report for the National Academy of Sciences and Wild and Pfannkuch (1999), Franklin et al. (2007), and Lehrer and Schauble (2004) for some specific examples from different domains. The core components, when synthesized,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with respect to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coding frames or tools for measuring</w:t>
      </w:r>
    </w:p>
    <w:p>
      <w:pPr>
        <w:pStyle w:val="Compact"/>
        <w:numPr>
          <w:numId w:val="1001"/>
          <w:ilvl w:val="0"/>
        </w:numPr>
      </w:pPr>
      <w:r>
        <w:rPr>
          <w:i/>
        </w:rPr>
        <w:t xml:space="preserve">Data modeling</w:t>
      </w:r>
      <w:r>
        <w:t xml:space="preserve">: Activities involving use of simple statistics, such as the mean and variance,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practices are a part of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effrts; McNeill &amp; Berland, 2017; Miller, Manz, Russ, Stroupe, &amp; Berland, in press),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and applicable to more formal learning environments, such as classrooms, in which teachers want to design opportunities for their learners to work with data.</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as outcomes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and youth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applied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methods for capturing these two features empirically through the Experience Sampling Method, or ESM–and how this (multidimensional) data can be analyzed–are described.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there are some key conditions that facilitate engagement. Emergent Motivation Theory (EMT; Csikszentmihalyi, 1990), provides a useful lens. From EMT, a key moment-to-moment condition for engagement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 Thus, these two conditions are analytically considered together with engagement, as described in the section below on measuring engagement.</w:t>
      </w:r>
    </w:p>
    <w:p>
      <w:pPr>
        <w:pStyle w:val="BodyText"/>
      </w:pPr>
      <w:r>
        <w:t xml:space="preserve">Past research has supported this contention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w:t>
      </w:r>
    </w:p>
    <w:p>
      <w:pPr>
        <w:pStyle w:val="Heading2"/>
      </w:pPr>
      <w:bookmarkStart w:id="28" w:name="individual-factors-that-may-effect-youths-engagement"/>
      <w:bookmarkEnd w:id="28"/>
      <w:r>
        <w:t xml:space="preserve">Individual factors that may effect youths’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concerns teacher support for specific practices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ESM involves asking—usually using a digital tool and occasionally a diary—to ask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holistically is the use of</w:t>
      </w:r>
      <w:r>
        <w:t xml:space="preserve"> </w:t>
      </w:r>
      <w:r>
        <w:rPr>
          <w:i/>
        </w:rPr>
        <w:t xml:space="preserve">profiles</w:t>
      </w:r>
      <w:r>
        <w:t xml:space="preserve">, or groups of variables that are measured. This profile approach is especially important given the multidimensional nature of engagement. Profiles are commonly used as part of what are described as person-oriented approaches, those used to consider the way in which psychological constructs are experienced together and at once in the experiences of learners. In the context of the present study, this approach can help to identify naturally occurring profiles of engagement, or engagement as reported by youth via ESM during particular moments.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 profiles seek to understand how students experience work with data (through the lens of engagement and its in-the-moment conditions)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or, in the case of the study reviewed in the previous section, use of instructional activities and choice (Schmidt et al., 2018). Different from this past research, another potential way to account for the context-dependent nature of engagement is to consider both engagement and its conditions at once. Since a profile approach emphasizes the context-dependent nature of development and the impact of not only external but also intra-individual factors. As in the present study, youths’ perceptions of challenge and competence, also collected via ESM,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(and youths’)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that are more engaging and which provide more support to learners in terms of their perceptions of challenge and their own competence. In addition to this general need to study engagement in work with data through the lens of engagement, no research that I am aware of has examined work with data or data analysis more generally in the context of outside-of-school programs. These settings are potentially rich with opportunities for highly engaged youth to analyze authentic data sources. Finally, little research has examined how data is part of the experiences of youth in out-of-school-time programs, despite its place as one of a few core practices in STEM.</w:t>
      </w:r>
    </w:p>
    <w:p>
      <w:pPr>
        <w:pStyle w:val="Heading2"/>
      </w:pPr>
      <w:bookmarkStart w:id="31" w:name="conceptual-framework-and-research-questions"/>
      <w:bookmarkEnd w:id="31"/>
      <w:r>
        <w:t xml:space="preserve">Conceptual Framework and Research Questions</w:t>
      </w:r>
    </w:p>
    <w:p>
      <w:pPr>
        <w:pStyle w:val="FirstParagraph"/>
      </w:pPr>
      <w:r>
        <w:t xml:space="preserve">To summarize,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 and is laid out in the remainder of this section.</w:t>
      </w:r>
    </w:p>
    <w:p>
      <w:pPr>
        <w:pStyle w:val="FigureWithCaption"/>
      </w:pPr>
      <w:r>
        <w:drawing>
          <wp:inline>
            <wp:extent cx="5334000" cy="3392402"/>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learners’ individual interest in STEM is hypothesized to be associated with the profiles and the relations of work with data and the profiles. The ESM responses that make up the profiles are associated with students, instructional episodes (or the moments–or segments–for which youth are asked to respond to the ESM signal), and program effects that must be accounted for (Strati et al., 2017). These three random effects represent systematic variation at these different</w:t>
      </w:r>
      <w:r>
        <w:t xml:space="preserve"> </w:t>
      </w:r>
      <w:r>
        <w:t xml:space="preserve">“</w:t>
      </w:r>
      <w:r>
        <w:t xml:space="preserve">levels</w:t>
      </w:r>
      <w:r>
        <w:t xml:space="preserve">”</w:t>
      </w:r>
      <w:r>
        <w:t xml:space="preserve">, in that the modeling approach can account for how much variability in the dependent variable is explained exclusively by the presence of these (student, instructional episide, and program) levels, or groups, that are present given the data collection method.</w:t>
      </w:r>
    </w:p>
    <w:p>
      <w:pPr>
        <w:pStyle w:val="BodyText"/>
      </w:pPr>
      <w:r>
        <w:t xml:space="preserve">As depicted in the Figure 2, the four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 of 203 youth. Youth in these programs are from diverse racial and ethnic backgrounds (see Table 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Youth completed a pre-survey before the program including questions about their experience in STEM, intention to pursue a STEM major or career, and questions for other motivation and engagement-related measures. At the beginning of the programs, youth were introduced to the study and the phones used for data collection related to the ESM. As indicated in the earlier section, ESM is a method of data collection that involves asking (signalling) youth to respond to short questions on phones that they were provided. Youth are signaled at random times (within intervals, so that the signals were not too near or far apart) in order to obtain a sample of youths’ experiences throughout the program.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So that measures corresponding to the video and ESM data can be matched, videos include a signal from the video-recorder identifying the ESM signal to which youth responded at that point in the video.</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youths’ perceptions of themselves and the activity, pre-survey measures of youths’ interest, youths’ demographic information, and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awere constructed from three ESM responses that served as indicators for the experience of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A little (2), Somewhat (3), and Very Much (4), as presented in Table 2.</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
      <w:bookmarkEnd w:id="39"/>
      <w:r>
        <w:t xml:space="preserve">Survey measures of pre-interest</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3.</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key-aspects-of-work-with-data"/>
      <w:bookmarkEnd w:id="40"/>
      <w:r>
        <w:t xml:space="preserve">Key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4. Details on how the measure aligns with the original STEM-PQA on which this measure is based are presented in the appendix. Note that these codes were unique to each signal to which youth responded (but were not unique to each youth, as youth in the same program were signaled at the same time). I will discuss limitations to use of the STEM-PQA for work with data in the discussion.</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BodyText"/>
      </w:pPr>
      <w:r>
        <w:t xml:space="preserve">In February, 2017, 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w:t>
      </w:r>
    </w:p>
    <w:p>
      <w:pPr>
        <w:pStyle w:val="BodyText"/>
      </w:pPr>
      <w:r>
        <w:t xml:space="preserve">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instructional episode are examined.</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are two primary steps taken to answer this question, one more quantitative in nature and one more qualitative.</w:t>
      </w:r>
    </w:p>
    <w:p>
      <w:pPr>
        <w:pStyle w:val="BodyText"/>
      </w:pPr>
      <w:r>
        <w:t xml:space="preserve">Specifically, first, the frequency of the codes for the individual aspects of work with data from the STEM PQA measure of work with data (described above in the measures) are calculated. Note that this coding frame focused on the degree of instructional support the activity leaders provided for youth to work with data.</w:t>
      </w:r>
    </w:p>
    <w:p>
      <w:pPr>
        <w:pStyle w:val="BodyText"/>
      </w:pPr>
      <w:r>
        <w:t xml:space="preserve">However, this framework provided no context on how particular types of work with data were enacted. Qualitative differences in</w:t>
      </w:r>
      <w:r>
        <w:t xml:space="preserve"> </w:t>
      </w:r>
      <w:r>
        <w:rPr>
          <w:i/>
        </w:rPr>
        <w:t xml:space="preserve">how</w:t>
      </w:r>
      <w:r>
        <w:t xml:space="preserve">, for example, youth were asking questions are not evident from the STEM-PQA codes used to find the frequencies of the aspects of work with data. In order, to provide more context in the description of how work with data in the context of summer STEM programs, all of the segments were coded using an open-ended, qualitative approach. Three research assistants were trained for approximately eight hours over four meetings. Then, each research assistant coded all of the segments associated with one of the videos. Two coders coded every segment, except for the 77 (out of the total 248) segments that the STEM-PQA coding that indicated no aspects of work with data were present. For these 77 segments, only one coder coded each segment.</w:t>
      </w:r>
    </w:p>
    <w:p>
      <w:pPr>
        <w:pStyle w:val="BodyText"/>
      </w:pPr>
      <w:r>
        <w:t xml:space="preserve">The coders used the following five guiding questions, assocatiated with each of the five aspects of work with data, for the qualitative coding::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FirstParagraph"/>
      </w:pPr>
      <w:r>
        <w:t xml:space="preserve">This coding took around 75 hours of coding by the research assistants. After coding all of the segments for each program, the coders and I met to discuss potential issues that emerged throughout the coding, and to clarify how they applied the coding frame (so the coders and I met nine times during the process to discuss the coding). I then read through all of the codes for all of the segments then made notes associated with each of the five aspects of work with data. I used these notes to write detailed descriptions of each of the aspects of work with data, which I grouped into the themes. I present these themes in the section of the results for this question.</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To answer this question, Latent Profile Analysis (LPA; Harring &amp; Hodis, 2016; Muthen, 2004) is used. LPA allows for capturing the multidimensional nature of engagement through profiles.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as part of this study. In order to more flexibly carry out LPA, an open-source tool, tidyLPA (Rosenberg, Schmidt, &amp; Beymer,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BodyText"/>
      </w:pPr>
      <w:r>
        <w:t xml:space="preserve">To select a solution in terms of the model type and the number of profiles to be interpreted and used in subsequent analyses, a number of fit statistics and other considerations are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As described in more detail in the section of the results pertaining to this question, on the basis of these criteria, the</w:t>
      </w:r>
      <w:r>
        <w:t xml:space="preserve"> </w:t>
      </w:r>
      <w:r>
        <w:rPr>
          <w:i/>
        </w:rPr>
        <w:t xml:space="preserve">model one type, six profiles</w:t>
      </w:r>
      <w:r>
        <w:t xml:space="preserve"> </w:t>
      </w:r>
      <w:r>
        <w:t xml:space="preserve">solution is selected and used as part of subsequent analyses.</w:t>
      </w:r>
    </w:p>
    <w:p>
      <w:pPr>
        <w:pStyle w:val="Heading3"/>
      </w:pPr>
      <w:bookmarkStart w:id="46" w:name="analysis-for-research-question-3-how-work-with-data-relates-to-engagement"/>
      <w:bookmarkEnd w:id="46"/>
      <w:r>
        <w:t xml:space="preserve">Analysis for Research Question #3 (how work with data relates to engagement)</w:t>
      </w:r>
    </w:p>
    <w:p>
      <w:pPr>
        <w:pStyle w:val="FirstParagraph"/>
      </w:pPr>
      <w:r>
        <w:t xml:space="preserve">Broadly, this question is focused on how work with data as coded from video-recordings of the programs, relates to the profiles.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a particular profile.</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7" w:name="analysis-for-research-question-4-how-youth-characteristics-relate-to-engagement"/>
      <w:bookmarkEnd w:id="47"/>
      <w:r>
        <w:t xml:space="preserve">Analysis for Research Question #4 (how youth characteristics relate to engagement)</w:t>
      </w:r>
    </w:p>
    <w:p>
      <w:pPr>
        <w:pStyle w:val="FirstParagraph"/>
      </w:pPr>
      <w:r>
        <w:t xml:space="preserve">Research question #4 is focused on how the relationships of work with data differ on the basis of youth characteristics–their pre-program interest, gender and URM status. Like for the previous research question, models that account for the cross-classification of the instructional episodes and the youth are used. The dependent variable is again the probability of a response being in the profile. 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8" w:name="sensitivity-analysis"/>
      <w:bookmarkEnd w:id="48"/>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I use these to interpret and contextualize the statistically significant findings. Higher values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49" w:name="results"/>
      <w:bookmarkEnd w:id="49"/>
      <w:r>
        <w:t xml:space="preserve">Results</w:t>
      </w:r>
    </w:p>
    <w:p>
      <w:pPr>
        <w:pStyle w:val="FirstParagraph"/>
      </w:pPr>
      <w:r>
        <w:t xml:space="preserve">In this section, results associated with the preliminary analysis and the four research questions are presented.</w:t>
      </w:r>
    </w:p>
    <w:p>
      <w:pPr>
        <w:pStyle w:val="Heading2"/>
      </w:pPr>
      <w:bookmarkStart w:id="50" w:name="preliminary-results"/>
      <w:bookmarkEnd w:id="50"/>
      <w:r>
        <w:t xml:space="preserve">Preliminary results</w:t>
      </w:r>
    </w:p>
    <w:p>
      <w:pPr>
        <w:pStyle w:val="Heading3"/>
      </w:pPr>
      <w:bookmarkStart w:id="51" w:name="descriptive-statistics-for-the-study-variables"/>
      <w:bookmarkEnd w:id="51"/>
      <w:r>
        <w:t xml:space="preserve">Descriptive statistics for the study variables</w:t>
      </w:r>
    </w:p>
    <w:p>
      <w:pPr>
        <w:pStyle w:val="FirstParagraph"/>
      </w:pPr>
      <w:r>
        <w:t xml:space="preserve">First, descriptive statistics for all of the study variables (overall pre-interest and the five variables that are used to estimate the profiles) are presented in Table 5. These values suggest moderately high levels of the three dimensions of engagement (with mean values between 2.768 (</w:t>
      </w:r>
      <w:r>
        <w:rPr>
          <w:i/>
        </w:rPr>
        <w:t xml:space="preserve">SD</w:t>
      </w:r>
      <w:r>
        <w:t xml:space="preserve"> </w:t>
      </w:r>
      <w:r>
        <w:t xml:space="preserve">= 1.063) for cognitive engagement, and 2.863 (</w:t>
      </w:r>
      <w:r>
        <w:rPr>
          <w:i/>
        </w:rPr>
        <w:t xml:space="preserve">SD</w:t>
      </w:r>
      <w:r>
        <w:t xml:space="preserve"> </w:t>
      </w:r>
      <w:r>
        <w:t xml:space="preserve">= 1.044), for behavioral engagement, on one-four scales), high perceptions of competence (</w:t>
      </w:r>
      <w:r>
        <w:rPr>
          <w:i/>
        </w:rPr>
        <w:t xml:space="preserve">M</w:t>
      </w:r>
      <w:r>
        <w:t xml:space="preserve"> </w:t>
      </w:r>
      <w:r>
        <w:t xml:space="preserve">= 3.000 (</w:t>
      </w:r>
      <w:r>
        <w:rPr>
          <w:i/>
        </w:rPr>
        <w:t xml:space="preserve">SD</w:t>
      </w:r>
      <w:r>
        <w:t xml:space="preserve"> </w:t>
      </w:r>
      <w:r>
        <w:t xml:space="preserve">= 0.952)) and pre-program interest (</w:t>
      </w:r>
      <w:r>
        <w:rPr>
          <w:i/>
        </w:rPr>
        <w:t xml:space="preserve">M</w:t>
      </w:r>
      <w:r>
        <w:t xml:space="preserve"> </w:t>
      </w:r>
      <w:r>
        <w:t xml:space="preserve">= 3.044 (</w:t>
      </w:r>
      <w:r>
        <w:rPr>
          <w:i/>
        </w:rPr>
        <w:t xml:space="preserve">SD</w:t>
      </w:r>
      <w:r>
        <w:t xml:space="preserve"> </w:t>
      </w:r>
      <w:r>
        <w:t xml:space="preserve">= 0.901); the only continuous variable that was not measured using ESM) and lower perceptions of challenge (</w:t>
      </w:r>
      <w:r>
        <w:rPr>
          <w:i/>
        </w:rPr>
        <w:t xml:space="preserve">M</w:t>
      </w:r>
      <w:r>
        <w:t xml:space="preserve"> </w:t>
      </w:r>
      <w:r>
        <w:t xml:space="preserve">= 2.270 (</w:t>
      </w:r>
      <w:r>
        <w:rPr>
          <w:i/>
        </w:rPr>
        <w:t xml:space="preserve">SD</w:t>
      </w:r>
      <w:r>
        <w:t xml:space="preserve"> </w:t>
      </w:r>
      <w:r>
        <w:t xml:space="preserve">= 1.117)).</w:t>
      </w:r>
    </w:p>
    <w:p>
      <w:pPr>
        <w:pStyle w:val="Heading3"/>
      </w:pPr>
      <w:bookmarkStart w:id="52" w:name="correlations-among-the-study-variables"/>
      <w:bookmarkEnd w:id="52"/>
      <w:r>
        <w:t xml:space="preserve">Correlations among the study variables</w:t>
      </w:r>
    </w:p>
    <w:p>
      <w:pPr>
        <w:pStyle w:val="FirstParagraph"/>
      </w:pPr>
      <w:r>
        <w:t xml:space="preserve">Next, correlations between the variables that are used to create the profiles are presented in Table 6. These correlations among the variables used to construct the profiles,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show moderate relations. Pre-interest was correlated with the variables used to construct the profiles to a small degree (with</w:t>
      </w:r>
      <w:r>
        <w:t xml:space="preserve"> </w:t>
      </w:r>
      <w:r>
        <w:rPr>
          <w:i/>
        </w:rPr>
        <w:t xml:space="preserve">r</w:t>
      </w:r>
      <w:r>
        <w:t xml:space="preserve"> </w:t>
      </w:r>
      <w:r>
        <w:t xml:space="preserve">values ranging between .06 and .14).</w:t>
      </w:r>
    </w:p>
    <w:p>
      <w:pPr>
        <w:pStyle w:val="Heading2"/>
      </w:pPr>
      <w:bookmarkStart w:id="53" w:name="results-for-research-question-1"/>
      <w:bookmarkEnd w:id="53"/>
      <w:r>
        <w:t xml:space="preserve">Results for Research Question #1</w:t>
      </w:r>
    </w:p>
    <w:p>
      <w:pPr>
        <w:pStyle w:val="Heading3"/>
      </w:pPr>
      <w:bookmarkStart w:id="54" w:name="frequency-of-work-with-data"/>
      <w:bookmarkEnd w:id="54"/>
      <w:r>
        <w:t xml:space="preserve">Frequency of work with data</w:t>
      </w:r>
    </w:p>
    <w:p>
      <w:pPr>
        <w:pStyle w:val="FirstParagraph"/>
      </w:pPr>
      <w:r>
        <w:t xml:space="preserve">Out of the 248 instructional episodes, 236 were code-able for work with data; for the 12 that were not codeable, issues with the video-recordings were the primary source of the missing data. Of the 236 code-able instructional episodes, 170 (72%) were coded as involving</w:t>
      </w:r>
      <w:r>
        <w:t xml:space="preserve"> </w:t>
      </w:r>
      <w:r>
        <w:rPr>
          <w:i/>
        </w:rPr>
        <w:t xml:space="preserve">any</w:t>
      </w:r>
      <w:r>
        <w:t xml:space="preserve"> </w:t>
      </w:r>
      <w:r>
        <w:t xml:space="preserve">of the aspects of work with data. Table 7 includes the frequency of the specific aspects of work with data, with interpreting and communicating findings being the most present (occurring in 47% of the coded instructional episodes), followed by generating data (in 45% of the instructional episodes), asking questions (in 39%), data modeling (29%), and then making observations (26%).</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BodyText"/>
      </w:pPr>
      <w:r>
        <w:t xml:space="preserve">Note that these results are for codes applied to approximately ten-minute (video-recorded) instructional episodes and that the aspects of work with data could co-occur. On average, there were 1.86 (</w:t>
      </w:r>
      <w:r>
        <w:rPr>
          <w:i/>
        </w:rPr>
        <w:t xml:space="preserve">SD</w:t>
      </w:r>
      <w:r>
        <w:t xml:space="preserve"> </w:t>
      </w:r>
      <w:r>
        <w:t xml:space="preserve">= 1.61) aspects of work with data present in each 10-minute instructional episode. This indicates that, on average, youth were engaged in around two of aspects of the work with data during each instructional episode. There was considerable variation in the extent to which these types of work with data were supported in each program (see the Appendix).</w:t>
      </w:r>
    </w:p>
    <w:p>
      <w:pPr>
        <w:pStyle w:val="Heading3"/>
      </w:pPr>
      <w:bookmarkStart w:id="55" w:name="nature-of-work-with-data"/>
      <w:bookmarkEnd w:id="55"/>
      <w:r>
        <w:t xml:space="preserve">Nature of work with data</w:t>
      </w:r>
    </w:p>
    <w:p>
      <w:pPr>
        <w:pStyle w:val="FirstParagraph"/>
      </w:pPr>
      <w:r>
        <w:t xml:space="preserve">For these results, the different aspects of work with data were looked at in more detail using an open-ended, qualitative approach in order to better understand the nuance and the specific nature of what was going on during these episodes in terms of how students work with data. This coding, which showed there to be distinct, qualitative differences in the particular ways youth worked with data when, for example, they were data modeling, resulted in approximately three to four sentence notes from each of two raters for every instructional episode and showed the specific nature of work with data.</w:t>
      </w:r>
    </w:p>
    <w:p>
      <w:pPr>
        <w:pStyle w:val="Heading4"/>
      </w:pPr>
      <w:bookmarkStart w:id="56" w:name="asking-questions-or-identifying-problems"/>
      <w:bookmarkEnd w:id="56"/>
      <w:r>
        <w:t xml:space="preserve">Asking questions or identifying problems</w:t>
      </w:r>
    </w:p>
    <w:p>
      <w:pPr>
        <w:pStyle w:val="FirstParagraph"/>
      </w:pPr>
      <w:r>
        <w:t xml:space="preserve">Among the instructional episodes focused on asking questions (as determined through coding with the STEM-PQA measure), qualitative analysis revealed that around one-third were focused on asking questions focused on youth working to understand the phenomenon or problem they were investigating.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 Other instructional episodes not focused on understanding the phenomenon or specific problem showed that many instructional episodes were focused around predicting, conjecturing, or hypothesizing. In these cases, the code was applied to instances in which the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saw.</w:t>
      </w:r>
    </w:p>
    <w:p>
      <w:pPr>
        <w:pStyle w:val="Heading4"/>
      </w:pPr>
      <w:bookmarkStart w:id="57" w:name="making-observations"/>
      <w:bookmarkEnd w:id="57"/>
      <w:r>
        <w:t xml:space="preserve">Making observations</w:t>
      </w:r>
    </w:p>
    <w:p>
      <w:pPr>
        <w:pStyle w:val="FirstParagraph"/>
      </w:pPr>
      <w:r>
        <w:t xml:space="preserve">In the instructional episodes during which the STEM-PQA revealed that youth were making observations, the vast majority of these were focused on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 In just a few cases, making observations was focused on making observations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58" w:name="generating-data"/>
      <w:bookmarkEnd w:id="58"/>
      <w:r>
        <w:t xml:space="preserve">Generating data</w:t>
      </w:r>
    </w:p>
    <w:p>
      <w:pPr>
        <w:pStyle w:val="FirstParagraph"/>
      </w:pPr>
      <w:r>
        <w:t xml:space="preserve">Around half of these episodes, for youth generating sources of data (as indicated by the STEM-PQA), the instructional episodes were focused around writing down observations made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 The other half of the cases were most often instructional episodes in which youth were writing down what the youth activity leader was saying or were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instructional episode described, youth did not inscribe notes or any other observations on the specimens they were collecting, and so data was not generated (at this stage).</w:t>
      </w:r>
    </w:p>
    <w:p>
      <w:pPr>
        <w:pStyle w:val="Heading4"/>
      </w:pPr>
      <w:bookmarkStart w:id="59" w:name="data-modeling"/>
      <w:bookmarkEnd w:id="59"/>
      <w:r>
        <w:t xml:space="preserve">Data modeling</w:t>
      </w:r>
    </w:p>
    <w:p>
      <w:pPr>
        <w:pStyle w:val="FirstParagraph"/>
      </w:pPr>
      <w:r>
        <w:t xml:space="preserve">A large majority of the instructional episodes coded (with the STEM-PQA) for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 small number of instructional episodes, this aspect of work with data was present when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0" w:name="interpreting-and-communicating-findings"/>
      <w:bookmarkEnd w:id="60"/>
      <w:r>
        <w:t xml:space="preserve">Interpreting and communicating findings</w:t>
      </w:r>
    </w:p>
    <w:p>
      <w:pPr>
        <w:pStyle w:val="FirstParagraph"/>
      </w:pPr>
      <w:r>
        <w:t xml:space="preserve">In around half of the instructional episodes in which youth were interpreting and communicating findings (as coded by the STEM-PQA), youth were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w:t>
      </w:r>
      <w:r>
        <w:t xml:space="preserve"> </w:t>
      </w:r>
      <w:r>
        <w:rPr>
          <w:i/>
        </w:rPr>
        <w:t xml:space="preserve">Marine Investigators</w:t>
      </w:r>
      <w:r>
        <w:t xml:space="preserve">). In the other half of the responses, youth were most commonly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2"/>
      </w:pPr>
      <w:bookmarkStart w:id="61" w:name="results-for-research-question-2-what-profiles-of-youth-engagement-and-its-conditions-emerge-from-experiential-data-collected-in-the-programs"/>
      <w:bookmarkEnd w:id="61"/>
      <w:r>
        <w:t xml:space="preserve">Results for Research Question #2: What profiles of youth engagement and its conditions emerge from experiential data collected in the programs?</w:t>
      </w:r>
    </w:p>
    <w:p>
      <w:pPr>
        <w:pStyle w:val="FirstParagraph"/>
      </w:pPr>
      <w:r>
        <w:t xml:space="preserve">On the basis of the selection criteria, the six profile solution with varying means, equal variances and covariances fixed to 0 emerged as the best fit of the data. This was on the basis of fit statistics, statistical tests, and concerns of interpretability and parsimony. The model demonstrated superior fit on the basis of the information criteria (AIC and BIC) and on the basis of the measure of classification accuracy (entropy). A seven profile solution with the same specifications regarding means, variances and covariances was also a similarly good fit (and is presented in the Appendix), but the 6 profile solution was ultimately chosen on the basis of parsimony and interpretability. For the selected model, presented below in Figure 3,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2"/>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unnamed-chunk-10-2.png" id="0" name="Picture"/>
                    <pic:cNvPicPr>
                      <a:picLocks noChangeArrowheads="1" noChangeAspect="1"/>
                    </pic:cNvPicPr>
                  </pic:nvPicPr>
                  <pic:blipFill>
                    <a:blip r:embed="rId63"/>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engagement and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behavioral engagement, very low affective engagement, and moderately (low) levels of cognitive engagement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affective engagement, low levels of behavioral engagement, and moderately (low) levels of cognitive engagement and challenge and competence</w:t>
      </w:r>
    </w:p>
    <w:p>
      <w:pPr>
        <w:pStyle w:val="Compact"/>
        <w:numPr>
          <w:numId w:val="1006"/>
          <w:ilvl w:val="0"/>
        </w:numPr>
      </w:pPr>
      <w:r>
        <w:t xml:space="preserve">A</w:t>
      </w:r>
      <w:r>
        <w:t xml:space="preserve"> </w:t>
      </w:r>
      <w:r>
        <w:rPr>
          <w:i/>
        </w:rPr>
        <w:t xml:space="preserve">all moderate</w:t>
      </w:r>
      <w:r>
        <w:t xml:space="preserve"> </w:t>
      </w:r>
      <w:r>
        <w:t xml:space="preserve">profile, with moderate levels of the three dimensions of engagement and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each of the three dimensions of engagement and of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engagement, challenge, and competence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w:t>
      </w:r>
    </w:p>
    <w:p>
      <w:pPr>
        <w:pStyle w:val="BodyText"/>
      </w:pPr>
      <w:r>
        <w:t xml:space="preserve">A relatively simple model (model</w:t>
      </w:r>
      <w:r>
        <w:t xml:space="preserve"> </w:t>
      </w:r>
      <w:r>
        <w:rPr>
          <w:i/>
        </w:rPr>
        <w:t xml:space="preserve">one</w:t>
      </w:r>
      <w:r>
        <w:t xml:space="preserve"> </w:t>
      </w:r>
      <w:r>
        <w:t xml:space="preserve">type; with varying means, equal variances, and covariances fixed to 0) with six profiles was selected for use in subsequent analyses. This model has profiles characterized by both varying levels on both the dimensions of engagement–cognitive, behavioral, and affective–and youths’ perceptions of challenge and competence. In addition, the number of observations across the profiles is relatively balanced.</w:t>
      </w:r>
    </w:p>
    <w:p>
      <w:pPr>
        <w:pStyle w:val="Heading3"/>
      </w:pPr>
      <w:bookmarkStart w:id="64" w:name="sources-of-variability-in-profiles-of-engagement"/>
      <w:bookmarkEnd w:id="64"/>
      <w:r>
        <w:t xml:space="preserve">Sources of variability in profiles of engagement</w:t>
      </w:r>
    </w:p>
    <w:p>
      <w:pPr>
        <w:pStyle w:val="FirstParagraph"/>
      </w:pPr>
      <w:r>
        <w:t xml:space="preserve">After identifying the</w:t>
      </w:r>
      <w:r>
        <w:t xml:space="preserve"> </w:t>
      </w:r>
      <w:r>
        <w:rPr>
          <w:i/>
        </w:rPr>
        <w:t xml:space="preserve">model one type, six profile solution</w:t>
      </w:r>
      <w:r>
        <w:t xml:space="preserve">, sources of variability in these profiles can be explored. These sources are useful as additional information in their own right for interpreting the profiles and in order to anticipate the effects of predictor variables at the youth, instructional episode, and program levels.</w:t>
      </w:r>
    </w:p>
    <w:p>
      <w:pPr>
        <w:pStyle w:val="BodyText"/>
      </w:pPr>
      <w:r>
        <w:t xml:space="preserve">First, the proportion of the variability at each of these levels is explored through the use of null, or variance components, in Table 8. Again,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 For all six profiles, the ICCs at the program level were very small, from 0.00 to 0.023. This suggests that very little variability can be explained simply by the program. For the instructional episode level, the ICCs were also very small, ranging from 0.004 to 0.011. Finally, the youth-level ICCs ranged from .099 to .427.</w:t>
      </w:r>
    </w:p>
    <w:p>
      <w:pPr>
        <w:pStyle w:val="BodyText"/>
      </w:pPr>
      <w:r>
        <w:t xml:space="preserve">Looking across these values, considering variability at the program, instructional episode, and youth levels, most of the explained variability in the responses is associated with youth; the program and instructional episode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instructional episode, or youth levels). This suggests that there is wide variation in students’ responses that may not be readily explained or predicted.</w:t>
      </w:r>
    </w:p>
    <w:p>
      <w:pPr>
        <w:pStyle w:val="BodyText"/>
      </w:pPr>
      <w:r>
        <w:t xml:space="preserve">Variability in terms of the number (and proportion) of profiles each youth reports can also be considered. These show that there is substantial variability between youth, in that, when youth, for example, report</w:t>
      </w:r>
      <w:r>
        <w:t xml:space="preserve"> </w:t>
      </w:r>
      <w:r>
        <w:rPr>
          <w:i/>
        </w:rPr>
        <w:t xml:space="preserve">Full</w:t>
      </w:r>
      <w:r>
        <w:t xml:space="preserve"> </w:t>
      </w:r>
      <w:r>
        <w:t xml:space="preserve">engagement to a greater extent than any other profile of engagement, these youth (on average) report this engagement in just over 60% of their responses. Their other responses were (on average) associated with a mixture of other profiles. Youth who report more</w:t>
      </w:r>
      <w:r>
        <w:t xml:space="preserve"> </w:t>
      </w:r>
      <w:r>
        <w:rPr>
          <w:i/>
        </w:rPr>
        <w:t xml:space="preserve">Full</w:t>
      </w:r>
      <w:r>
        <w:t xml:space="preserve"> </w:t>
      </w:r>
      <w:r>
        <w:t xml:space="preserve">engagement than any other profile of engagement are the most consistent in reporting one of the profiles of engagement, with youth reporting engagement associated with the</w:t>
      </w:r>
      <w:r>
        <w:t xml:space="preserve"> </w:t>
      </w:r>
      <w:r>
        <w:rPr>
          <w:i/>
        </w:rPr>
        <w:t xml:space="preserve">All moderate</w:t>
      </w:r>
      <w:r>
        <w:t xml:space="preserve"> </w:t>
      </w:r>
      <w:r>
        <w:t xml:space="preserve">profile doing so just less than 40% of the time (with other profiles being associated with the remainder of their responses).</w:t>
      </w:r>
    </w:p>
    <w:p>
      <w:pPr>
        <w:pStyle w:val="Heading2"/>
      </w:pPr>
      <w:bookmarkStart w:id="65" w:name="results-for-research-question-3-aspects-of-work-with-data-and-engagement"/>
      <w:bookmarkEnd w:id="65"/>
      <w:r>
        <w:t xml:space="preserve">Results for Research Question #3: Aspects of work with data and engagement</w:t>
      </w:r>
    </w:p>
    <w:p>
      <w:pPr>
        <w:pStyle w:val="FirstParagraph"/>
      </w:pPr>
      <w:r>
        <w:t xml:space="preserve">For this question, models with the aspects of work with data both separate from and together with the youth characteristics were fit. The models only with the aspects of work with data yielded very similar results (see the Appendix for more detail).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For each model, results, presented in Table 9, use each row to represent the output from one of the six different models. For example, the first row includes the results for the model with the probability of a response being associated with the</w:t>
      </w:r>
      <w:r>
        <w:t xml:space="preserve"> </w:t>
      </w:r>
      <w:r>
        <w:rPr>
          <w:i/>
        </w:rPr>
        <w:t xml:space="preserve">Only behavioral</w:t>
      </w:r>
      <w:r>
        <w:t xml:space="preserve"> </w:t>
      </w:r>
      <w:r>
        <w:t xml:space="preserve">profile as the dependent variable. The cells across the columns contain the coefficients (and their standard errors and (</w:t>
      </w:r>
      <w:r>
        <w:rPr>
          <w:i/>
        </w:rPr>
        <w:t xml:space="preserve">p</w:t>
      </w:r>
      <w:r>
        <w:t xml:space="preserve">-values)) for each of the predictor variables. Only the coefficients associated with the aspects of work with data are interpreted to provide results for this research question, as the youth characteristics are interpreted for research question #4 (as described earlier, the results were practically the same for these sets of predictors being included in either separate or the same model, so they are included in the same model). See the appendix for the results from the model with the aspects of work with data included as predictors in separate (without the youth characteristics) models. The only relations that were statistically significant were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 and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 When youth were either modeling or generating data, they were more likely to be fully engaged.</w:t>
      </w:r>
    </w:p>
    <w:p>
      <w:pPr>
        <w:pStyle w:val="BodyText"/>
      </w:pPr>
      <w:r>
        <w:t xml:space="preserve">Sensitivity analysis for these effects showed that the effect of modeling data on</w:t>
      </w:r>
      <w:r>
        <w:t xml:space="preserve"> </w:t>
      </w:r>
      <w:r>
        <w:rPr>
          <w:i/>
        </w:rPr>
        <w:t xml:space="preserve">full</w:t>
      </w:r>
      <w:r>
        <w:t xml:space="preserve"> </w:t>
      </w:r>
      <w:r>
        <w:t xml:space="preserve">engagement was more robust than that for generating data (also upon</w:t>
      </w:r>
      <w:r>
        <w:t xml:space="preserve"> </w:t>
      </w:r>
      <w:r>
        <w:rPr>
          <w:i/>
        </w:rPr>
        <w:t xml:space="preserve">full</w:t>
      </w:r>
      <w:r>
        <w:t xml:space="preserve"> </w:t>
      </w:r>
      <w:r>
        <w:t xml:space="preserve">engagement): 9.835% of the effect of modeling would have to be due to bias to invalidate the inference about its effect, whereas only 1.884% of the effect of generating data would need to be due to bias to invalidate the inference about its effect. Further explanations and investigations of these effects are the focus on research question #4 (in terms of the effect of youth characteristics) and are discussed in the next chapter.</w:t>
      </w:r>
    </w:p>
    <w:p>
      <w:pPr>
        <w:pStyle w:val="Heading2"/>
      </w:pPr>
      <w:bookmarkStart w:id="66" w:name="results-for-research-question-4-youth-characteristics-and-engagement"/>
      <w:bookmarkEnd w:id="66"/>
      <w:r>
        <w:t xml:space="preserve">Results for Research Question #4: Youth characteristics and engagement</w:t>
      </w:r>
    </w:p>
    <w:p>
      <w:pPr>
        <w:pStyle w:val="FirstParagraph"/>
      </w:pPr>
      <w:r>
        <w:t xml:space="preserve">For this question, models with the youth characteristics separate from and together with the aspects of work with data were fit. Like for the results for the previous question, the models only with the youth characteristics yielded very similar results; see the Appendix for the results from the model with the youth characteristics included as predictors in separate (without the aspects of work with data) models. Thus, the models presented in the previous section with both youth characteristics and the aspects of work (see the table above) with data are interpreted here.</w:t>
      </w:r>
    </w:p>
    <w:p>
      <w:pPr>
        <w:pStyle w:val="BodyText"/>
      </w:pPr>
      <w:r>
        <w:t xml:space="preserve">Like for the results for research question #3, each row is associated with the results for a single model. For example, the first row is again associated with the results for the model predicting the probability of the</w:t>
      </w:r>
      <w:r>
        <w:t xml:space="preserve"> </w:t>
      </w:r>
      <w:r>
        <w:rPr>
          <w:i/>
        </w:rPr>
        <w:t xml:space="preserve">Only behavioral</w:t>
      </w:r>
      <w:r>
        <w:t xml:space="preserve"> </w:t>
      </w:r>
      <w:r>
        <w:t xml:space="preserve">profile, with the cells across the columns containing the coefficients, their standard errors, and their</w:t>
      </w:r>
      <w:r>
        <w:t xml:space="preserve"> </w:t>
      </w:r>
      <w:r>
        <w:rPr>
          <w:i/>
        </w:rPr>
        <w:t xml:space="preserve">p</w:t>
      </w:r>
      <w:r>
        <w:t xml:space="preserve">-values. These results show that overall pre-interest is associated with the</w:t>
      </w:r>
      <w:r>
        <w:t xml:space="preserve"> </w:t>
      </w:r>
      <w:r>
        <w:rPr>
          <w:i/>
        </w:rPr>
        <w:t xml:space="preserve">Engaged and competent but not challenged</w:t>
      </w:r>
      <w:r>
        <w:t xml:space="preserve"> </w:t>
      </w:r>
      <w:r>
        <w:t xml:space="preserve">profile (</w:t>
      </w:r>
      <m:oMath>
        <m:r>
          <m:t>β</m:t>
        </m:r>
      </m:oMath>
      <w:r>
        <w:t xml:space="preserve"> </w:t>
      </w:r>
      <w:r>
        <w:t xml:space="preserve">= 0.039 (0.016), p = .009). For this effect, 17.879% would be needed to invalidate the inference, suggesting a moderately robust effect. The effect of being a female was not statistically significant but has a relation of 0.060 (0.037, p = .051) upon the probability of a response being associated with the</w:t>
      </w:r>
      <w:r>
        <w:t xml:space="preserve"> </w:t>
      </w:r>
      <w:r>
        <w:rPr>
          <w:i/>
        </w:rPr>
        <w:t xml:space="preserve">Universally low</w:t>
      </w:r>
      <w:r>
        <w:t xml:space="preserve"> </w:t>
      </w:r>
      <w:r>
        <w:t xml:space="preserve">profile. For the effect of gender upon the</w:t>
      </w:r>
      <w:r>
        <w:t xml:space="preserve"> </w:t>
      </w:r>
      <w:r>
        <w:rPr>
          <w:i/>
        </w:rPr>
        <w:t xml:space="preserve">Universally low</w:t>
      </w:r>
      <w:r>
        <w:t xml:space="preserve"> </w:t>
      </w:r>
      <w:r>
        <w:t xml:space="preserve">profile, 17.843% of the bias would need to be removed (or the effect would need to be larger by this percentage) to sustain the inference.</w:t>
      </w:r>
    </w:p>
    <w:p>
      <w:pPr>
        <w:pStyle w:val="BodyText"/>
      </w:pPr>
      <w:r>
        <w:t xml:space="preserve">These few, small findings are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However it appears that the youth level variables of interest to this study were not effective at explaining much of this variability. This is discussed further in the next chapter.</w:t>
      </w:r>
    </w:p>
    <w:p>
      <w:pPr>
        <w:pStyle w:val="Heading1"/>
      </w:pPr>
      <w:bookmarkStart w:id="67" w:name="discussion"/>
      <w:bookmarkEnd w:id="67"/>
      <w:r>
        <w:t xml:space="preserve">Discussion</w:t>
      </w:r>
    </w:p>
    <w:p>
      <w:pPr>
        <w:pStyle w:val="Heading2"/>
      </w:pPr>
      <w:bookmarkStart w:id="68" w:name="key-findings"/>
      <w:bookmarkEnd w:id="68"/>
      <w:r>
        <w:t xml:space="preserve">Key Findings</w:t>
      </w:r>
    </w:p>
    <w:p>
      <w:pPr>
        <w:pStyle w:val="Heading3"/>
      </w:pPr>
      <w:bookmarkStart w:id="69" w:name="key-findings-for-research-question-1-on-the-frequency-and-nature-of-work-with-data"/>
      <w:bookmarkEnd w:id="69"/>
      <w:r>
        <w:t xml:space="preserve">Key findings for research question #1 (on the frequency and nature of work with data)</w:t>
      </w:r>
    </w:p>
    <w:p>
      <w:pPr>
        <w:pStyle w:val="FirstParagraph"/>
      </w:pPr>
      <w:r>
        <w:t xml:space="preserve">In terms of the frequency and nature of work with data, work with data was found to be common in the summer STEM programs that made the context for this study. A coding frame synthesized from past research carried out in STEM domains on work with data was used to find that work with work with data occurred from around one-quarter of the time of the program’s time (making observations) to around one-half of the program’s time (generating data and communicating findings). Data modeling was, like making observations, less common, whereas asking questions and generating data, like communicating findings, were relatively more common. These findings are as expected based on past research (Lee &amp; Wilkerson, in press) and given the design and goals of summer STEM programs (Dabney et al., 2012; Elam et al., 2012), including those participating in the present study.</w:t>
      </w:r>
    </w:p>
    <w:p>
      <w:pPr>
        <w:pStyle w:val="BodyText"/>
      </w:pPr>
      <w:r>
        <w:t xml:space="preserve">In-depth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more consistent with general aspects of learner-centered, hands-on STEM activities, and not as consistent with work with data in particular. This suggests that while work with data is somewhat common, qualitative analysis is an important part of understanding youths’ engagement in work with data. More veridical forms of it are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70" w:name="key-findings-for-research-question-2-what-profiles-of-engagement-emerge"/>
      <w:bookmarkEnd w:id="70"/>
      <w:r>
        <w:t xml:space="preserve">Key findings for research question #2 (what profiles of engagement emerge)</w:t>
      </w:r>
    </w:p>
    <w:p>
      <w:pPr>
        <w:pStyle w:val="FirstParagraph"/>
      </w:pPr>
      <w:r>
        <w:t xml:space="preserve">Six profiles of engagement were identified. These were selected using a rigorous model selection approach and through use of a sophisticated modeling approach (LPA) and statistically software developed for this analysis (tidyLPA).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71" w:name="key-findings-for-research-question-3-how-work-with-data-relates-to-engagement"/>
      <w:bookmarkEnd w:id="71"/>
      <w:r>
        <w:t xml:space="preserve">Key findings for research question #3 (how work with data relates to engagement)</w:t>
      </w:r>
    </w:p>
    <w:p>
      <w:pPr>
        <w:pStyle w:val="FirstParagraph"/>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instructional episode levels were explored; use of cross-classified mixed effects models were particularly helpful for this goal. The amount of variability that could be explained at the program and instructional episode level was small (no larger for any profile than .023, and as low as .00 at the program level and .004 at the instructional episode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(instructional episode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instructional episode,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72" w:name="key-findings-for-research-question-4-how-youth-characteristics-relate-to-engagement"/>
      <w:bookmarkEnd w:id="72"/>
      <w:r>
        <w:t xml:space="preserve">Key findings for research question #4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73" w:name="limitations-of-the-study-and-recommendations-for-future-research"/>
      <w:bookmarkEnd w:id="73"/>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74" w:name="implications-for-practice"/>
      <w:bookmarkEnd w:id="74"/>
      <w:r>
        <w:t xml:space="preserve">Implications for Practice</w:t>
      </w:r>
    </w:p>
    <w:p>
      <w:pPr>
        <w:pStyle w:val="Heading3"/>
      </w:pPr>
      <w:bookmarkStart w:id="75" w:name="engage-youth-in-key-aspects-of-work-with-data"/>
      <w:bookmarkEnd w:id="75"/>
      <w:r>
        <w:t xml:space="preserve">Engage youth in key aspects of work with data</w:t>
      </w:r>
    </w:p>
    <w:p>
      <w:pPr>
        <w:pStyle w:val="FirstParagraph"/>
      </w:pPr>
      <w:r>
        <w:t xml:space="preserve">While limited evidence, this study suggests that generating and modeling data 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youth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3"/>
      </w:pPr>
      <w:bookmarkStart w:id="76" w:name="leverage-the-affordances-of-summer-stem-and-other-stem-enrichment-programs"/>
      <w:bookmarkEnd w:id="76"/>
      <w:r>
        <w:t xml:space="preserve">Leverage the affordances of summer STEM and other STEM enrichment programs</w:t>
      </w:r>
    </w:p>
    <w:p>
      <w:pPr>
        <w:pStyle w:val="FirstParagraph"/>
      </w:pPr>
      <w:r>
        <w:t xml:space="preserve">Another implication for practice concerns the affordances (and constraints) of summer STEM and other STEM enrichment programs. One affordance of these programs relevant to these informal and to K-12 learning environments concerns selecting activities that are engaging to youth. 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3"/>
      </w:pPr>
      <w:bookmarkStart w:id="77" w:name="consider-the-constraints-of-summer-stem-and-other-stem-enrichment-programs"/>
      <w:bookmarkEnd w:id="77"/>
      <w:r>
        <w:t xml:space="preserve">Consider the constraints of summer STEM and other STEM enrichment programs</w:t>
      </w:r>
    </w:p>
    <w:p>
      <w:pPr>
        <w:pStyle w:val="FirstParagraph"/>
      </w:pPr>
      <w:r>
        <w:t xml:space="preserve">There are also constraints to summer STEM and other STEM enrichment programs. For example, 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Another constraint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2"/>
      </w:pPr>
      <w:bookmarkStart w:id="78" w:name="conclusion"/>
      <w:bookmarkEnd w:id="78"/>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79" w:name="references"/>
      <w:bookmarkEnd w:id="79"/>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80">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1">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82">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3">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4">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5">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6">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7">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8">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89">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90">
        <w:r>
          <w:rPr>
            <w:rStyle w:val="Hyperlink"/>
          </w:rPr>
          <w:t xml:space="preserve">doi:10.1007/s10648-016-9358-2</w:t>
        </w:r>
      </w:hyperlink>
    </w:p>
    <w:p>
      <w:pPr>
        <w:pStyle w:val="Heading1"/>
      </w:pPr>
      <w:bookmarkStart w:id="91" w:name="appendix"/>
      <w:bookmarkEnd w:id="91"/>
      <w:r>
        <w:t xml:space="preserve">Appendix</w:t>
      </w:r>
    </w:p>
    <w:p>
      <w:pPr>
        <w:pStyle w:val="Heading2"/>
      </w:pPr>
      <w:bookmarkStart w:id="92" w:name="appendix-a-stem-pqa-alignment"/>
      <w:bookmarkEnd w:id="92"/>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3" w:name="appendix-b-program-descriptions"/>
      <w:bookmarkEnd w:id="93"/>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94" w:name="appendix-c-work-with-data-by-program"/>
      <w:bookmarkEnd w:id="94"/>
      <w:r>
        <w:t xml:space="preserve">Appendix C: Work with data by program</w:t>
      </w:r>
    </w:p>
    <w:p>
      <w:pPr>
        <w:pStyle w:val="TableCaption"/>
      </w:pPr>
      <w:r>
        <w:t xml:space="preserve">Table 8 Proportion of signals for which each of the aspects of work with data was present</w:t>
      </w:r>
    </w:p>
    <w:tbl>
      <w:tblPr>
        <w:tblStyle w:val="TableNormal"/>
        <w:tblW w:type="pct" w:w="0.0"/>
        <w:tblLook w:firstRow="1"/>
        <w:tblCaption w:val="Table 8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8 Proportion of signals for which each of the aspects of work with data was present by program</w:t>
      </w:r>
    </w:p>
    <w:tbl>
      <w:tblPr>
        <w:tblStyle w:val="TableNormal"/>
        <w:tblW w:type="pct" w:w="0.0"/>
        <w:tblLook w:firstRow="1"/>
        <w:tblCaption w:val="Table 8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95" w:name="appendix-d-model-specifications-details"/>
      <w:bookmarkEnd w:id="95"/>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6" w:name="varying-means-equal-variances-and-covariances-fixed-to-0-model-1"/>
      <w:bookmarkEnd w:id="96"/>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7" w:name="varying-means-equal-variances-and-equal-covariances-model-2"/>
      <w:bookmarkEnd w:id="97"/>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8" w:name="varying-means-varying-variances-and-covariances-fixed-to-0-model-3"/>
      <w:bookmarkEnd w:id="98"/>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99" w:name="varying-means-varying-variances-and-equal-covariances-model-4"/>
      <w:bookmarkEnd w:id="99"/>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0" w:name="varying-means-equal-variances-and-varying-covariances-model-5"/>
      <w:bookmarkEnd w:id="100"/>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1" w:name="varying-means-varying-variances-and-varying-covariances-model-6"/>
      <w:bookmarkEnd w:id="101"/>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2" w:name="appendix-e-additional-details-on-the-model-selection-process"/>
      <w:bookmarkEnd w:id="102"/>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5" w:name="appendix-f-alternate-model-selected-model-type-1-seven-profile-solution"/>
      <w:bookmarkEnd w:id="105"/>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6"/>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7"/>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3443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34be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b7e73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2018-05-16T03:50:47Z</dcterms:created>
  <dcterms:modified xsi:type="dcterms:W3CDTF">2018-05-16T03:50:47Z</dcterms:modified>
</cp:coreProperties>
</file>