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2018-04-25</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work with data in educational contexts (Lee &amp; Wilkerson, 2018; Wild &amp; Pfannkuch, 1999). Aspects of work with data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key data analytic processes, particularly those related to generating measures of phenomena and creating data models, using these as anchoring practices for other aspects of work with data, like posing questions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Learners’ experiences, considered from the perspective of engagement theory, consist not only of cognitive processes, but also behavioral and even affective dimensions, too (Fredricks, Blumenfeld, &amp; Paris, 2004; Skinner &amp; Pitzer, 2012). When learners’ experiences are considered in terms of their engagement, we can hypothesize that learners who are engaged in high-quality activities related to work with data will be more or less cognitively, behaviorally, and affectively engaged. This engagement is a key outcome in its own right and may be an antecedent of changes in other outcomes, such as students’ intention to pursue an area of study or career in a STEM domain.</w:t>
      </w:r>
    </w:p>
    <w:p>
      <w:pPr>
        <w:pStyle w:val="BodyText"/>
      </w:pPr>
      <w:r>
        <w:t xml:space="preserve">While scholars have looked at cognitive outcomes and learners’ capability to participate in specific, learners’ experiences of working with data has not been the focus of past research. Thus, the present study sets out to understand to how learners’ experiences are impacted by work with data. In this study, I use contemporary engagement theory as a framework to understand learners’ experience. 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Heddy, &amp; Lombardi, 2015; Skinner &amp; Pitzer, 2012). In recognition of its dynamic nature, some engagement scholars have usefully drawn upon flow theory (Csikszentmihalyi, 1990, 1997) to identify not only dimensions of engagement, but also other, subjective, characteristics that effect engagement. This past research, drawn upon in the present study, has considered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engaging in work with data..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Work with data is considered in terms of specific aspects, such as asking questions and generating and modeling data, identified from past research. Engagement in work with data is explored in the context of outside-of-school STEM enrichment programs carried out during the summer.</w:t>
      </w:r>
    </w:p>
    <w:p>
      <w:pPr>
        <w:pStyle w:val="Heading1"/>
      </w:pPr>
      <w:bookmarkStart w:id="22" w:name="literature-review"/>
      <w:bookmarkEnd w:id="22"/>
      <w:r>
        <w:t xml:space="preserve">Literature Review</w:t>
      </w:r>
    </w:p>
    <w:p>
      <w:pPr>
        <w:pStyle w:val="FirstParagraph"/>
      </w:pPr>
      <w:r>
        <w:t xml:space="preserve">I define work with data as a key practice across STEM domains. I also present a multi-dimensional approach to understanding engagement that considers engagement and the two influencers of engagement (perceptions of competence and challenge) in order to establish the conceptual framework used in the present study.</w:t>
      </w:r>
    </w:p>
    <w:p>
      <w:pPr>
        <w:pStyle w:val="Heading2"/>
      </w:pPr>
      <w:bookmarkStart w:id="23" w:name="defining-work-with-data"/>
      <w:bookmarkEnd w:id="23"/>
      <w:r>
        <w:t xml:space="preserve">Defining Work With Data</w:t>
      </w:r>
    </w:p>
    <w:p>
      <w:pPr>
        <w:pStyle w:val="FirstParagraph"/>
      </w:pPr>
      <w:r>
        <w:t xml:space="preserve">Scholars have conceived of working with data in different ways, but some core components have emerged.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w:t>
      </w:r>
    </w:p>
    <w:p>
      <w:pPr>
        <w:pStyle w:val="Compact"/>
        <w:numPr>
          <w:numId w:val="1001"/>
          <w:ilvl w:val="0"/>
        </w:numPr>
      </w:pPr>
      <w:r>
        <w:t xml:space="preserve">Creating data through constructing measures and collecting data</w:t>
      </w:r>
    </w:p>
    <w:p>
      <w:pPr>
        <w:pStyle w:val="Compact"/>
        <w:numPr>
          <w:numId w:val="1001"/>
          <w:ilvl w:val="0"/>
        </w:numPr>
      </w:pPr>
      <w:r>
        <w:t xml:space="preserve">Accounting for variability in data through models, or data modeling (English, 2012; Hancock et al., 1992; Lehrer &amp; Romberg, 1996; Lesh et al., 2008)</w:t>
      </w:r>
    </w:p>
    <w:p>
      <w:pPr>
        <w:pStyle w:val="FirstParagraph"/>
      </w:pPr>
      <w:r>
        <w:t xml:space="preserve">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In the present studies, these different approaches to working with data are distilled into five key aspects (see Figure 1) that guide the conceptualization of this study:</w:t>
      </w:r>
    </w:p>
    <w:p>
      <w:pPr>
        <w:pStyle w:val="Compact"/>
        <w:numPr>
          <w:numId w:val="1002"/>
          <w:ilvl w:val="0"/>
        </w:numPr>
      </w:pPr>
      <w:r>
        <w:t xml:space="preserve">Asking questions: Generating questions that can be answered with empirical evidence</w:t>
      </w:r>
    </w:p>
    <w:p>
      <w:pPr>
        <w:pStyle w:val="Compact"/>
        <w:numPr>
          <w:numId w:val="1002"/>
          <w:ilvl w:val="0"/>
        </w:numPr>
      </w:pPr>
      <w:r>
        <w:t xml:space="preserve">Making observations: Watching phenomena and noticing what is happening with respect to the phenomena or problem being investigated</w:t>
      </w:r>
    </w:p>
    <w:p>
      <w:pPr>
        <w:pStyle w:val="Compact"/>
        <w:numPr>
          <w:numId w:val="1002"/>
          <w:ilvl w:val="0"/>
        </w:numPr>
      </w:pPr>
      <w:r>
        <w:t xml:space="preserve">Generating data: The process of figuring out how or why to inscribe an observation as data about a phenomena, as well as generating coding frames or tools for measuring</w:t>
      </w:r>
    </w:p>
    <w:p>
      <w:pPr>
        <w:pStyle w:val="Compact"/>
        <w:numPr>
          <w:numId w:val="1002"/>
          <w:ilvl w:val="0"/>
        </w:numPr>
      </w:pPr>
      <w:r>
        <w:t xml:space="preserve">Data modeling: Includes simple statistics, such as the mean and variance, as well as more complicated models, such as linear models and extensions of the linear model</w:t>
      </w:r>
    </w:p>
    <w:p>
      <w:pPr>
        <w:pStyle w:val="Compact"/>
        <w:numPr>
          <w:numId w:val="1002"/>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cycle because not only does each part follow that before it, but also because the overall process is iterative: interpreting findings commonly leads to new questions and subsequent engagement in work with data.</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I will discuss later, these factors might have the potential to impact engagement through the proximal conditions of challenge and competence.</w:t>
      </w:r>
    </w:p>
    <w:p>
      <w:pPr>
        <w:pStyle w:val="Heading2"/>
      </w:pPr>
      <w:bookmarkStart w:id="25" w:name="the-role-of-work-with-data-in-the-curriculum"/>
      <w:bookmarkEnd w:id="25"/>
      <w:r>
        <w:t xml:space="preserve">The role of work with data in the curriculum</w:t>
      </w:r>
    </w:p>
    <w:p>
      <w:pPr>
        <w:pStyle w:val="FirstParagraph"/>
      </w:pPr>
      <w:r>
        <w:t xml:space="preserve">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is already known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Research related to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p>
    <w:p>
      <w:pPr>
        <w:pStyle w:val="Compact"/>
        <w:numPr>
          <w:numId w:val="1003"/>
          <w:ilvl w:val="0"/>
        </w:numPr>
      </w:pPr>
      <w:r>
        <w:t xml:space="preserve">Specific cognitive outcomes</w:t>
      </w:r>
    </w:p>
    <w:p>
      <w:pPr>
        <w:pStyle w:val="Compact"/>
        <w:numPr>
          <w:numId w:val="1003"/>
          <w:ilvl w:val="0"/>
        </w:numPr>
      </w:pPr>
      <w:r>
        <w:t xml:space="preserve">Learners’ capability to participate in each of the aspects of work with data</w:t>
      </w:r>
    </w:p>
    <w:p>
      <w:pPr>
        <w:pStyle w:val="Compact"/>
        <w:numPr>
          <w:numId w:val="1003"/>
          <w:ilvl w:val="0"/>
        </w:numPr>
      </w:pPr>
      <w:r>
        <w:t xml:space="preserve">Strategies to address key challenges of engaging in each of the aspects of work with data</w:t>
      </w:r>
    </w:p>
    <w:p>
      <w:pPr>
        <w:pStyle w:val="FirstParagraph"/>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27" w:name="engagement-in-stem-domains"/>
      <w:bookmarkEnd w:id="27"/>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 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8" w:name="using-esm-to-study-the-dynamics-of-engagement"/>
      <w:bookmarkEnd w:id="28"/>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has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29" w:name="a-person-oriented-approach-to-momentary-engagement"/>
      <w:bookmarkEnd w:id="29"/>
      <w:r>
        <w:t xml:space="preserve">A Person-Oriented Approach to Momentary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momentary engagement. In the context of the present study, these profiles seek to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1" w:name="conceptual-framework-and-research-questions"/>
      <w:bookmarkEnd w:id="31"/>
      <w:r>
        <w:t xml:space="preserve">Conceptual Framework and Research Questions</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4"/>
          <w:ilvl w:val="0"/>
        </w:numPr>
      </w:pPr>
      <w:r>
        <w:t xml:space="preserve">Asking questions or identifying problems</w:t>
      </w:r>
    </w:p>
    <w:p>
      <w:pPr>
        <w:pStyle w:val="Compact"/>
        <w:numPr>
          <w:numId w:val="1004"/>
          <w:ilvl w:val="0"/>
        </w:numPr>
      </w:pPr>
      <w:r>
        <w:t xml:space="preserve">Making observations</w:t>
      </w:r>
    </w:p>
    <w:p>
      <w:pPr>
        <w:pStyle w:val="Compact"/>
        <w:numPr>
          <w:numId w:val="1004"/>
          <w:ilvl w:val="0"/>
        </w:numPr>
      </w:pPr>
      <w:r>
        <w:t xml:space="preserve">Generating data</w:t>
      </w:r>
    </w:p>
    <w:p>
      <w:pPr>
        <w:pStyle w:val="Compact"/>
        <w:numPr>
          <w:numId w:val="1004"/>
          <w:ilvl w:val="0"/>
        </w:numPr>
      </w:pPr>
      <w:r>
        <w:t xml:space="preserve">Data modeling</w:t>
      </w:r>
    </w:p>
    <w:p>
      <w:pPr>
        <w:pStyle w:val="Compact"/>
        <w:numPr>
          <w:numId w:val="1004"/>
          <w:ilvl w:val="0"/>
        </w:numPr>
      </w:pPr>
      <w:r>
        <w:t xml:space="preserve">Interpreting and communicating findings</w:t>
      </w:r>
    </w:p>
    <w:p>
      <w:pPr>
        <w:pStyle w:val="FirstParagraph"/>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BodyText"/>
      </w:pPr>
      <w:r>
        <w:t xml:space="preserve">The four research questions are as follows:</w:t>
      </w:r>
    </w:p>
    <w:p>
      <w:pPr>
        <w:pStyle w:val="Compact"/>
        <w:numPr>
          <w:numId w:val="1005"/>
          <w:ilvl w:val="0"/>
        </w:numPr>
      </w:pPr>
      <w:r>
        <w:t xml:space="preserve">What is the frequency and nature of opportunities for youth to engage in each of the five aspects of work with data in summer STEM programs?</w:t>
      </w:r>
    </w:p>
    <w:p>
      <w:pPr>
        <w:pStyle w:val="Compact"/>
        <w:numPr>
          <w:numId w:val="1005"/>
          <w:ilvl w:val="0"/>
        </w:numPr>
      </w:pPr>
      <w:r>
        <w:t xml:space="preserve">What profiles of youth engagement and its conditions emerge from experiential data collected in the programs?</w:t>
      </w:r>
    </w:p>
    <w:p>
      <w:pPr>
        <w:pStyle w:val="Compact"/>
        <w:numPr>
          <w:numId w:val="1005"/>
          <w:ilvl w:val="0"/>
        </w:numPr>
      </w:pPr>
      <w:r>
        <w:t xml:space="preserve">How do data practices relate to youth engagement in the programs?</w:t>
      </w:r>
    </w:p>
    <w:p>
      <w:pPr>
        <w:pStyle w:val="Compact"/>
        <w:numPr>
          <w:numId w:val="1005"/>
          <w:ilvl w:val="0"/>
        </w:numPr>
      </w:pPr>
      <w:r>
        <w:t xml:space="preserve">How do youth characteristics relate to their engagement?</w:t>
      </w:r>
    </w:p>
    <w:p>
      <w:pPr>
        <w:pStyle w:val="Heading1"/>
      </w:pPr>
      <w:bookmarkStart w:id="33" w:name="method"/>
      <w:bookmarkEnd w:id="33"/>
      <w:r>
        <w:t xml:space="preserve">Method</w:t>
      </w:r>
    </w:p>
    <w:p>
      <w:pPr>
        <w:pStyle w:val="FirstParagraph"/>
      </w:pPr>
      <w:r>
        <w:t xml:space="preserve">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2"/>
      </w:pPr>
      <w:bookmarkStart w:id="34" w:name="participants"/>
      <w:bookmarkEnd w:id="34"/>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5" w:name="context"/>
      <w:bookmarkEnd w:id="35"/>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6" w:name="procedure"/>
      <w:bookmarkEnd w:id="36"/>
      <w:r>
        <w:t xml:space="preserve">Procedure</w:t>
      </w:r>
    </w:p>
    <w:p>
      <w:pPr>
        <w:pStyle w:val="FirstParagraph"/>
      </w:pPr>
      <w:r>
        <w:t xml:space="preserve">Youth completed a pre-survey before the program. Youth also completed pre-course surveys of their experience in STEM, intention to pursue a STEM major or career, and questions for other motivation and engagement-related measures. At the beginning of the programs, youth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also recorded detailed field notes on the nature of program activities. So that measures corresponding to the video and ESM data can be matched, videos include a signal from the video-recorder identifying the ESM signal to which youth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8" w:name="esm-measures-of-learners-engagement-and-its-conditions-for-the-profiles"/>
      <w:bookmarkEnd w:id="38"/>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
      <w:bookmarkEnd w:id="39"/>
      <w:r>
        <w:t xml:space="preserve">Survey measures of pre-interest</w:t>
      </w:r>
    </w:p>
    <w:p>
      <w:pPr>
        <w:pStyle w:val="FirstParagraph"/>
      </w:pPr>
      <w:r>
        <w:t xml:space="preserve">Measures of youths’ pre-interest are used as youth-level influencers of PECs.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codes-from-video-recordings-for-work-with-data"/>
      <w:bookmarkEnd w:id="40"/>
      <w:r>
        <w:t xml:space="preserve">Codes from video-recordings for work with data</w:t>
      </w:r>
    </w:p>
    <w:p>
      <w:pPr>
        <w:pStyle w:val="FirstParagraph"/>
      </w:pPr>
      <w:r>
        <w:t xml:space="preserve">Different aspects of work with data are identified from video-recordings with the use of a coding frame with five for each of the aspects of work with data. These codes are developed from the STEM-Program Quality Assessment (STEM-PQA; Forum for Youth Investment, 2012), an assessment of quality programming in after school programs. For the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overall PQA measure used the STEM-PQA scored one video segment, for which there were no disagreements on scoring across the four raters on any items. If any of the raters encountered into a situation that was difficult to score, they would all discuss the issue by telephone or more often by email after viewing the video in question and reach a consensus on how to score the specific item. Programs were divided up among all of the raters, so raters coded some of the videos for all of the programs.</w:t>
      </w:r>
    </w:p>
    <w:p>
      <w:pPr>
        <w:pStyle w:val="BodyText"/>
      </w:pPr>
      <w:r>
        <w:t xml:space="preserve">Specific details on how the measure aligns with the original STEM-PQA on which this measure is based are presented in the appendix.</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youth, program, and moment is examined.</w:t>
      </w:r>
    </w:p>
    <w:p>
      <w:pPr>
        <w:pStyle w:val="Heading3"/>
      </w:pPr>
      <w:bookmarkStart w:id="44" w:name="analysis-for-research-question-1"/>
      <w:bookmarkEnd w:id="44"/>
      <w:r>
        <w:t xml:space="preserve">Analysis for Research Question #1</w:t>
      </w:r>
    </w:p>
    <w:p>
      <w:pPr>
        <w:pStyle w:val="FirstParagraph"/>
      </w:pPr>
      <w:r>
        <w:t xml:space="preserve">First, the frequency of the codes for work with data (and the composite code) are calculated. Then, to present a qualitative description, all of the segments were coded, moments associated with specific codes were identified and used to provide examples for each of the aspects of work with data.</w:t>
      </w:r>
    </w:p>
    <w:p>
      <w:pPr>
        <w:pStyle w:val="BodyText"/>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work with data and b) other aspects of the instructional context that impacts student work with data.</w:t>
      </w:r>
    </w:p>
    <w:p>
      <w:pPr>
        <w:pStyle w:val="Heading3"/>
      </w:pPr>
      <w:bookmarkStart w:id="45" w:name="analysis-for-research-question-2"/>
      <w:bookmarkEnd w:id="45"/>
      <w:r>
        <w:t xml:space="preserve">Analysis for Research Question #2</w:t>
      </w:r>
    </w:p>
    <w:p>
      <w:pPr>
        <w:pStyle w:val="Heading4"/>
      </w:pPr>
      <w:bookmarkStart w:id="46" w:name="background-on-creating-profiles-using-latent-profile-analysis-lpa"/>
      <w:bookmarkEnd w:id="46"/>
      <w:r>
        <w:t xml:space="preserve">Background on creating profiles using Latent Profile Analysis (LPA)</w:t>
      </w:r>
    </w:p>
    <w:p>
      <w:pPr>
        <w:pStyle w:val="FirstParagraph"/>
      </w:pPr>
      <w:r>
        <w:t xml:space="preserve">This question addresses what profiles emerged from the data. This section first provides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BodyText"/>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Heading4"/>
      </w:pPr>
      <w:bookmarkStart w:id="47" w:name="selecting-a-model-on-the-basis-of-fit-indices-and-other-techniques"/>
      <w:bookmarkEnd w:id="47"/>
      <w:r>
        <w:t xml:space="preserve">Selecting a model on the basis of fit indices and other techniques</w:t>
      </w:r>
    </w:p>
    <w:p>
      <w:pPr>
        <w:pStyle w:val="FirstParagraph"/>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BodyText"/>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Muthen,dfs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BodyText"/>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Heading3"/>
      </w:pPr>
      <w:bookmarkStart w:id="48" w:name="statistical-software-developed"/>
      <w:bookmarkEnd w:id="48"/>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Steingut, van Lissa, &amp; Anderson,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49" w:name="analysis-for-research-question-3"/>
      <w:bookmarkEnd w:id="49"/>
      <w:r>
        <w:t xml:space="preserve">Analysis for Research Question #3</w:t>
      </w:r>
    </w:p>
    <w:p>
      <w:pPr>
        <w:pStyle w:val="FirstParagraph"/>
      </w:pPr>
      <w:r>
        <w:t xml:space="preserve">Broadly, this question is focused on how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work with data are interpreted and presented.</w:t>
      </w:r>
    </w:p>
    <w:p>
      <w:pPr>
        <w:pStyle w:val="BodyText"/>
      </w:pPr>
      <w:r>
        <w:t xml:space="preserve">To answer this question, on how well the aspects of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50" w:name="analysis-for-research-question-4"/>
      <w:bookmarkEnd w:id="50"/>
      <w:r>
        <w:t xml:space="preserve">Analysis for Research Question #4</w:t>
      </w:r>
    </w:p>
    <w:p>
      <w:pPr>
        <w:pStyle w:val="FirstParagraph"/>
      </w:pPr>
      <w:r>
        <w:t xml:space="preserve">Research question #4 is focused on how the relationships of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BodyText"/>
      </w:pPr>
      <w:r>
        <w:t xml:space="preserve">To answer this question, on how youth characteristics impacts relationships between work with data and the PECs, the direct effects of pre-program interest in STEM, gender, and under-represented minority [URM] status, without other predictor variables, were explored. Then, models with these variables and the composite variable for work with data was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2"/>
      </w:pPr>
      <w:bookmarkStart w:id="51" w:name="sensitivity-analysis"/>
      <w:bookmarkEnd w:id="51"/>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52" w:name="preliminary-results"/>
      <w:bookmarkEnd w:id="52"/>
      <w:r>
        <w:t xml:space="preserve">Preliminary results</w:t>
      </w:r>
    </w:p>
    <w:p>
      <w:pPr>
        <w:pStyle w:val="FirstParagraph"/>
      </w:pPr>
      <w:r>
        <w:t xml:space="preserve">I present results associated with the preliminary analysis and the four research questions.</w:t>
      </w:r>
    </w:p>
    <w:p>
      <w:pPr>
        <w:pStyle w:val="Heading2"/>
      </w:pPr>
      <w:bookmarkStart w:id="53" w:name="results-from-the-preliminary-analysis"/>
      <w:bookmarkEnd w:id="53"/>
      <w:r>
        <w:t xml:space="preserve">Results from the preliminary analysis</w:t>
      </w:r>
    </w:p>
    <w:p>
      <w:pPr>
        <w:pStyle w:val="Heading3"/>
      </w:pPr>
      <w:bookmarkStart w:id="54" w:name="descriptive-statistics-for-study-variables"/>
      <w:bookmarkEnd w:id="54"/>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work with data was constructed as the sum of each of the five dichotomous variables that represented the aspects of work with data; thus, its possible values ranged between zero and five.</w:t>
      </w:r>
    </w:p>
    <w:p>
      <w:pPr>
        <w:pStyle w:val="Heading3"/>
      </w:pPr>
      <w:bookmarkStart w:id="55" w:name="correlations-among-study-variables"/>
      <w:bookmarkEnd w:id="55"/>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Heading1"/>
      </w:pPr>
      <w:bookmarkStart w:id="56" w:name="results-for-research-question-1"/>
      <w:bookmarkEnd w:id="56"/>
      <w:r>
        <w:t xml:space="preserve">Results for Research Question #1</w:t>
      </w:r>
    </w:p>
    <w:p>
      <w:pPr>
        <w:pStyle w:val="Heading3"/>
      </w:pPr>
      <w:bookmarkStart w:id="57" w:name="frequency-of-work-with-data"/>
      <w:bookmarkEnd w:id="57"/>
      <w:r>
        <w:t xml:space="preserve">Frequency of work with data</w:t>
      </w:r>
    </w:p>
    <w:p>
      <w:pPr>
        <w:pStyle w:val="FirstParagraph"/>
      </w:pPr>
      <w:r>
        <w:t xml:space="preserve">From the coding with the STEM-PQA, work with data appears common. Out of the 248 segments, 236 were coded for work with data; for the other, not-coded segments, issues with the video-recordings were the primary source of the missing data; in these cases, youth may have still replied to signals, but it was not possible to code for work with data associated with these responses.</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BodyText"/>
      </w:pPr>
      <w:r>
        <w:t xml:space="preserve">The composite measure, created on the basis of summing the codes for the five aspects of work with data, has a minimum value of 0 and a maximum of 5. Its mean is 1.86 (</w:t>
      </w:r>
      <w:r>
        <w:rPr>
          <w:i/>
        </w:rPr>
        <w:t xml:space="preserve">SD</w:t>
      </w:r>
      <w:r>
        <w:t xml:space="preserve"> </w:t>
      </w:r>
      <w:r>
        <w:t xml:space="preserve">= 1.61). This indicates that, on average, youth were engaged in 1.86 aspects of the work with data during the program.</w:t>
      </w:r>
    </w:p>
    <w:p>
      <w:pPr>
        <w:pStyle w:val="BodyText"/>
      </w:pPr>
      <w:r>
        <w:t xml:space="preserve">We can also examine the breakdown by program.</w:t>
      </w:r>
    </w:p>
    <w:p>
      <w:pPr>
        <w:pStyle w:val="TableCaption"/>
      </w:pPr>
      <w:r>
        <w:t xml:space="preserve">Table 6 Proportion of signals for which each of the aspects of work with data was present by program</w:t>
      </w:r>
    </w:p>
    <w:tbl>
      <w:tblPr>
        <w:tblStyle w:val="TableNormal"/>
        <w:tblW w:type="pct" w:w="0.0"/>
        <w:tblLook w:firstRow="1"/>
        <w:tblCaption w:val="Table 6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program_name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total_segments</w:t>
            </w:r>
          </w:p>
        </w:tc>
      </w:tr>
      <w:tr>
        <w:tc>
          <w:p>
            <w:pPr>
              <w:pStyle w:val="Compact"/>
              <w:jc w:val="left"/>
            </w:pPr>
            <w:r>
              <w:t xml:space="preserve">Island Explorers</w:t>
            </w:r>
          </w:p>
        </w:tc>
        <w:tc>
          <w:p>
            <w:pPr>
              <w:pStyle w:val="Compact"/>
              <w:jc w:val="right"/>
            </w:pPr>
            <w:r>
              <w:t xml:space="preserve">5</w:t>
            </w:r>
          </w:p>
        </w:tc>
        <w:tc>
          <w:p>
            <w:pPr>
              <w:pStyle w:val="Compact"/>
              <w:jc w:val="right"/>
            </w:pPr>
            <w:r>
              <w:t xml:space="preserve">6</w:t>
            </w:r>
          </w:p>
        </w:tc>
        <w:tc>
          <w:p>
            <w:pPr>
              <w:pStyle w:val="Compact"/>
              <w:jc w:val="right"/>
            </w:pPr>
            <w:r>
              <w:t xml:space="preserve">7</w:t>
            </w:r>
          </w:p>
        </w:tc>
        <w:tc>
          <w:p>
            <w:pPr>
              <w:pStyle w:val="Compact"/>
              <w:jc w:val="right"/>
            </w:pPr>
            <w:r>
              <w:t xml:space="preserve">4</w:t>
            </w:r>
          </w:p>
        </w:tc>
        <w:tc>
          <w:p>
            <w:pPr>
              <w:pStyle w:val="Compact"/>
              <w:jc w:val="right"/>
            </w:pPr>
            <w:r>
              <w:t xml:space="preserve">6</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15</w:t>
            </w:r>
          </w:p>
        </w:tc>
        <w:tc>
          <w:p>
            <w:pPr>
              <w:pStyle w:val="Compact"/>
              <w:jc w:val="right"/>
            </w:pPr>
            <w:r>
              <w:t xml:space="preserve">10</w:t>
            </w:r>
          </w:p>
        </w:tc>
        <w:tc>
          <w:p>
            <w:pPr>
              <w:pStyle w:val="Compact"/>
              <w:jc w:val="right"/>
            </w:pPr>
            <w:r>
              <w:t xml:space="preserve">12</w:t>
            </w:r>
          </w:p>
        </w:tc>
        <w:tc>
          <w:p>
            <w:pPr>
              <w:pStyle w:val="Compact"/>
              <w:jc w:val="right"/>
            </w:pPr>
            <w:r>
              <w:t xml:space="preserve">7</w:t>
            </w:r>
          </w:p>
        </w:tc>
        <w:tc>
          <w:p>
            <w:pPr>
              <w:pStyle w:val="Compact"/>
              <w:jc w:val="right"/>
            </w:pPr>
            <w:r>
              <w:t xml:space="preserve">12</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6</w:t>
            </w:r>
          </w:p>
        </w:tc>
        <w:tc>
          <w:p>
            <w:pPr>
              <w:pStyle w:val="Compact"/>
              <w:jc w:val="right"/>
            </w:pPr>
            <w:r>
              <w:t xml:space="preserve">4</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13</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18</w:t>
            </w:r>
          </w:p>
        </w:tc>
        <w:tc>
          <w:p>
            <w:pPr>
              <w:pStyle w:val="Compact"/>
              <w:jc w:val="right"/>
            </w:pPr>
            <w:r>
              <w:t xml:space="preserve">10</w:t>
            </w:r>
          </w:p>
        </w:tc>
        <w:tc>
          <w:p>
            <w:pPr>
              <w:pStyle w:val="Compact"/>
              <w:jc w:val="right"/>
            </w:pPr>
            <w:r>
              <w:t xml:space="preserve">22</w:t>
            </w:r>
          </w:p>
        </w:tc>
        <w:tc>
          <w:p>
            <w:pPr>
              <w:pStyle w:val="Compact"/>
              <w:jc w:val="right"/>
            </w:pPr>
            <w:r>
              <w:t xml:space="preserve">15</w:t>
            </w:r>
          </w:p>
        </w:tc>
        <w:tc>
          <w:p>
            <w:pPr>
              <w:pStyle w:val="Compact"/>
              <w:jc w:val="right"/>
            </w:pPr>
            <w:r>
              <w:t xml:space="preserve">18</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4</w:t>
            </w:r>
          </w:p>
        </w:tc>
        <w:tc>
          <w:p>
            <w:pPr>
              <w:pStyle w:val="Compact"/>
              <w:jc w:val="right"/>
            </w:pPr>
            <w:r>
              <w:t xml:space="preserve">2</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9</w:t>
            </w:r>
          </w:p>
        </w:tc>
        <w:tc>
          <w:p>
            <w:pPr>
              <w:pStyle w:val="Compact"/>
              <w:jc w:val="right"/>
            </w:pPr>
            <w:r>
              <w:t xml:space="preserve">5</w:t>
            </w:r>
          </w:p>
        </w:tc>
        <w:tc>
          <w:p>
            <w:pPr>
              <w:pStyle w:val="Compact"/>
              <w:jc w:val="right"/>
            </w:pPr>
            <w:r>
              <w:t xml:space="preserve">17</w:t>
            </w:r>
          </w:p>
        </w:tc>
        <w:tc>
          <w:p>
            <w:pPr>
              <w:pStyle w:val="Compact"/>
              <w:jc w:val="right"/>
            </w:pPr>
            <w:r>
              <w:t xml:space="preserve">4</w:t>
            </w:r>
          </w:p>
        </w:tc>
        <w:tc>
          <w:p>
            <w:pPr>
              <w:pStyle w:val="Compact"/>
              <w:jc w:val="right"/>
            </w:pPr>
            <w:r>
              <w:t xml:space="preserve">7</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8</w:t>
            </w:r>
          </w:p>
        </w:tc>
        <w:tc>
          <w:p>
            <w:pPr>
              <w:pStyle w:val="Compact"/>
              <w:jc w:val="right"/>
            </w:pPr>
            <w:r>
              <w:t xml:space="preserve">12</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14</w:t>
            </w:r>
          </w:p>
        </w:tc>
        <w:tc>
          <w:p>
            <w:pPr>
              <w:pStyle w:val="Compact"/>
              <w:jc w:val="right"/>
            </w:pPr>
            <w:r>
              <w:t xml:space="preserve">7</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bl>
    <w:p>
      <w:pPr>
        <w:pStyle w:val="Heading3"/>
      </w:pPr>
      <w:bookmarkStart w:id="58" w:name="nature-of-work-with-data"/>
      <w:bookmarkEnd w:id="58"/>
      <w:r>
        <w:t xml:space="preserve">Nature of work with data</w:t>
      </w:r>
    </w:p>
    <w:p>
      <w:pPr>
        <w:pStyle w:val="FirstParagraph"/>
      </w:pPr>
      <w:r>
        <w:t xml:space="preserve">Each of the segments of video was coded. Youth engage in work with data in ways that on occasion diverged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aspects of work with data.</w:t>
      </w:r>
    </w:p>
    <w:p>
      <w:pPr>
        <w:pStyle w:val="BodyText"/>
      </w:pPr>
      <w:r>
        <w:t xml:space="preserve">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w:t>
      </w:r>
    </w:p>
    <w:p>
      <w:pPr>
        <w:pStyle w:val="BodyText"/>
      </w:pPr>
      <w:r>
        <w:t xml:space="preserve">Some of the guiding questions for the qualitative coding were as follows:</w:t>
      </w:r>
    </w:p>
    <w:p>
      <w:pPr>
        <w:pStyle w:val="Compact"/>
        <w:numPr>
          <w:numId w:val="1006"/>
          <w:ilvl w:val="0"/>
        </w:numPr>
      </w:pPr>
      <w:r>
        <w:t xml:space="preserve">When asking questions or defining problems is coded, what, if any are the questions or problems? Who is asking the question (i.e teacher or student)</w:t>
      </w:r>
    </w:p>
    <w:p>
      <w:pPr>
        <w:pStyle w:val="Compact"/>
        <w:numPr>
          <w:numId w:val="1006"/>
          <w:ilvl w:val="0"/>
        </w:numPr>
      </w:pPr>
      <w:r>
        <w:t xml:space="preserve">When making observations is coded, what are youth doing?</w:t>
      </w:r>
    </w:p>
    <w:p>
      <w:pPr>
        <w:pStyle w:val="Compact"/>
        <w:numPr>
          <w:numId w:val="1006"/>
          <w:ilvl w:val="0"/>
        </w:numPr>
      </w:pPr>
      <w:r>
        <w:t xml:space="preserve">When generating data is coded, how, if they are, are youth collecting or recording data?</w:t>
      </w:r>
    </w:p>
    <w:p>
      <w:pPr>
        <w:pStyle w:val="Compact"/>
        <w:numPr>
          <w:numId w:val="1006"/>
          <w:ilvl w:val="0"/>
        </w:numPr>
      </w:pPr>
      <w:r>
        <w:t xml:space="preserve">When analyzing or modeling data is coded, what analysis are they doing, or what models are they using? Are they talking about variability or uncertainty? If so, how?</w:t>
      </w:r>
    </w:p>
    <w:p>
      <w:pPr>
        <w:pStyle w:val="Compact"/>
        <w:numPr>
          <w:numId w:val="1006"/>
          <w:ilvl w:val="0"/>
        </w:numPr>
      </w:pPr>
      <w:r>
        <w:t xml:space="preserve">When interpreting and communicating findings is coded, what are youth interpreting or how are they communicating?</w:t>
      </w:r>
    </w:p>
    <w:p>
      <w:pPr>
        <w:pStyle w:val="Heading4"/>
      </w:pPr>
      <w:bookmarkStart w:id="59" w:name="asking-questions-or-identifying-problems"/>
      <w:bookmarkEnd w:id="59"/>
      <w:r>
        <w:t xml:space="preserve">Asking questions or identifying problems</w:t>
      </w:r>
    </w:p>
    <w:p>
      <w:pPr>
        <w:pStyle w:val="FirstParagraph"/>
      </w:pPr>
      <w:r>
        <w:t xml:space="preserve">Asking questions occurred in 92 of the segments. In the 92 segments that were coded with asking questions, the qualitative coders identified 36 segments, that were focused on asking questions in ways that clearly aligned with the coding frame.</w:t>
      </w:r>
    </w:p>
    <w:p>
      <w:pPr>
        <w:pStyle w:val="BodyText"/>
      </w:pPr>
      <w:r>
        <w:t xml:space="preserve">Qualitative coding showed that this aspect of work with data was highly variable. When the qualitative coding revealed this code to be present, it was often when youth were trying to better understand the phenomenon or problem they were investigating. It was not always always focused on predicting, conjecturing, or hypothesizing, and when it was not present, it was applied to instances in which the youth were asking generic questions (i.e., about how they do an assignment) or when the instructor was asking youth questions (i.e., math-related questions).</w:t>
      </w:r>
    </w:p>
    <w:p>
      <w:pPr>
        <w:pStyle w:val="Heading4"/>
      </w:pPr>
      <w:bookmarkStart w:id="60" w:name="making-observations"/>
      <w:bookmarkEnd w:id="60"/>
      <w:r>
        <w:t xml:space="preserve">Making observations</w:t>
      </w:r>
    </w:p>
    <w:p>
      <w:pPr>
        <w:pStyle w:val="FirstParagraph"/>
      </w:pPr>
      <w:r>
        <w:t xml:space="preserve">Making observations occurred in 57 of the segments, 49 which were clearly aligned with the coding frame. Many of the times, this code was in conjunction with observing phenomenon in the field, or, in the case of engineering-focused programs, noticing what was going on with a particular design. When qualitative coders determined this was not present, it was usually due to the observations being of the instructor.</w:t>
      </w:r>
    </w:p>
    <w:p>
      <w:pPr>
        <w:pStyle w:val="Heading4"/>
      </w:pPr>
      <w:bookmarkStart w:id="61" w:name="generating-data"/>
      <w:bookmarkEnd w:id="61"/>
      <w:r>
        <w:t xml:space="preserve">Generating data</w:t>
      </w:r>
    </w:p>
    <w:p>
      <w:pPr>
        <w:pStyle w:val="FirstParagraph"/>
      </w:pPr>
      <w:r>
        <w:t xml:space="preserve">Generating data occurred in 102 segments, 48 which were aligned with the coding frame. When present based on qualtitative codes, youth were writing down observations, recording information from experiments, or recording the results of a trial (in engineering contexts). When not present, this was often youth were writing down what the youth activity leader was saying, or was focused on collecting specimens, but not inscribing them as data.</w:t>
      </w:r>
    </w:p>
    <w:p>
      <w:pPr>
        <w:pStyle w:val="Heading4"/>
      </w:pPr>
      <w:bookmarkStart w:id="62" w:name="data-modeling"/>
      <w:bookmarkEnd w:id="62"/>
      <w:r>
        <w:t xml:space="preserve">Data modeling</w:t>
      </w:r>
    </w:p>
    <w:p>
      <w:pPr>
        <w:pStyle w:val="FirstParagraph"/>
      </w:pPr>
      <w:r>
        <w:t xml:space="preserve">Data modeling occurred in 68 segments, 49 which were aligned with the coding frame. When present, youth used statistical models or real-world, designed models to make predictions about phenomena. When not present, the instructor was using a model, or the model was not a model of data in any sense (i.e., was not based on data generated from observations or through other methods).</w:t>
      </w:r>
    </w:p>
    <w:p>
      <w:pPr>
        <w:pStyle w:val="Heading4"/>
      </w:pPr>
      <w:bookmarkStart w:id="63" w:name="interpreting-and-communicating-findings"/>
      <w:bookmarkEnd w:id="63"/>
      <w:r>
        <w:t xml:space="preserve">Interpreting and communicating findings</w:t>
      </w:r>
    </w:p>
    <w:p>
      <w:pPr>
        <w:pStyle w:val="FirstParagraph"/>
      </w:pPr>
      <w:r>
        <w:t xml:space="preserve">Codes for interperting and communicating were present in 103 segments, 49 which were aligned with the coding frame. When present based on the qualitative codes, youth were sharing what they found from an experiment or investigation. This also involved instances in which youth were debating over the results of an investigation with other youth and youth activity leaders. When not present, which was common, youth were communicating in other ways, such as trying to find out the answer to a question.</w:t>
      </w:r>
    </w:p>
    <w:p>
      <w:pPr>
        <w:pStyle w:val="Heading3"/>
      </w:pPr>
      <w:bookmarkStart w:id="64" w:name="summary-of-findings-for-research-question-1"/>
      <w:bookmarkEnd w:id="64"/>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1"/>
      </w:pPr>
      <w:bookmarkStart w:id="65" w:name="results-for-research-question-2"/>
      <w:bookmarkEnd w:id="65"/>
      <w:r>
        <w:t xml:space="preserve">Results for Research Question #2</w:t>
      </w:r>
    </w:p>
    <w:p>
      <w:pPr>
        <w:pStyle w:val="Heading3"/>
      </w:pPr>
      <w:bookmarkStart w:id="66" w:name="results-for-research-question-2-what-profiles-of-youth-engagement-and-its-conditions-emerge-from-experiential-data-collected-in-the-programs"/>
      <w:bookmarkEnd w:id="66"/>
      <w:r>
        <w:t xml:space="preserve">Results for Research Question #2: What profiles of youth engagement and its conditions emerge from experiential data collected in the programs?</w:t>
      </w:r>
    </w:p>
    <w:p>
      <w:pPr>
        <w:pStyle w:val="FirstParagraph"/>
      </w:pPr>
      <w:r>
        <w:t xml:space="preserve">Following from the in-depth exploration of a wide range of models and the candidate solutions (described in the Appendix), a specific model is selected for use in subsequent analyses. This model was selected on the basis of a range of criteria including fit statistics, statistical tests, and concerns of interpretability and parsimony. In particular, the model one type, six profile, and model one type, seven profile solutions are described. Tthis model demonstrated superior fit on the basis of the information criteria (AIC and BIC) and on the basis of the measure of classification accuracy (entropy). It was also highly interpretable. Descriptions of other candidate solutions are included in the appendix. For this and other soltuions,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6</w:t>
      </w:r>
    </w:p>
    <w:p>
      <w:pPr>
        <w:pStyle w:val="Compact"/>
        <w:numPr>
          <w:numId w:val="1007"/>
          <w:ilvl w:val="0"/>
        </w:numPr>
      </w:pPr>
      <w:r>
        <w:t xml:space="preserve">An</w:t>
      </w:r>
      <w:r>
        <w:t xml:space="preserve"> </w:t>
      </w:r>
      <w:r>
        <w:rPr>
          <w:i/>
        </w:rPr>
        <w:t xml:space="preserve">universally low</w:t>
      </w:r>
      <w:r>
        <w:t xml:space="preserve"> </w:t>
      </w:r>
      <w:r>
        <w:t xml:space="preserve">profile, profile 2</w:t>
      </w:r>
    </w:p>
    <w:p>
      <w:pPr>
        <w:pStyle w:val="Compact"/>
        <w:numPr>
          <w:numId w:val="1007"/>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7"/>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7"/>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7"/>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other solutions, this solution was associated with profiles that distinguished observations on the basis of both: There were profiles for only behaviorally and affectively engaged and for engaged and competent but not challenged.</w:t>
      </w:r>
    </w:p>
    <w:p>
      <w:pPr>
        <w:pStyle w:val="BodyText"/>
      </w:pPr>
      <w:r>
        <w:drawing>
          <wp:inline>
            <wp:extent cx="5334000" cy="3294062"/>
            <wp:effectExtent b="0" l="0" r="0" t="0"/>
            <wp:docPr descr="" title="" id="1" name="Picture"/>
            <a:graphic>
              <a:graphicData uri="http://schemas.openxmlformats.org/drawingml/2006/picture">
                <pic:pic>
                  <pic:nvPicPr>
                    <pic:cNvPr descr="rosenberg-dissertation_files/figure-docx/m1_6p-1.png" id="0" name="Picture"/>
                    <pic:cNvPicPr>
                      <a:picLocks noChangeArrowheads="1" noChangeAspect="1"/>
                    </pic:cNvPicPr>
                  </pic:nvPicPr>
                  <pic:blipFill>
                    <a:blip r:embed="rId67"/>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6p-2.png" id="0" name="Picture"/>
                    <pic:cNvPicPr>
                      <a:picLocks noChangeArrowheads="1" noChangeAspect="1"/>
                    </pic:cNvPicPr>
                  </pic:nvPicPr>
                  <pic:blipFill>
                    <a:blip r:embed="rId68"/>
                    <a:stretch>
                      <a:fillRect/>
                    </a:stretch>
                  </pic:blipFill>
                  <pic:spPr bwMode="auto">
                    <a:xfrm>
                      <a:off x="0" y="0"/>
                      <a:ext cx="5334000" cy="3294062"/>
                    </a:xfrm>
                    <a:prstGeom prst="rect">
                      <a:avLst/>
                    </a:prstGeom>
                    <a:noFill/>
                    <a:ln w="9525">
                      <a:noFill/>
                      <a:headEnd/>
                      <a:tailEnd/>
                    </a:ln>
                  </pic:spPr>
                </pic:pic>
              </a:graphicData>
            </a:graphic>
          </wp:inline>
        </w:drawing>
      </w:r>
    </w:p>
    <w:p>
      <w:pPr>
        <w:pStyle w:val="Heading3"/>
      </w:pPr>
      <w:bookmarkStart w:id="69" w:name="summary-of-research-question-2-findings"/>
      <w:bookmarkEnd w:id="69"/>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1"/>
      </w:pPr>
      <w:bookmarkStart w:id="70" w:name="results-for-research-question-3-how-do-data-practices-relate-to-youth-engagement-in-the-programs"/>
      <w:bookmarkEnd w:id="70"/>
      <w:r>
        <w:t xml:space="preserve">Results for Research Question #3: How do data practices relate to youth engagement in the programs?</w:t>
      </w:r>
    </w:p>
    <w:p>
      <w:pPr>
        <w:pStyle w:val="Heading3"/>
      </w:pPr>
      <w:bookmarkStart w:id="71" w:name="null-models"/>
      <w:bookmarkEnd w:id="71"/>
      <w:r>
        <w:t xml:space="preserve">Null models</w:t>
      </w:r>
    </w:p>
    <w:p>
      <w:pPr>
        <w:pStyle w:val="FirstParagraph"/>
      </w:pPr>
      <w:r>
        <w:t xml:space="preserve">The null models presented in the table provide insight into the levels at which predictors may be able to explain the outcome. For all six profiles, the ICCs were very small, from 0.00 to 0.023. This suggests that very little variability can be explained simply by the program. For the momentary level, the ICCs were also very small, ranging from 0.004 to 0.011. Finally, the youth-level ICCs ranged from .099 to .427. 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2" w:name="models-with-variables-for-aspects-of-work-with-data-added-separately"/>
      <w:bookmarkEnd w:id="72"/>
      <w:r>
        <w:t xml:space="preserve">Models with variables for aspects of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This effect, then, is less sensitive to possible sources of bias, but is still not highly robust.</w:t>
      </w:r>
    </w:p>
    <w:p>
      <w:pPr>
        <w:pStyle w:val="Heading3"/>
      </w:pPr>
      <w:bookmarkStart w:id="73" w:name="models-with-the-composite-added"/>
      <w:bookmarkEnd w:id="73"/>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and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4" w:name="summary-of-findings-for-research-question-2"/>
      <w:bookmarkEnd w:id="74"/>
      <w:r>
        <w:t xml:space="preserve">Summary of findings for research question #2</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1"/>
      </w:pPr>
      <w:bookmarkStart w:id="75" w:name="results-for-research-question-4-how-do-youth-characteristics-relate-to-their-engagement-in-summer-stem-programs"/>
      <w:bookmarkEnd w:id="75"/>
      <w:r>
        <w:t xml:space="preserve">Results for Research Question #4: How do youth characteristics relate to their engagement in summer STEM programs?</w:t>
      </w:r>
    </w:p>
    <w:p>
      <w:pPr>
        <w:pStyle w:val="FirstParagraph"/>
      </w:pPr>
      <w:r>
        <w:t xml:space="preserve">In this section, models with the individual characteristics added separately followed by models with their interactions with the work with data composite are specified.</w:t>
      </w:r>
    </w:p>
    <w:p>
      <w:pPr>
        <w:pStyle w:val="Heading3"/>
      </w:pPr>
      <w:bookmarkStart w:id="76" w:name="models-with-pre-interest-gender-and-under-represented-minority-urm-status"/>
      <w:bookmarkEnd w:id="76"/>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Thai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7" w:name="models-with-interactions-between-pre-interest-gender-and-urm-status-and-work-with-data-composite"/>
      <w:bookmarkEnd w:id="77"/>
      <w:r>
        <w:t xml:space="preserve">Models with interactions between pre interest, gender, and URM status and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78" w:name="summary-of-findings-for-research-question-3"/>
      <w:bookmarkEnd w:id="78"/>
      <w:r>
        <w:t xml:space="preserve">Summary of findings for research question #3</w:t>
      </w:r>
    </w:p>
    <w:p>
      <w:pPr>
        <w:pStyle w:val="FirstParagraph"/>
      </w:pPr>
      <w:r>
        <w:t xml:space="preserve">When looking across findings, we find minimal relations between pre-interest and other individual characteristics.</w:t>
      </w:r>
    </w:p>
    <w:p>
      <w:pPr>
        <w:pStyle w:val="BodyText"/>
      </w:pPr>
      <w:r>
        <w:t xml:space="preserve">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 The effect of the activity appears robust, as in research question #3.</w:t>
      </w:r>
    </w:p>
    <w:p>
      <w:pPr>
        <w:pStyle w:val="Heading1"/>
      </w:pPr>
      <w:bookmarkStart w:id="79" w:name="discussion"/>
      <w:bookmarkEnd w:id="79"/>
      <w:r>
        <w:t xml:space="preserve">Discussion</w:t>
      </w:r>
    </w:p>
    <w:p>
      <w:pPr>
        <w:pStyle w:val="Heading3"/>
      </w:pPr>
      <w:bookmarkStart w:id="80" w:name="key-findings"/>
      <w:bookmarkEnd w:id="80"/>
      <w:r>
        <w:t xml:space="preserve">Key Findings</w:t>
      </w:r>
    </w:p>
    <w:p>
      <w:pPr>
        <w:pStyle w:val="Heading5"/>
      </w:pPr>
      <w:bookmarkStart w:id="81" w:name="the-nature-of-engagement-in-summer-stem-programs"/>
      <w:bookmarkEnd w:id="81"/>
      <w:r>
        <w:t xml:space="preserve">The nature of engagement in summer STEM programs</w:t>
      </w:r>
    </w:p>
    <w:p>
      <w:pPr>
        <w:pStyle w:val="FirstParagraph"/>
      </w:pPr>
      <w:r>
        <w:t xml:space="preserve">We can identify profiles of engagement …</w:t>
      </w:r>
    </w:p>
    <w:p>
      <w:pPr>
        <w:pStyle w:val="Heading5"/>
      </w:pPr>
      <w:bookmarkStart w:id="82" w:name="what-explains-pecs"/>
      <w:bookmarkEnd w:id="82"/>
      <w:r>
        <w:t xml:space="preserve">What explains PECs</w:t>
      </w:r>
    </w:p>
    <w:p>
      <w:pPr>
        <w:pStyle w:val="FirstParagraph"/>
      </w:pPr>
      <w:r>
        <w:t xml:space="preserve">Engagement varies from moment-to-moment …</w:t>
      </w:r>
    </w:p>
    <w:p>
      <w:pPr>
        <w:pStyle w:val="Heading5"/>
      </w:pPr>
      <w:bookmarkStart w:id="83" w:name="summer-stem-programs-as-a-context-for-work-with-data"/>
      <w:bookmarkEnd w:id="83"/>
      <w:r>
        <w:t xml:space="preserve">Summer STEM programs as a context for work with data</w:t>
      </w:r>
    </w:p>
    <w:p>
      <w:pPr>
        <w:pStyle w:val="FirstParagraph"/>
      </w:pPr>
      <w:r>
        <w:t xml:space="preserve">Summer STEM program have affordances and constraints work with data. Thus, different from the previous theme that was focused on a study-related issue, this theme concerns differences in the nature of the instruction and learning opportunities that learners experienced as part of their time in the summer STME programs.</w:t>
      </w:r>
    </w:p>
    <w:p>
      <w:pPr>
        <w:pStyle w:val="Heading5"/>
      </w:pPr>
      <w:bookmarkStart w:id="84" w:name="affordances"/>
      <w:bookmarkEnd w:id="84"/>
      <w:r>
        <w:t xml:space="preserve">Affordances</w:t>
      </w:r>
    </w:p>
    <w:p>
      <w:pPr>
        <w:pStyle w:val="FirstParagraph"/>
      </w:pPr>
      <w:r>
        <w:t xml:space="preserve">Affordances included the community setting and the relevance of the program to youth’s lives.</w:t>
      </w:r>
    </w:p>
    <w:p>
      <w:pPr>
        <w:pStyle w:val="BodyText"/>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5"/>
      </w:pPr>
      <w:bookmarkStart w:id="85" w:name="constraints"/>
      <w:bookmarkEnd w:id="85"/>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6" w:name="limitations-of-the-study"/>
      <w:bookmarkEnd w:id="86"/>
      <w:r>
        <w:t xml:space="preserve">Limitations of the Study</w:t>
      </w:r>
    </w:p>
    <w:p>
      <w:pPr>
        <w:pStyle w:val="FirstParagraph"/>
      </w:pPr>
      <w:r>
        <w:t xml:space="preserve">First, this study does not consider outcomes from engaging, such as the products of neither youths’ work, nor the specific cognitive capabilities they develop through their participation. 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Heading5"/>
      </w:pPr>
      <w:bookmarkStart w:id="87" w:name="measurement-issues"/>
      <w:bookmarkEnd w:id="87"/>
      <w:r>
        <w:t xml:space="preserve">Measurement issues</w:t>
      </w:r>
    </w:p>
    <w:p>
      <w:pPr>
        <w:pStyle w:val="FirstParagraph"/>
      </w:pPr>
      <w:r>
        <w:t xml:space="preserve">How instructional support for work with data was measured seems to have been an issue, given the qualitative coding …</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Heading5"/>
      </w:pPr>
      <w:bookmarkStart w:id="88" w:name="context-issues"/>
      <w:bookmarkEnd w:id="88"/>
      <w:r>
        <w:t xml:space="preserve">Context issues</w:t>
      </w:r>
    </w:p>
    <w:p>
      <w:pPr>
        <w:pStyle w:val="FirstParagraph"/>
      </w:pPr>
      <w:r>
        <w:t xml:space="preserve">These programs were not designed to support work with data …</w:t>
      </w:r>
    </w:p>
    <w:p>
      <w:pPr>
        <w:pStyle w:val="BodyText"/>
      </w:pPr>
      <w:r>
        <w:t xml:space="preserve">You don’t need to say this here (though you might in the discussion), but it may be that either the analytic approach you used (LPA) or the particular 5 variables you chose to focus on are not the ideal way to capture engagement that varies by program activity – something else may vary more by program activity.</w:t>
      </w:r>
    </w:p>
    <w:p>
      <w:pPr>
        <w:pStyle w:val="Heading3"/>
      </w:pPr>
      <w:bookmarkStart w:id="89" w:name="recommendations-for-future-research"/>
      <w:bookmarkEnd w:id="89"/>
      <w:r>
        <w:t xml:space="preserve">Recommendations for Future Research</w:t>
      </w:r>
    </w:p>
    <w:p>
      <w:pPr>
        <w:pStyle w:val="Heading5"/>
      </w:pPr>
      <w:bookmarkStart w:id="90" w:name="explore-work-with-data-in-settings-designed-to-support-it"/>
      <w:bookmarkEnd w:id="90"/>
      <w:r>
        <w:t xml:space="preserve">Explore work with data in settings designed to support it</w:t>
      </w:r>
    </w:p>
    <w:p>
      <w:pPr>
        <w:pStyle w:val="FirstParagraph"/>
      </w:pPr>
      <w:r>
        <w:t xml:space="preserve">There are increasingly</w:t>
      </w:r>
      <w:r>
        <w:t xml:space="preserve"> </w:t>
      </w:r>
      <w:r>
        <w:t xml:space="preserve">“</w:t>
      </w:r>
      <w:r>
        <w:t xml:space="preserve">data camps</w:t>
      </w:r>
      <w:r>
        <w:t xml:space="preserve">”</w:t>
      </w:r>
      <w:r>
        <w:t xml:space="preserve"> </w:t>
      </w:r>
      <w:r>
        <w:t xml:space="preserve">…</w:t>
      </w:r>
    </w:p>
    <w:p>
      <w:pPr>
        <w:pStyle w:val="Heading5"/>
      </w:pPr>
      <w:bookmarkStart w:id="91" w:name="measure-student-work-with-data-as-well-as-instructional-support-for-work-with-data"/>
      <w:bookmarkEnd w:id="91"/>
      <w:r>
        <w:t xml:space="preserve">Measure student work with data as well as instructional support for work with data</w:t>
      </w:r>
    </w:p>
    <w:p>
      <w:pPr>
        <w:pStyle w:val="FirstParagraph"/>
      </w:pPr>
      <w:r>
        <w:t xml:space="preserve">Measuring what students do in addition to what teachers do is important …</w:t>
      </w:r>
    </w:p>
    <w:p>
      <w:pPr>
        <w:pStyle w:val="Heading5"/>
      </w:pPr>
      <w:bookmarkStart w:id="92" w:name="explore-changes-in-longer-term-outcomes"/>
      <w:bookmarkEnd w:id="92"/>
      <w:r>
        <w:t xml:space="preserve">Explore changes in longer-term outcomes</w:t>
      </w:r>
    </w:p>
    <w:p>
      <w:pPr>
        <w:pStyle w:val="FirstParagraph"/>
      </w:pPr>
      <w:r>
        <w:t xml:space="preserve">Changes in longer-term outcomes, such as future plans and goals, are an important goal for summer STEM educators and other stakeholders in such programs …</w:t>
      </w:r>
    </w:p>
    <w:p>
      <w:pPr>
        <w:pStyle w:val="Heading3"/>
      </w:pPr>
      <w:bookmarkStart w:id="93" w:name="implications-for-practice"/>
      <w:bookmarkEnd w:id="93"/>
      <w:r>
        <w:t xml:space="preserve">Implications for Practice</w:t>
      </w:r>
    </w:p>
    <w:p>
      <w:pPr>
        <w:pStyle w:val="Heading5"/>
      </w:pPr>
      <w:bookmarkStart w:id="94" w:name="engage-students-in-complete-cycles-of-investigation"/>
      <w:bookmarkEnd w:id="94"/>
      <w:r>
        <w:t xml:space="preserve">Engage students in complete cycles of investigation</w:t>
      </w:r>
    </w:p>
    <w:p>
      <w:pPr>
        <w:pStyle w:val="Heading5"/>
      </w:pPr>
      <w:bookmarkStart w:id="95" w:name="support-engagement-in-specific-moments"/>
      <w:bookmarkEnd w:id="95"/>
      <w:r>
        <w:t xml:space="preserve">Support engagement in specific moments</w:t>
      </w:r>
    </w:p>
    <w:p>
      <w:pPr>
        <w:pStyle w:val="FirstParagraph"/>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1"/>
      </w:pPr>
      <w:bookmarkStart w:id="96" w:name="appendix"/>
      <w:bookmarkEnd w:id="96"/>
      <w:r>
        <w:t xml:space="preserve">Appendix</w:t>
      </w:r>
    </w:p>
    <w:p>
      <w:pPr>
        <w:pStyle w:val="Heading1"/>
      </w:pPr>
      <w:bookmarkStart w:id="97" w:name="references"/>
      <w:bookmarkEnd w:id="97"/>
      <w:r>
        <w:t xml:space="preserve">References</w:t>
      </w:r>
    </w:p>
    <w:p>
      <w:pPr>
        <w:pStyle w:val="FirstParagraph"/>
      </w:pPr>
      <w:r>
        <w:t xml:space="preserve"> </w:t>
      </w:r>
    </w:p>
    <w:p>
      <w:pPr>
        <w:pStyle w:val="BodyText"/>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98">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99">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100">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101">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102">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103">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104">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105">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06">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07">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08">
        <w:r>
          <w:rPr>
            <w:rStyle w:val="Hyperlink"/>
          </w:rPr>
          <w:t xml:space="preserve">https://jakewestfall.shinyapps.io/pangea/</w:t>
        </w:r>
      </w:hyperlink>
      <w:r>
        <w:br w:type="textWrapping"/>
      </w:r>
      <w:r>
        <w:t xml:space="preserve">Wickham, H. (2018). CRAN downloads. Retrieved from</w:t>
      </w:r>
      <w:r>
        <w:t xml:space="preserve"> </w:t>
      </w:r>
      <w:hyperlink r:id="rId109">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10">
        <w:r>
          <w:rPr>
            <w:rStyle w:val="Hyperlink"/>
          </w:rPr>
          <w:t xml:space="preserve">doi:10.1007/s10648-016-9358-2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cd6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4fa78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9a178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110" Target="doi:10.1007/s10648-016-9358-2" TargetMode="External" /><Relationship Type="http://schemas.openxmlformats.org/officeDocument/2006/relationships/hyperlink" Id="rId105" Target="doi:10.1080/00461520.2014.1002924" TargetMode="External" /><Relationship Type="http://schemas.openxmlformats.org/officeDocument/2006/relationships/hyperlink" Id="rId98" Target="http://doi.org/10.1002/j.2161-0045.2015.00097.x" TargetMode="External" /><Relationship Type="http://schemas.openxmlformats.org/officeDocument/2006/relationships/hyperlink" Id="rId106" Target="http://doi.org/10.1007/s10964-007-9241-z" TargetMode="External" /><Relationship Type="http://schemas.openxmlformats.org/officeDocument/2006/relationships/hyperlink" Id="rId102" Target="http://dx.doi.org/10.1016/j.learninstruc.2017.07.007" TargetMode="External" /><Relationship Type="http://schemas.openxmlformats.org/officeDocument/2006/relationships/hyperlink" Id="rId101" Target="http://dx.doi.org/10.1037/edu0000214" TargetMode="External" /><Relationship Type="http://schemas.openxmlformats.org/officeDocument/2006/relationships/hyperlink" Id="rId107" Target="http://faculty.sites.uci.edu/childcare/files/2013/07/SL-Outcomes-2011-Pilot_Edited_8.19.pdf" TargetMode="External" /><Relationship Type="http://schemas.openxmlformats.org/officeDocument/2006/relationships/hyperlink" Id="rId99" Target="https://doi.org/10.1007/978-1-4614-2018-7_37" TargetMode="External" /><Relationship Type="http://schemas.openxmlformats.org/officeDocument/2006/relationships/hyperlink" Id="rId104" Target="https://dx.doi.org/10.1002/tea.21409" TargetMode="External" /><Relationship Type="http://schemas.openxmlformats.org/officeDocument/2006/relationships/hyperlink" Id="rId109" Target="https://hadley.shinyapps.io/cran-downloads/" TargetMode="External" /><Relationship Type="http://schemas.openxmlformats.org/officeDocument/2006/relationships/hyperlink" Id="rId108" Target="https://jakewestfall.shinyapps.io/pangea/" TargetMode="External" /><Relationship Type="http://schemas.openxmlformats.org/officeDocument/2006/relationships/hyperlink" Id="rId103" Target="https://jrosen48.github.io/r-markdown/comparing-mplus-mclust.html" TargetMode="External" /><Relationship Type="http://schemas.openxmlformats.org/officeDocument/2006/relationships/hyperlink" Id="rId100"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10" Target="doi:10.1007/s10648-016-9358-2" TargetMode="External" /><Relationship Type="http://schemas.openxmlformats.org/officeDocument/2006/relationships/hyperlink" Id="rId105" Target="doi:10.1080/00461520.2014.1002924" TargetMode="External" /><Relationship Type="http://schemas.openxmlformats.org/officeDocument/2006/relationships/hyperlink" Id="rId98" Target="http://doi.org/10.1002/j.2161-0045.2015.00097.x" TargetMode="External" /><Relationship Type="http://schemas.openxmlformats.org/officeDocument/2006/relationships/hyperlink" Id="rId106" Target="http://doi.org/10.1007/s10964-007-9241-z" TargetMode="External" /><Relationship Type="http://schemas.openxmlformats.org/officeDocument/2006/relationships/hyperlink" Id="rId102" Target="http://dx.doi.org/10.1016/j.learninstruc.2017.07.007" TargetMode="External" /><Relationship Type="http://schemas.openxmlformats.org/officeDocument/2006/relationships/hyperlink" Id="rId101" Target="http://dx.doi.org/10.1037/edu0000214" TargetMode="External" /><Relationship Type="http://schemas.openxmlformats.org/officeDocument/2006/relationships/hyperlink" Id="rId107" Target="http://faculty.sites.uci.edu/childcare/files/2013/07/SL-Outcomes-2011-Pilot_Edited_8.19.pdf" TargetMode="External" /><Relationship Type="http://schemas.openxmlformats.org/officeDocument/2006/relationships/hyperlink" Id="rId99" Target="https://doi.org/10.1007/978-1-4614-2018-7_37" TargetMode="External" /><Relationship Type="http://schemas.openxmlformats.org/officeDocument/2006/relationships/hyperlink" Id="rId104" Target="https://dx.doi.org/10.1002/tea.21409" TargetMode="External" /><Relationship Type="http://schemas.openxmlformats.org/officeDocument/2006/relationships/hyperlink" Id="rId109" Target="https://hadley.shinyapps.io/cran-downloads/" TargetMode="External" /><Relationship Type="http://schemas.openxmlformats.org/officeDocument/2006/relationships/hyperlink" Id="rId108" Target="https://jakewestfall.shinyapps.io/pangea/" TargetMode="External" /><Relationship Type="http://schemas.openxmlformats.org/officeDocument/2006/relationships/hyperlink" Id="rId103" Target="https://jrosen48.github.io/r-markdown/comparing-mplus-mclust.html" TargetMode="External" /><Relationship Type="http://schemas.openxmlformats.org/officeDocument/2006/relationships/hyperlink" Id="rId100"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2018-04-25T21:28:23Z</dcterms:created>
  <dcterms:modified xsi:type="dcterms:W3CDTF">2018-04-25T21:28:23Z</dcterms:modified>
</cp:coreProperties>
</file>