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10.png" ContentType="image/png"/>
  <Override PartName="/word/media/rId111.png" ContentType="image/png"/>
  <Override PartName="/word/media/rId107.png" ContentType="image/png"/>
  <Override PartName="/word/media/rId108.png" ContentType="image/png"/>
  <Override PartName="/word/media/rId62.png" ContentType="image/png"/>
  <Override PartName="/word/media/rId63.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2018-05-02</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educational contexts (Lee &amp; Wilkerson, 2018; Wild &amp; Pfannkuch, 1999). Aspects of work with data cut across STEM domains and are recognized as core competencies in both the Next Generation Science Standards and the Common Core State Standards in mathematics (National Governors Association Center for Best Practices, Council of Chief State School Officers, 2010; NGSS Lead States, 2013). Scholars have pointed out the benefits of working with data for learners as young as two years old (Gopnik, &amp; Sobel, 2000).</w:t>
      </w:r>
    </w:p>
    <w:p>
      <w:pPr>
        <w:pStyle w:val="BodyText"/>
      </w:pPr>
      <w:r>
        <w:t xml:space="preserve">In supporting teachers and learners’ data analysis efforts, scholars have examined a variety of practices. In particular, past research has focused on mathematical activities like generating measures of phenomena and creating data models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Because engaging in data-related practices seems to be so potentially beneficial to learners, we need to better understand the nature of learners’ engagement in learning activities that involve various aspects of work with data. To date, past research shows that using an engagement framework to characterize students’ learning activities is highly informative. One’s engagement in learning tasks is a key outcome in its own right and may be an antecedent of changes in other outcomes, such as their well-being, achievement and pursuit of an area of study or career (Sinatra, Heddy, &amp; Lombardi, 2015; Wang, Chow, Hofkens, &amp; Salmela-Aro, 2015; Wang &amp; Eccles, 2012). However, research has not examined engagement in these particular types of activities in particular.</w:t>
      </w:r>
    </w:p>
    <w:p>
      <w:pPr>
        <w:pStyle w:val="BodyText"/>
      </w:pPr>
      <w:r>
        <w:t xml:space="preserve">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et al., 2015; Skinner &amp; Pitzer, 2012). In recognition of its dynamic nature, some engagement scholars have drawn upon flow theory (Csikszentmihalyi, 1990, 1997) to identify not only dimensions of engagement, but also other, subjective, characteristics that effect engagement. This past research, drawn upon in the present study, has considered two of learners’ subjective considerations, their perceived competence and challenge, act as key conditions of engagement (Shernoff, Kelly, Tonks, Anderson, Cavanagh, Sinha, &amp; Abdi, 2016). The present study will examine engagement using these multiple dimensions.</w:t>
      </w:r>
    </w:p>
    <w:p>
      <w:pPr>
        <w:pStyle w:val="BodyText"/>
      </w:pPr>
      <w:r>
        <w:t xml:space="preserve">The purpose of this study, then, is to examine youth engagement in a variety of learning activities that involve work with data. Engagement in work with data is explored in the context of outside-of-school STEM enrichment programs carried out during the summer and work with data is considered in terms of specific aspects identified from past research, such as asking questions and generating and modeling data.</w:t>
      </w:r>
    </w:p>
    <w:p>
      <w:pPr>
        <w:pStyle w:val="Heading1"/>
      </w:pPr>
      <w:bookmarkStart w:id="22" w:name="literature-review"/>
      <w:bookmarkEnd w:id="22"/>
      <w:r>
        <w:t xml:space="preserve">Literature Review</w:t>
      </w:r>
    </w:p>
    <w:p>
      <w:pPr>
        <w:pStyle w:val="FirstParagraph"/>
      </w:pPr>
      <w:r>
        <w:t xml:space="preserve">The framework for this study is informed by work on STEM practices, student engagement, and analytic approaches to modeling multidimensional constructs. In this review of literature, I define work with data as a key practice across STEM domains. I also describe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While work with data has been conceived in different ways, some core components have emerged (see Lee and Wikerson’s [in press] forthcoming summary report for the National Academy of Sciences and Wild and Pfannkuch [1999], Franklin et al. [2007], Lehrer and Schauble [2004] for specific examples). These core components, when synthesized, are better for understanding work with data across STEM content areas–as in the present study–than the components from specific examples, which were developed for use in only one domain. The aspects of work work with data that have been articulated in prior studies are distilled into five key aspects (Figure 1) for use in this study. They are:</w:t>
      </w:r>
    </w:p>
    <w:p>
      <w:pPr>
        <w:pStyle w:val="Compact"/>
        <w:numPr>
          <w:numId w:val="1001"/>
          <w:ilvl w:val="0"/>
        </w:numPr>
      </w:pPr>
      <w:r>
        <w:t xml:space="preserve">Asking questions: Generating questions that can be answered with empirical evidence</w:t>
      </w:r>
    </w:p>
    <w:p>
      <w:pPr>
        <w:pStyle w:val="Compact"/>
        <w:numPr>
          <w:numId w:val="1001"/>
          <w:ilvl w:val="0"/>
        </w:numPr>
      </w:pPr>
      <w:r>
        <w:t xml:space="preserve">Making observations: Watching phenomena and noticing what is happening with respect to the phenomena or problem being investigated</w:t>
      </w:r>
    </w:p>
    <w:p>
      <w:pPr>
        <w:pStyle w:val="Compact"/>
        <w:numPr>
          <w:numId w:val="1001"/>
          <w:ilvl w:val="0"/>
        </w:numPr>
      </w:pPr>
      <w:r>
        <w:t xml:space="preserve">Generating data: The process of figuring out how or why to inscribe an observation as data about a phenomena, as well as generating coding frames or tools for measuring</w:t>
      </w:r>
    </w:p>
    <w:p>
      <w:pPr>
        <w:pStyle w:val="Compact"/>
        <w:numPr>
          <w:numId w:val="1001"/>
          <w:ilvl w:val="0"/>
        </w:numPr>
      </w:pPr>
      <w:r>
        <w:t xml:space="preserve">Data modeling: Activities involving use of simple statistics, such as the mean and variance, as well as more complicated models, such as linear models and extensions of the linear model</w:t>
      </w:r>
    </w:p>
    <w:p>
      <w:pPr>
        <w:pStyle w:val="Compact"/>
        <w:numPr>
          <w:numId w:val="1001"/>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part of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with-data-in-stem-learning-environments"/>
      <w:bookmarkEnd w:id="25"/>
      <w:r>
        <w:t xml:space="preserve">The role of work with data in STEM learning environments</w:t>
      </w:r>
    </w:p>
    <w:p>
      <w:pPr>
        <w:pStyle w:val="FirstParagraph"/>
      </w:pPr>
      <w:r>
        <w:t xml:space="preserve">Work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and applicable to more formal learning environments, such as classrooms, in which teachers want to design opportunities for their learners to work with data.</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applied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do learners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methods for capturing these two features empirically through the Experience Sampling Method, or ESM–and how this (multidimensional) data can be analyzed–is described.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Manz, Russ, Stroupe, &amp; Berland,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Heading2"/>
      </w:pPr>
      <w:bookmarkStart w:id="28" w:name="what-conditions-and-youth-characteristics-impact-engagement"/>
      <w:bookmarkEnd w:id="28"/>
      <w:r>
        <w:t xml:space="preserve">What conditions and youth characteristics impact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characteristics are both at the level of individual differences (i.e., youths’ more stable interest in STEM domains) and at the momentary and context-dependent level.</w:t>
      </w:r>
    </w:p>
    <w:p>
      <w:pPr>
        <w:pStyle w:val="BodyText"/>
      </w:pPr>
      <w:r>
        <w:t xml:space="preserve">Focusing first on context-dependent conditions, Emergent Motivation Theory (EMT; Csikszentmihalyi, 1990), provides a useful lens. From EMT, a key momentary condition impacting engagement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.Important in terms of the EMT, being challenged by and good at an activity are especially engaging experienced when together. Past research has supported this contention (Csikszentmihalyi, 1990). As one empirical example, Shernoff et al. (2016) demonstrated that while challenge and skill with high levels of one but low levels on the other (i.e., high challenge and low skill) were not broadly associated with positive forms of engagement, their interaction was. These findings suggest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for specific practices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work with data through the use of a coding frame for the support teachers provide for specific STEM practices, including aspects of work with data.</w:t>
      </w:r>
    </w:p>
    <w:p>
      <w:pPr>
        <w:pStyle w:val="BodyText"/>
      </w:pPr>
      <w:r>
        <w:t xml:space="preserve">In terms of individual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w:t>
      </w:r>
    </w:p>
    <w:p>
      <w:pPr>
        <w:pStyle w:val="Heading2"/>
      </w:pPr>
      <w:bookmarkStart w:id="29" w:name="challenges-of-studying-engagement-as-a-contextually-dependent-and-multidimensional-construct"/>
      <w:bookmarkEnd w:id="29"/>
      <w:r>
        <w:t xml:space="preserve">Challenges of Studying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w:t>
      </w:r>
    </w:p>
    <w:p>
      <w:pPr>
        <w:pStyle w:val="BodyText"/>
      </w:pPr>
      <w:r>
        <w:t xml:space="preserve">Research has shown us how the use of ESM can lead to distinct research contributions and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dynamic constructs, such as engagement holistically is the use of</w:t>
      </w:r>
      <w:r>
        <w:t xml:space="preserve"> </w:t>
      </w:r>
      <w:r>
        <w:rPr>
          <w:i/>
        </w:rPr>
        <w:t xml:space="preserve">profiles</w:t>
      </w:r>
      <w:r>
        <w:t xml:space="preserve">, or groups of variables that are measured. This profile approach is especially important given the multidimensional nature of engagement. Profiles are commonly used as part of what are described as person-oriented approaches, those used to consider the way in which psychological constructs are experienced together and at once in the experiences of learners. In the context of the present study, this approach can help to identify naturally occurring profiles of momentary engagement, or engagement as reported by youth via ESM during particular moments.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 profiles seek to understand how students experience work with data (through the lens of engagement and its in-the-moment conditions) in a more holistic way. There are some recent studies taking a person-oriented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meta-construct (Skinner, Kindermann, &amp; Furrer, 2009) and how to account for its dynamic nature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2018). Different from this past research, another potential way to account for the dynamics of engagement is to consider both engagement and its conditions at once. Since a profile approach emphasizes the dynamic nature of development and the impact of not only external but also intra-individual factors. As in the present study, youths’ perceptions of challenge and competence, also collected via ESM, are used along with the measures of engagement to construct momentary profiles. Thus, the profiles of engagement can be considered to be profiles of engagement and its conditions, as they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that are more engaging and which provide more support to learners in terms of their perceptions of challenge and their own competence. In addition to this general need to study engagement in work with data through the lens of engagement, no research that I am aware of has examined work with data or data analysis more generally in the context of outside-of-school programs. These settings are potentially rich with opportunities for highly engaged learners to analyze authentic data sources. Finally, little research has examined how data is part of the experiences of youth in out-of-school-time programs, despite its place as one of a few core practices in STEM.</w:t>
      </w:r>
    </w:p>
    <w:p>
      <w:pPr>
        <w:pStyle w:val="Heading2"/>
      </w:pPr>
      <w:bookmarkStart w:id="31" w:name="conceptual-framework-and-research-questions"/>
      <w:bookmarkEnd w:id="31"/>
      <w:r>
        <w:t xml:space="preserve">Conceptual Framework and Research Questions</w:t>
      </w:r>
    </w:p>
    <w:p>
      <w:pPr>
        <w:pStyle w:val="FirstParagraph"/>
      </w:pPr>
      <w:r>
        <w:t xml:space="preserve">To sum up,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 and is laid out in the remainder of this section.</w:t>
      </w:r>
    </w:p>
    <w:p>
      <w:pPr>
        <w:pStyle w:val="FigureWithCaption"/>
      </w:pPr>
      <w:r>
        <w:drawing>
          <wp:inline>
            <wp:extent cx="5334000" cy="3392402"/>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 engagement in work with data is associated with different profiles of engagement and its conditions, referred to as either profiles in the remainder of this manuscript. The theoretical framework for the profile approach suggests that engagement is a multi-dimensional construct consisting of cognitive, behavioral, and affective dimensions of engagement and perceptions of challenge and competence. In addition, a pre-program measure of learners’ individual interest in STEM is hypothesized to be associated with the profiles and the relations of work with data and the profiles. The ESM responses that make up the profiles are associated with students, moments, and program effects that must be accounted for (Strati et al., 2017).</w:t>
      </w:r>
    </w:p>
    <w:p>
      <w:pPr>
        <w:pStyle w:val="BodyText"/>
      </w:pPr>
      <w:r>
        <w:t xml:space="preserve">As depicted in the Figure 2, the four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profiles of youth engagement and its conditions emerge from experiential data collected in the programs?</w:t>
      </w:r>
    </w:p>
    <w:p>
      <w:pPr>
        <w:pStyle w:val="Compact"/>
        <w:numPr>
          <w:numId w:val="1003"/>
          <w:ilvl w:val="0"/>
        </w:numPr>
      </w:pPr>
      <w:r>
        <w:t xml:space="preserve">How do data practices relate to youth engagement in the programs?</w:t>
      </w:r>
    </w:p>
    <w:p>
      <w:pPr>
        <w:pStyle w:val="Compact"/>
        <w:numPr>
          <w:numId w:val="1003"/>
          <w:ilvl w:val="0"/>
        </w:numPr>
      </w:pPr>
      <w:r>
        <w:t xml:space="preserve">How do youth characteristics relate to their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Youth completed a pre-survey before the program including questions about their experience in STEM, intention to pursue a STEM major or career, and questions for other motivation and engagement-related measures. At the beginning of the programs, youth were introduced to the study and the phones used for data collection related to the ESM. As indicated in the earlier section, ESM is a method of data collection that involves asking (signalling) youth to respond to short questions on phones that they were provided. Youth are signaled at random times (within intervals, so that the signals were not too near or far apart) in order to obtain a sample of youths’ experiences throughout the program.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So that measures corresponding to the video and ESM data can be matched, videos include a signal from the video-recorder identifying the ESM signal to which youth responded at that point in the video.</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8" w:name="esm-measures-of-learners-engagement-and-its-conditions-for-the-profiles"/>
      <w:bookmarkEnd w:id="38"/>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
      <w:bookmarkEnd w:id="39"/>
      <w:r>
        <w:t xml:space="preserve">Survey measures of pre-interest</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2.</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codes-from-video-recordings-for-work-with-data"/>
      <w:bookmarkEnd w:id="40"/>
      <w:r>
        <w:t xml:space="preserve">Codes from video-recordings for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4. Details on how the measure aligns with the original STEM-PQA on which this measure is based are presented in the appendix. Note that these codes were unique to each signal to which youth responded (but were not unique to each youth, as youth in the same program were signaled at the same time). I will discuss limitations to use of the STEM-PQA for work with data in the discussion.</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BodyText"/>
      </w:pPr>
      <w:r>
        <w:t xml:space="preserve">For the overall (not STEM-specific)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w:t>
      </w:r>
    </w:p>
    <w:p>
      <w:pPr>
        <w:pStyle w:val="BodyText"/>
      </w:pPr>
      <w:r>
        <w:t xml:space="preserve">For the STEM-PQA, three of the same raters contracted by AIR to code the (overall) PQA measure used the STEM-PQA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moment are examined.</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are two primary steps taken to answer this question, one more quantitative in nature and one more qualitative.</w:t>
      </w:r>
    </w:p>
    <w:p>
      <w:pPr>
        <w:pStyle w:val="BodyText"/>
      </w:pPr>
      <w:r>
        <w:t xml:space="preserve">Specifically, first, the frequency of the codes for the individual aspects of work with data from the STEM PQA measure of work with data (described above in the measures) are calculated. Note that this coding frame was adapted from the existing STEM PQA measure. Also note that this coding frame was for instructional support for work with data. For these two reasons, while the codes for work with data align with the conceptual framework for work with data (see Figure 1 and its description), they focus on general aspects of STEM learning; part of this general focus is work with data.</w:t>
      </w:r>
    </w:p>
    <w:p>
      <w:pPr>
        <w:pStyle w:val="BodyText"/>
      </w:pPr>
      <w:r>
        <w:t xml:space="preserve">Then, to present a more in-depth description of work with data in the context of summer STEM programs, all of the segments were coded using an open-ended, qualitative approach. To qualitatively code the data, three research assistants were trained for approximately eight hours over four meetings. Then, each research assistant coded all of the segments associated with one of the videos. The guiding questions for the qualitative coding were as follows:</w:t>
      </w:r>
    </w:p>
    <w:p>
      <w:pPr>
        <w:pStyle w:val="Compact"/>
        <w:numPr>
          <w:numId w:val="1004"/>
          <w:ilvl w:val="0"/>
        </w:numPr>
      </w:pPr>
      <w:r>
        <w:t xml:space="preserve">What are youth doing?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Compact"/>
        <w:numPr>
          <w:numId w:val="1004"/>
          <w:ilvl w:val="0"/>
        </w:numPr>
      </w:pPr>
      <w:r>
        <w:t xml:space="preserve">Is there a phenomenon being studied or a problem being investigated? If so, what is the phenomenon being studied or problem being investigated?</w:t>
      </w:r>
    </w:p>
    <w:p>
      <w:pPr>
        <w:pStyle w:val="Compact"/>
        <w:numPr>
          <w:numId w:val="1004"/>
          <w:ilvl w:val="0"/>
        </w:numPr>
      </w:pPr>
      <w:r>
        <w:t xml:space="preserve">Is the activity related to something youth have previously done or learned about? If so, how?</w:t>
      </w:r>
    </w:p>
    <w:p>
      <w:pPr>
        <w:pStyle w:val="Compact"/>
        <w:numPr>
          <w:numId w:val="1004"/>
          <w:ilvl w:val="0"/>
        </w:numPr>
      </w:pPr>
      <w:r>
        <w:t xml:space="preserve">Is the activity related to something youth will do or will learn about? If so, how?</w:t>
      </w:r>
    </w:p>
    <w:p>
      <w:pPr>
        <w:pStyle w:val="Compact"/>
        <w:numPr>
          <w:numId w:val="1004"/>
          <w:ilvl w:val="0"/>
        </w:numPr>
      </w:pPr>
      <w:r>
        <w:t xml:space="preserve">Is the activity collaborative? If so, what is happening?</w:t>
      </w:r>
    </w:p>
    <w:p>
      <w:pPr>
        <w:pStyle w:val="Compact"/>
        <w:numPr>
          <w:numId w:val="1004"/>
          <w:ilvl w:val="0"/>
        </w:numPr>
      </w:pPr>
      <w:r>
        <w:t xml:space="preserve">Is anything else of interest or that is noteworthy going on?</w:t>
      </w:r>
    </w:p>
    <w:p>
      <w:pPr>
        <w:pStyle w:val="FirstParagraph"/>
      </w:pPr>
      <w:r>
        <w:t xml:space="preserve">Two coders coded every segment. This coding took around 75 hours of coding by the research assistants. After coding all of the segments for each program, the coders and I met to discuss potential issues that emerged throughout the coding, and to clarify how they applied the coding frame (so the coders and I met nine times during the process to discuss the coding). I then read through all of the codes for all of the segments, and made notes associated with each of the five aspects of work with data (i.e., asking questions, making observations, and the other aspects). These notes focused on whether and in what ways there appeared to be alignment between the codes for work with data (from the PQA) and the conceptual framework for work with data. I used these notes to write detailed descriptions of each of the aspects of work with data.</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To answer this question, Latent Profile Analysis (LPA; Harring &amp; Hodis, 2016; Muthen, 2004) is used in this study. LPA allows for capturing the multidimensional nature of engagement through profiles.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cluster analysis).</w:t>
      </w:r>
    </w:p>
    <w:p>
      <w:pPr>
        <w:pStyle w:val="BodyText"/>
      </w:pPr>
      <w:r>
        <w:t xml:space="preserve">As part of LPA, model selection is a key topic. In particular, different models that determine whether and how different model types can be estimated. For the present study, a wide range of models were considered using wide range of model types and the numbers of profiles. Fit statistics models that were considered are presented in the appendix. To select one model to be interpreted and used in subsequent analyses, a number of fit statistics and other considerations are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w:t>
      </w:r>
    </w:p>
    <w:p>
      <w:pPr>
        <w:pStyle w:val="BodyText"/>
      </w:pPr>
      <w:r>
        <w:t xml:space="preserve">The MPlus software is used to carry out LPA as part of this study. In order to more flexibly carry out LPA, an open-source tool, tidyLPA (Rosenberg, Schmidt, &amp; Beymer,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46" w:name="analysis-for-research-question-3-how-work-with-data-relates-to-engagement"/>
      <w:bookmarkEnd w:id="46"/>
      <w:r>
        <w:t xml:space="preserve">Analysis for Research Question #3 (how work with data relates to engagement)</w:t>
      </w:r>
    </w:p>
    <w:p>
      <w:pPr>
        <w:pStyle w:val="FirstParagraph"/>
      </w:pPr>
      <w:r>
        <w:t xml:space="preserve">Broadly, this question is focused on how work with data as coded from video-recordings of the programs, relates to the profiles. For the primary results for this question, mixed effects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The probability of a response belonging to the profile is the dependent variable and the aspects of work with data are the independent variable; There are six models, for each of the six profiles.</w:t>
      </w:r>
    </w:p>
    <w:p>
      <w:pPr>
        <w:pStyle w:val="BodyText"/>
      </w:pPr>
      <w:r>
        <w:t xml:space="preserve">To answer this question, on how well the aspects of work with data predict the profiles, first, indicators for activities coded for any of the five aspects of work with data are used to predict each profile. The</w:t>
      </w:r>
      <w:r>
        <w:t xml:space="preserve"> </w:t>
      </w:r>
      <w:r>
        <w:rPr>
          <w:i/>
        </w:rPr>
        <w:t xml:space="preserve">lme4</w:t>
      </w:r>
      <w:r>
        <w:t xml:space="preserve"> </w:t>
      </w:r>
      <w:r>
        <w:t xml:space="preserve">R package (Bates, Martin, Bolker, &amp; Walker, 2015) is used. All of the models for this and research question #4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First, null models with only the random parts (i.e., random learner, momentary, and program effects) are specified. Then, the predictors are added to the model with the main effects of the variables added. Because the results (in terms of what is statistically significant for the aspects of work with data and youth characteristics) are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7" w:name="analysis-for-research-question-4-how-youth-characteristics-relate-to-engagement"/>
      <w:bookmarkEnd w:id="47"/>
      <w:r>
        <w:t xml:space="preserve">Analysis for Research Question #4 (how youth characteristics relate to engagement)</w:t>
      </w:r>
    </w:p>
    <w:p>
      <w:pPr>
        <w:pStyle w:val="FirstParagraph"/>
      </w:pPr>
      <w:r>
        <w:t xml:space="preserve">Research question #4 is focused on how the relationships of work with data differ on the basis of youth characteristics–their pre-program interest, gender and URM status. Like for the previous research question, models that account for the cross-classification of the moment and the youth are used. The dependent variable is again the probability of a response being in the profile, and the predictor variables are the youth characteristics. In addition, a model with both the aspects of work with data and youth characteristics included is specified.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8" w:name="sensitivity-analysis"/>
      <w:bookmarkEnd w:id="48"/>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made relative to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49" w:name="results"/>
      <w:bookmarkEnd w:id="49"/>
      <w:r>
        <w:t xml:space="preserve">Results</w:t>
      </w:r>
    </w:p>
    <w:p>
      <w:pPr>
        <w:pStyle w:val="FirstParagraph"/>
      </w:pPr>
      <w:r>
        <w:t xml:space="preserve">In this section, I present the results associated with the preliminary analysis and the four research questions.</w:t>
      </w:r>
    </w:p>
    <w:p>
      <w:pPr>
        <w:pStyle w:val="Heading2"/>
      </w:pPr>
      <w:bookmarkStart w:id="50" w:name="results-from-the-preliminary-analysis"/>
      <w:bookmarkEnd w:id="50"/>
      <w:r>
        <w:t xml:space="preserve">Results from the preliminary analysis</w:t>
      </w:r>
    </w:p>
    <w:p>
      <w:pPr>
        <w:pStyle w:val="Heading3"/>
      </w:pPr>
      <w:bookmarkStart w:id="51" w:name="descriptive-statistics-for-study-variables"/>
      <w:bookmarkEnd w:id="51"/>
      <w:r>
        <w:t xml:space="preserve">Descriptive statistics for study variables</w:t>
      </w:r>
    </w:p>
    <w:p>
      <w:pPr>
        <w:pStyle w:val="FirstParagraph"/>
      </w:pPr>
      <w:r>
        <w:t xml:space="preserve">First, descriptive statistics for all of the study variables–overall pre-interest, the five variables that are used to estimate the profiles, are presented. Overall pre-interest and the variables used to estimate the profiles are presented first.</w:t>
      </w:r>
    </w:p>
    <w:p>
      <w:pPr>
        <w:pStyle w:val="Heading3"/>
      </w:pPr>
      <w:bookmarkStart w:id="52" w:name="correlations-among-study-variables"/>
      <w:bookmarkEnd w:id="52"/>
      <w:r>
        <w:t xml:space="preserve">Correlations among study variables</w:t>
      </w:r>
    </w:p>
    <w:p>
      <w:pPr>
        <w:pStyle w:val="FirstParagraph"/>
      </w:pPr>
      <w:r>
        <w:t xml:space="preserve">Next, correlations between the variables that are used to create the profiles are presented. These correlations, ranging from .08 to .60 (all were significant), reflect moderate relations among the variables used to construct the profiles.</w:t>
      </w:r>
    </w:p>
    <w:p>
      <w:pPr>
        <w:pStyle w:val="Heading2"/>
      </w:pPr>
      <w:bookmarkStart w:id="53" w:name="results-for-research-question-1"/>
      <w:bookmarkEnd w:id="53"/>
      <w:r>
        <w:t xml:space="preserve">Results for Research Question #1</w:t>
      </w:r>
    </w:p>
    <w:p>
      <w:pPr>
        <w:pStyle w:val="Heading3"/>
      </w:pPr>
      <w:bookmarkStart w:id="54" w:name="frequency-of-work-with-data"/>
      <w:bookmarkEnd w:id="54"/>
      <w:r>
        <w:t xml:space="preserve">Frequency of work with data</w:t>
      </w:r>
    </w:p>
    <w:p>
      <w:pPr>
        <w:pStyle w:val="FirstParagraph"/>
      </w:pPr>
      <w:r>
        <w:t xml:space="preserve">Out of the 248 segments, 12 were codeable for work with data; for these, issues with the video-recordings were the primary source of the missing data. In these cases, youth may have still replied to signals, but it was not possible to code for work with data associated with these responses. Of the 236 code-able segments, 170 (72%) were coded as involving</w:t>
      </w:r>
      <w:r>
        <w:t xml:space="preserve"> </w:t>
      </w:r>
      <w:r>
        <w:rPr>
          <w:i/>
        </w:rPr>
        <w:t xml:space="preserve">any</w:t>
      </w:r>
      <w:r>
        <w:t xml:space="preserve"> </w:t>
      </w:r>
      <w:r>
        <w:t xml:space="preserve">of the aspects of work with data. Table 4 includes the frequency of the specific aspects of work with data, with interpreting and communicating findings being the most present (occurring in 47% of the segments), followed by generating data (in 45% of the segments), asking questions (in 39%), data modeling (29%), and then making observations (26%).</w:t>
      </w:r>
    </w:p>
    <w:p>
      <w:pPr>
        <w:pStyle w:val="BodyText"/>
      </w:pPr>
      <w:r>
        <w:t xml:space="preserve">Note that these results are for codes applied to approximately ten-minute (video-recorded) segments and that the aspects of work with data could co-occur. On average, there were 1.86 (</w:t>
      </w:r>
      <w:r>
        <w:rPr>
          <w:i/>
        </w:rPr>
        <w:t xml:space="preserve">SD</w:t>
      </w:r>
      <w:r>
        <w:t xml:space="preserve"> </w:t>
      </w:r>
      <w:r>
        <w:t xml:space="preserve">= 1.61) aspects of work with data present in each moment. This indicates that, on average, youth were engaged in around two of aspects of the work with data during the program.</w:t>
      </w:r>
    </w:p>
    <w:p>
      <w:pPr>
        <w:pStyle w:val="BodyText"/>
      </w:pPr>
      <w:r>
        <w:t xml:space="preserve">We can also examine the breakdown by program (in Table 5), which shows that, descriptively, there exists substantial variability across the programs.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5 Proportion of signals for which each of the aspects of work with data was present by program</w:t>
      </w:r>
    </w:p>
    <w:tbl>
      <w:tblPr>
        <w:tblStyle w:val="TableNormal"/>
        <w:tblW w:type="pct" w:w="0.0"/>
        <w:tblLook w:firstRow="1"/>
        <w:tblCaption w:val="Table 5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55" w:name="nature-of-work-with-data"/>
      <w:bookmarkEnd w:id="55"/>
      <w:r>
        <w:t xml:space="preserve">Nature of work with data</w:t>
      </w:r>
    </w:p>
    <w:p>
      <w:pPr>
        <w:pStyle w:val="FirstParagraph"/>
      </w:pPr>
      <w:r>
        <w:t xml:space="preserve">For these results, the different aspects of work with data were looked at in more detail using an open-ended, qualitative approach in order to better understand the nuance of what was going on during these episodes. This coding resulted in approximately three to four sentence notes from each of two raters for every segment and showed the specific nature of work with data.</w:t>
      </w:r>
    </w:p>
    <w:p>
      <w:pPr>
        <w:pStyle w:val="Heading4"/>
      </w:pPr>
      <w:bookmarkStart w:id="56" w:name="asking-questions-or-identifying-problems"/>
      <w:bookmarkEnd w:id="56"/>
      <w:r>
        <w:t xml:space="preserve">Asking questions or identifying problems</w:t>
      </w:r>
    </w:p>
    <w:p>
      <w:pPr>
        <w:pStyle w:val="FirstParagraph"/>
      </w:pPr>
      <w:r>
        <w:t xml:space="preserve">Asking questions occurred in 92 of the segments (as coded by the PQA). In the 92 segments that were coded with asking questions, the open-ended, in-depth analysis identified 36 segments that were focused on asking questions in ways that were clearly focused on work with data, rather than questions of a more general, STEM-focused nature. When the qualitative coding revealed this activity to be focused on asking questions that were focused on work with data, it was often when youth were trying to better understand the phenomenon or problem they were investigating. For example, in a segment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 Other segments showed that there were also many segments for which the PQA codes suggested asking questions would be present, but the in-depth analysis revealed were not always always focused on predicting, conjecturing, or hypothesizing. In these cases, the code was applied to instances in which the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saw.</w:t>
      </w:r>
    </w:p>
    <w:p>
      <w:pPr>
        <w:pStyle w:val="Heading4"/>
      </w:pPr>
      <w:bookmarkStart w:id="57" w:name="making-observations"/>
      <w:bookmarkEnd w:id="57"/>
      <w:r>
        <w:t xml:space="preserve">Making observations</w:t>
      </w:r>
    </w:p>
    <w:p>
      <w:pPr>
        <w:pStyle w:val="FirstParagraph"/>
      </w:pPr>
      <w:r>
        <w:t xml:space="preserve">Making observations occurred in 57 of the segments (as coded by the PQA), 49 which the open-ended coding revealed were focused on observations in ways that indicated work with data, indicating that this code was used in ways that were close to how this aspect of work with data was conceptualized. Many of the times, this code was applied in conjunction with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 When qualitative coders determined this was not present, it was usually due to the observations being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58" w:name="generating-data"/>
      <w:bookmarkEnd w:id="58"/>
      <w:r>
        <w:t xml:space="preserve">Generating data</w:t>
      </w:r>
    </w:p>
    <w:p>
      <w:pPr>
        <w:pStyle w:val="FirstParagraph"/>
      </w:pPr>
      <w:r>
        <w:t xml:space="preserve">Generating data occurred in 102 segments (as coded by the PQA), 48 of which the in-depth analysis showed were aligned with the coding frame. When generating data was focused on work with data, youth were writing down observations,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 When the PQA code indicated that work with data was present, but the subsequent analysis indicated that this practice was not as focused on work with data, per se, this was often when youth were writing down what the youth activity leader was saying, or was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segment described, youth did not inscribe notes or any other observations on the specimens they were collecting, and so data was not generated (at this stage).</w:t>
      </w:r>
    </w:p>
    <w:p>
      <w:pPr>
        <w:pStyle w:val="Heading4"/>
      </w:pPr>
      <w:bookmarkStart w:id="59" w:name="data-modeling"/>
      <w:bookmarkEnd w:id="59"/>
      <w:r>
        <w:t xml:space="preserve">Data modeling</w:t>
      </w:r>
    </w:p>
    <w:p>
      <w:pPr>
        <w:pStyle w:val="FirstParagraph"/>
      </w:pPr>
      <w:r>
        <w:t xml:space="preserve">Data modeling occurred in 68 segments (as coded by the PQA), 49 which were focused on work with data. Like making observations, for data modeling, there was a high degree of alignment between the PQA codes and what the open-ended coding. When this aspect of work with data was found to be present on the basis of the qualitative coding, youth used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When the PQA code was present but data modeling was not clearly an example of work with data, it was regularly because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0" w:name="interpreting-and-communicating-findings"/>
      <w:bookmarkEnd w:id="60"/>
      <w:r>
        <w:t xml:space="preserve">Interpreting and communicating findings</w:t>
      </w:r>
    </w:p>
    <w:p>
      <w:pPr>
        <w:pStyle w:val="FirstParagraph"/>
      </w:pPr>
      <w:r>
        <w:t xml:space="preserve">Codes for interpreting and communicating were present in 103 segments (as coded by the PQA), in-depth, open-ended coding revealed 49 were clearly focused on work with data. When the qualitative coding revealed this aspect of work with data to be present, youth were often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segment,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segments in which youth were debating the findings of an investigation, such as the results of calculations for the amount of recyclables entering waterways (in</w:t>
      </w:r>
      <w:r>
        <w:t xml:space="preserve"> </w:t>
      </w:r>
      <w:r>
        <w:rPr>
          <w:i/>
        </w:rPr>
        <w:t xml:space="preserve">Marine Investigators</w:t>
      </w:r>
      <w:r>
        <w:t xml:space="preserve">). When not focusing on work with data (which was common for this aspect) youth were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2"/>
      </w:pPr>
      <w:bookmarkStart w:id="61" w:name="results-for-research-question-2-what-profiles-of-youth-engagement-and-its-conditions-emerge-from-experiential-data-collected-in-the-programs"/>
      <w:bookmarkEnd w:id="61"/>
      <w:r>
        <w:t xml:space="preserve">Results for Research Question #2: What profiles of youth engagement and its conditions emerge from experiential data collected in the programs?</w:t>
      </w:r>
    </w:p>
    <w:p>
      <w:pPr>
        <w:pStyle w:val="FirstParagraph"/>
      </w:pPr>
      <w:r>
        <w:t xml:space="preserve">on the basis of the selection criteria you used (you can name them again if you wish), the six profile solution with varying means, equal variances and covariances fixed to 0 emerged as the best fit of the data. This was on the basis of fit statistics, statistical tests, and concerns of interpretability and parsimony. The model demonstrated superior fit on the basis of the information criteria (AIC and BIC) and on the basis of the measure of classification accuracy (entropy). A seven profile solution with the same specifications regarding means, variances and covariances was also a similarly good fit (and is presented in the Appendix), but the 6 profile solution was ultimately chosen on the basis of parsimony and interpretability. For the selected model, presented below,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2"/>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 title="" id="1" name="Picture"/>
            <a:graphic>
              <a:graphicData uri="http://schemas.openxmlformats.org/drawingml/2006/picture">
                <pic:pic>
                  <pic:nvPicPr>
                    <pic:cNvPr descr="rosenberg-dissertation_files/figure-docx/unnamed-chunk-11-2.png" id="0" name="Picture"/>
                    <pic:cNvPicPr>
                      <a:picLocks noChangeArrowheads="1" noChangeAspect="1"/>
                    </pic:cNvPicPr>
                  </pic:nvPicPr>
                  <pic:blipFill>
                    <a:blip r:embed="rId63"/>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5"/>
          <w:ilvl w:val="0"/>
        </w:numPr>
      </w:pPr>
      <w:r>
        <w:t xml:space="preserve">A</w:t>
      </w:r>
      <w:r>
        <w:t xml:space="preserve"> </w:t>
      </w:r>
      <w:r>
        <w:rPr>
          <w:i/>
        </w:rPr>
        <w:t xml:space="preserve">universally low</w:t>
      </w:r>
      <w:r>
        <w:t xml:space="preserve"> </w:t>
      </w:r>
      <w:r>
        <w:t xml:space="preserve">profile</w:t>
      </w:r>
    </w:p>
    <w:p>
      <w:pPr>
        <w:pStyle w:val="Compact"/>
        <w:numPr>
          <w:numId w:val="1005"/>
          <w:ilvl w:val="0"/>
        </w:numPr>
      </w:pPr>
      <w:r>
        <w:t xml:space="preserve">An</w:t>
      </w:r>
      <w:r>
        <w:t xml:space="preserve"> </w:t>
      </w:r>
      <w:r>
        <w:rPr>
          <w:i/>
        </w:rPr>
        <w:t xml:space="preserve">only behaviorally engaged</w:t>
      </w:r>
      <w:r>
        <w:t xml:space="preserve"> </w:t>
      </w:r>
      <w:r>
        <w:t xml:space="preserve">profile, with moderate levels of behavioral engagement, very low affective engagement, and moderately (low) levels of cognitive engagement and challenge and competence</w:t>
      </w:r>
    </w:p>
    <w:p>
      <w:pPr>
        <w:pStyle w:val="Compact"/>
        <w:numPr>
          <w:numId w:val="1005"/>
          <w:ilvl w:val="0"/>
        </w:numPr>
      </w:pPr>
      <w:r>
        <w:t xml:space="preserve">An</w:t>
      </w:r>
      <w:r>
        <w:t xml:space="preserve"> </w:t>
      </w:r>
      <w:r>
        <w:rPr>
          <w:i/>
        </w:rPr>
        <w:t xml:space="preserve">only affectively engaged</w:t>
      </w:r>
      <w:r>
        <w:t xml:space="preserve"> </w:t>
      </w:r>
      <w:r>
        <w:t xml:space="preserve">profile, with moderate levels of affective engagement, low levels of behavioral engagement, and moderately (low) levels of cognitive engagement and challenge and competence</w:t>
      </w:r>
    </w:p>
    <w:p>
      <w:pPr>
        <w:pStyle w:val="Compact"/>
        <w:numPr>
          <w:numId w:val="1005"/>
          <w:ilvl w:val="0"/>
        </w:numPr>
      </w:pPr>
      <w:r>
        <w:t xml:space="preserve">A</w:t>
      </w:r>
      <w:r>
        <w:t xml:space="preserve"> </w:t>
      </w:r>
      <w:r>
        <w:rPr>
          <w:i/>
        </w:rPr>
        <w:t xml:space="preserve">all moderate</w:t>
      </w:r>
      <w:r>
        <w:t xml:space="preserve"> </w:t>
      </w:r>
      <w:r>
        <w:t xml:space="preserve">profile, with moderate levels of affective engagement</w:t>
      </w:r>
    </w:p>
    <w:p>
      <w:pPr>
        <w:pStyle w:val="Compact"/>
        <w:numPr>
          <w:numId w:val="1005"/>
          <w:ilvl w:val="0"/>
        </w:numPr>
      </w:pPr>
      <w:r>
        <w:t xml:space="preserve">An</w:t>
      </w:r>
      <w:r>
        <w:t xml:space="preserve"> </w:t>
      </w:r>
      <w:r>
        <w:rPr>
          <w:i/>
        </w:rPr>
        <w:t xml:space="preserve">engaged and competent but not challenged</w:t>
      </w:r>
      <w:r>
        <w:t xml:space="preserve"> </w:t>
      </w:r>
      <w:r>
        <w:t xml:space="preserve">profile, characterized by high levels of each of the three dimensions of engagement and of competence, but with low levels of challenge</w:t>
      </w:r>
    </w:p>
    <w:p>
      <w:pPr>
        <w:pStyle w:val="Compact"/>
        <w:numPr>
          <w:numId w:val="1005"/>
          <w:ilvl w:val="0"/>
        </w:numPr>
      </w:pPr>
      <w:r>
        <w:t xml:space="preserve">A</w:t>
      </w:r>
      <w:r>
        <w:t xml:space="preserve"> </w:t>
      </w:r>
      <w:r>
        <w:rPr>
          <w:i/>
        </w:rPr>
        <w:t xml:space="preserve">full</w:t>
      </w:r>
      <w:r>
        <w:t xml:space="preserve"> </w:t>
      </w:r>
      <w:r>
        <w:t xml:space="preserve">profile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w:t>
      </w:r>
    </w:p>
    <w:p>
      <w:pPr>
        <w:pStyle w:val="BodyText"/>
      </w:pPr>
      <w:r>
        <w:t xml:space="preserve">In summary, after reviewing a wide range of models, a relatively simple model (model 1) with six profiles was selected for use in subsequent analyses. This model has profiles characterized by both varying levels on the dimensions of engagement and perceptions of challenge and competence. In addition, the number of observations across the profiles is relatively balanced.</w:t>
      </w:r>
    </w:p>
    <w:p>
      <w:pPr>
        <w:pStyle w:val="Heading3"/>
      </w:pPr>
      <w:bookmarkStart w:id="64" w:name="sources-of-variability-in-momentary-profiles"/>
      <w:bookmarkEnd w:id="64"/>
      <w:r>
        <w:t xml:space="preserve">Sources of variability in momentary profiles</w:t>
      </w:r>
    </w:p>
    <w:p>
      <w:pPr>
        <w:pStyle w:val="FirstParagraph"/>
      </w:pPr>
      <w:r>
        <w:t xml:space="preserve">After identifying the model one type, six profile solution, sources of variability in these profiles can be explored in order to anticipate the effects of factors at the youth, momentary, and program levels. First, the proportion of the variability at each of these levels is explored through the use of null, or variance components, models, those that only include grouping (i.e., the variable identifying which youth a response is from, what signal the response is associated with, and from which program the youth and signal were from) factors.</w:t>
      </w:r>
    </w:p>
    <w:p>
      <w:pPr>
        <w:pStyle w:val="Heading4"/>
      </w:pPr>
      <w:bookmarkStart w:id="65" w:name="null-models"/>
      <w:bookmarkEnd w:id="65"/>
      <w:r>
        <w:t xml:space="preserve">Null models</w:t>
      </w:r>
    </w:p>
    <w:p>
      <w:pPr>
        <w:pStyle w:val="FirstParagraph"/>
      </w:pPr>
      <w:r>
        <w:t xml:space="preserve">The null models (with only the grouping factors, or random effects, associated with the youth, momentary, and program levels) provide insight into which of these</w:t>
      </w:r>
      <w:r>
        <w:t xml:space="preserve"> </w:t>
      </w:r>
      <w:r>
        <w:t xml:space="preserve">“</w:t>
      </w:r>
      <w:r>
        <w:t xml:space="preserve">levels</w:t>
      </w:r>
      <w:r>
        <w:t xml:space="preserve">”</w:t>
      </w:r>
      <w:r>
        <w:t xml:space="preserve"> </w:t>
      </w:r>
      <w:r>
        <w:t xml:space="preserve">at which predictors may be able to explain the outcome. For all six profiles, the ICCs at the program level were very small, from 0.00 to 0.023. This suggests that very little variability can be explained simply by the program. For the momentary level, the ICCs were also very small, ranging from 0.004 to 0.011. Finally, the youth-level ICCs ranged from .099 to .427.</w:t>
      </w:r>
    </w:p>
    <w:p>
      <w:pPr>
        <w:pStyle w:val="BodyText"/>
      </w:pPr>
      <w:r>
        <w:t xml:space="preserve">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4"/>
      </w:pPr>
      <w:bookmarkStart w:id="66" w:name="variability-in-momentary-profiles-across-youth"/>
      <w:bookmarkEnd w:id="66"/>
      <w:r>
        <w:t xml:space="preserve">Variability in momentary profiles across youth</w:t>
      </w:r>
    </w:p>
    <w:p>
      <w:pPr>
        <w:pStyle w:val="FirstParagraph"/>
      </w:pPr>
      <w:r>
        <w:t xml:space="preserve">Variability in terms of the profiles youth report can also be considered. These show that there is substantial variability between youth, in that, when youth, for example, report</w:t>
      </w:r>
      <w:r>
        <w:t xml:space="preserve"> </w:t>
      </w:r>
      <w:r>
        <w:rPr>
          <w:i/>
        </w:rPr>
        <w:t xml:space="preserve">Full</w:t>
      </w:r>
      <w:r>
        <w:t xml:space="preserve"> </w:t>
      </w:r>
      <w:r>
        <w:t xml:space="preserve">engagement to a greater extent than any other profile of engagement, these youth (on average) report this engagement in just over 60% of their responses. Their other responses were (on average) associated with a mixture of other profiles. Youth who report more</w:t>
      </w:r>
      <w:r>
        <w:t xml:space="preserve"> </w:t>
      </w:r>
      <w:r>
        <w:rPr>
          <w:i/>
        </w:rPr>
        <w:t xml:space="preserve">Full</w:t>
      </w:r>
      <w:r>
        <w:t xml:space="preserve"> </w:t>
      </w:r>
      <w:r>
        <w:t xml:space="preserve">engagement than any other profile of engagement are the most consistent in reporting one of the profiles of engagement, with youth reporting engagement associated with the</w:t>
      </w:r>
      <w:r>
        <w:t xml:space="preserve"> </w:t>
      </w:r>
      <w:r>
        <w:rPr>
          <w:i/>
        </w:rPr>
        <w:t xml:space="preserve">All moderate</w:t>
      </w:r>
      <w:r>
        <w:t xml:space="preserve"> </w:t>
      </w:r>
      <w:r>
        <w:t xml:space="preserve">profile doing so just less than 40% of the time (with other profiles being associated with the remainder of their responses).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2-1.png" id="0" name="Picture"/>
                    <pic:cNvPicPr>
                      <a:picLocks noChangeArrowheads="1" noChangeAspect="1"/>
                    </pic:cNvPicPr>
                  </pic:nvPicPr>
                  <pic:blipFill>
                    <a:blip r:embed="rId67"/>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2"/>
      </w:pPr>
      <w:bookmarkStart w:id="68" w:name="results-for-research-question-3-how-do-data-practices-relate-to-youth-engagement-in-the-programs"/>
      <w:bookmarkEnd w:id="68"/>
      <w:r>
        <w:t xml:space="preserve">Results for Research Question #3: How do data practices relate to youth engagement in the programs?</w:t>
      </w:r>
    </w:p>
    <w:p>
      <w:pPr>
        <w:pStyle w:val="FirstParagraph"/>
      </w:pPr>
      <w:r>
        <w:t xml:space="preserve">For this question, models with the aspects of work with data both separate from and together with the youth characteristics were fit. The models only with the aspects of work with data yielded very similar results (see the appendix for more details).</w:t>
      </w:r>
    </w:p>
    <w:p>
      <w:pPr>
        <w:pStyle w:val="BodyText"/>
      </w:pPr>
      <w:r>
        <w:t xml:space="preserve">The models with both together were also used as part of research question #4, though they are presented here (and interpreted in the sections for both results). Mixed effects models predicting the probability of membership in each of the six profiles, using the work with data codes as predictors, were specified. Thus each of the rows in the table represents one of the six different models. The only relations with</w:t>
      </w:r>
      <w:r>
        <w:t xml:space="preserve"> </w:t>
      </w:r>
      <w:r>
        <w:rPr>
          <w:i/>
        </w:rPr>
        <w:t xml:space="preserve">p</w:t>
      </w:r>
      <w:r>
        <w:t xml:space="preserve">-values that were below the criterion for statistical significance were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 and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w:t>
      </w:r>
    </w:p>
    <w:p>
      <w:pPr>
        <w:pStyle w:val="BodyText"/>
      </w:pPr>
      <w:r>
        <w:t xml:space="preserve">Results of sensitivity analysis for these effects showed that the effect of modeling data on</w:t>
      </w:r>
      <w:r>
        <w:t xml:space="preserve"> </w:t>
      </w:r>
      <w:r>
        <w:rPr>
          <w:i/>
        </w:rPr>
        <w:t xml:space="preserve">full</w:t>
      </w:r>
      <w:r>
        <w:t xml:space="preserve"> </w:t>
      </w:r>
      <w:r>
        <w:t xml:space="preserve">engagement was more robust than that for generating data (also upon</w:t>
      </w:r>
      <w:r>
        <w:t xml:space="preserve"> </w:t>
      </w:r>
      <w:r>
        <w:rPr>
          <w:i/>
        </w:rPr>
        <w:t xml:space="preserve">full</w:t>
      </w:r>
      <w:r>
        <w:t xml:space="preserve"> </w:t>
      </w:r>
      <w:r>
        <w:t xml:space="preserve">engagement): 9.835% of the effect of modeling would have to be due to bias to invalidate the inference about its effect, whereas only 1.884% of the effect of generating data would need to be due to bias to invalidate the inference about its effect. In summary, there are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 Further explanations and investigations of these effects are the focus on research question #4 (in terms of the effect of youth characteristics) and are discussed in the next chapter.</w:t>
      </w:r>
    </w:p>
    <w:p>
      <w:pPr>
        <w:pStyle w:val="SourceCode"/>
      </w:pPr>
      <w:r>
        <w:rPr>
          <w:rStyle w:val="VerbatimChar"/>
        </w:rPr>
        <w:t xml:space="preserve">## Error in names(ds3) &lt;- c("Profile", "Pre-interest", "Gender-Female", "URM status", : 'names' attribute [10] must be the same length as the vector [7]</w:t>
      </w:r>
    </w:p>
    <w:p>
      <w:pPr>
        <w:pStyle w:val="Heading2"/>
      </w:pPr>
      <w:bookmarkStart w:id="69" w:name="results-for-research-question-4-how-do-youth-characteristics-relate-to-their-engagement-in-summer-stem-programs"/>
      <w:bookmarkEnd w:id="69"/>
      <w:r>
        <w:t xml:space="preserve">Results for Research Question #4: How do youth characteristics relate to their engagement in summer STEM programs?</w:t>
      </w:r>
    </w:p>
    <w:p>
      <w:pPr>
        <w:pStyle w:val="FirstParagraph"/>
      </w:pPr>
      <w:r>
        <w:t xml:space="preserve">For this question, models with the youth characteristics separate from and together with the aspects of work with data were fit. Like for the results for the previous question, the models only with the youth characteristics yielded very similar results; see the appendix. Thus, the models presented in the previous section with both youth characteristics and the aspects of work (see the table above) with data are interpreted here.</w:t>
      </w:r>
    </w:p>
    <w:p>
      <w:pPr>
        <w:pStyle w:val="BodyText"/>
      </w:pPr>
      <w:r>
        <w:t xml:space="preserve">These results show that overall pre-interest is associated with the</w:t>
      </w:r>
      <w:r>
        <w:t xml:space="preserve"> </w:t>
      </w:r>
      <w:r>
        <w:rPr>
          <w:i/>
        </w:rPr>
        <w:t xml:space="preserve">engaged and competent but not challenged</w:t>
      </w:r>
      <w:r>
        <w:t xml:space="preserve"> </w:t>
      </w:r>
      <w:r>
        <w:t xml:space="preserve">profile (</w:t>
      </w:r>
      <m:oMath>
        <m:r>
          <m:t>β</m:t>
        </m:r>
      </m:oMath>
      <w:r>
        <w:t xml:space="preserve"> </w:t>
      </w:r>
      <w:r>
        <w:t xml:space="preserve">= 0.039 (0.016), p = .009). For this effect, 17.879% would be needed to invalidate the inference, suggesting a moderately robust effect. The effect of being a female was not statistically significant but has a relation of 0.060 (0.037, p = .051) upon the probability of a response being associated with the</w:t>
      </w:r>
      <w:r>
        <w:t xml:space="preserve"> </w:t>
      </w:r>
      <w:r>
        <w:rPr>
          <w:i/>
        </w:rPr>
        <w:t xml:space="preserve">universally low</w:t>
      </w:r>
      <w:r>
        <w:t xml:space="preserve"> </w:t>
      </w:r>
      <w:r>
        <w:t xml:space="preserve">profile. For the effect of gender upon the</w:t>
      </w:r>
      <w:r>
        <w:t xml:space="preserve"> </w:t>
      </w:r>
      <w:r>
        <w:rPr>
          <w:i/>
        </w:rPr>
        <w:t xml:space="preserve">universally low</w:t>
      </w:r>
      <w:r>
        <w:t xml:space="preserve"> </w:t>
      </w:r>
      <w:r>
        <w:t xml:space="preserve">profile, 17.843% of the bias would need to be removed (or the effect would need to be larger by this percentage) to sustain the inference. The change in R</w:t>
      </w:r>
      <w:r>
        <w:rPr>
          <w:vertAlign w:val="superscript"/>
        </w:rPr>
        <w:t xml:space="preserve">2</w:t>
      </w:r>
      <w:r>
        <w:t xml:space="preserve"> </w:t>
      </w:r>
      <w:r>
        <w:t xml:space="preserve">values ranged from .004 to .007, suggesting that pre-interest and other individual characteristics - in addition to the aspects of work with data - have minimal relations with the profiles.</w:t>
      </w:r>
    </w:p>
    <w:p>
      <w:pPr>
        <w:pStyle w:val="BodyText"/>
      </w:pPr>
      <w:r>
        <w:t xml:space="preserve">This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 In summary, pre-interest was found to be related to the</w:t>
      </w:r>
      <w:r>
        <w:t xml:space="preserve"> </w:t>
      </w:r>
      <w:r>
        <w:rPr>
          <w:i/>
        </w:rPr>
        <w:t xml:space="preserve">engaged and competent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w:t>
      </w:r>
    </w:p>
    <w:p>
      <w:pPr>
        <w:pStyle w:val="Heading1"/>
      </w:pPr>
      <w:bookmarkStart w:id="70" w:name="discussion"/>
      <w:bookmarkEnd w:id="70"/>
      <w:r>
        <w:t xml:space="preserve">Discussion</w:t>
      </w:r>
    </w:p>
    <w:p>
      <w:pPr>
        <w:pStyle w:val="Heading2"/>
      </w:pPr>
      <w:bookmarkStart w:id="71" w:name="key-findings"/>
      <w:bookmarkEnd w:id="71"/>
      <w:r>
        <w:t xml:space="preserve">Key Findings</w:t>
      </w:r>
    </w:p>
    <w:p>
      <w:pPr>
        <w:pStyle w:val="Heading3"/>
      </w:pPr>
      <w:bookmarkStart w:id="72" w:name="key-findings-for-research-question-1-on-the-frequency-and-nature-of-work-with-data"/>
      <w:bookmarkEnd w:id="72"/>
      <w:r>
        <w:t xml:space="preserve">Key findings for research question #1 (on the frequency and nature of work with data)</w:t>
      </w:r>
    </w:p>
    <w:p>
      <w:pPr>
        <w:pStyle w:val="FirstParagraph"/>
      </w:pPr>
      <w:r>
        <w:t xml:space="preserve">In terms of the frequency and nature of work with data, work with data was found to be common in the summer STEM programs that made the context for this study. A coding frame synthesized from past research carried out in STEM domains on work with data was used to find that work with work with data occurred from around one-quarter of the time of the program’s time (making observations) to around one-half of the program’s time (generating data and communicating findings). Data modeling was, like making observations, less common, whereas asking questions and generating data, like communicating findings, were relatively more common. These findings are as expected based on past research (Lee &amp; Wilkerson, in press) and given the design and goals of summer STEM programs (Dabney et al., 2012; Elam et al., 2012), including those participating in the present study.</w:t>
      </w:r>
    </w:p>
    <w:p>
      <w:pPr>
        <w:pStyle w:val="BodyText"/>
      </w:pPr>
      <w:r>
        <w:t xml:space="preserve">In-depth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more consistent with general aspects of learner-centered, hands-on STEM activities, and not as consistent with work with data in particular. This suggests that while work with data is somewhat common, qualitative analysis is an important part of understanding youths’ engagement in work with data. More veridical forms of it are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73" w:name="key-findings-for-research-question-2-what-profiles-of-engagement-emerge"/>
      <w:bookmarkEnd w:id="73"/>
      <w:r>
        <w:t xml:space="preserve">Key findings for research question #2 (what profiles of engagement emerge)</w:t>
      </w:r>
    </w:p>
    <w:p>
      <w:pPr>
        <w:pStyle w:val="FirstParagraph"/>
      </w:pPr>
      <w:r>
        <w:t xml:space="preserve">Six profiles of engagement and its conditions were identified. These were selected using a rigorous model selection approach and through use of a sophisticated modeling approach (LPA) and statistically software developed for this analysis (tidyLPA).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 Little research has examined profiles of engagement, though Schmidt et al. (2018) examined profiles of momentary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74" w:name="key-findings-for-research-question-3-how-work-with-data-relates-to-engagement"/>
      <w:bookmarkEnd w:id="74"/>
      <w:r>
        <w:t xml:space="preserve">Key findings for research question #3 (how work with data relates to engagement)</w:t>
      </w:r>
    </w:p>
    <w:p>
      <w:pPr>
        <w:pStyle w:val="FirstParagraph"/>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momentary levels were explored; use of cross-classified mixed effects models were particularly helpful for this goal. The amount of variability that could be explained at the program and momentary level was small (no larger for any profile than .023, and as low as .00 at the program level and .004 at the momentary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(momentary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momentary,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75" w:name="key-findings-for-research-question-4-how-youth-characteristics-relate-to-engagement"/>
      <w:bookmarkEnd w:id="75"/>
      <w:r>
        <w:t xml:space="preserve">Key findings for research question #4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76" w:name="limitations-of-the-study-and-recommendations-for-future-research"/>
      <w:bookmarkEnd w:id="76"/>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and its conditions,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momentary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77" w:name="implications-for-practice"/>
      <w:bookmarkEnd w:id="77"/>
      <w:r>
        <w:t xml:space="preserve">Implications for Practice</w:t>
      </w:r>
    </w:p>
    <w:p>
      <w:pPr>
        <w:pStyle w:val="Heading3"/>
      </w:pPr>
      <w:bookmarkStart w:id="78" w:name="engage-youth-in-key-aspects-of-work-with-data"/>
      <w:bookmarkEnd w:id="78"/>
      <w:r>
        <w:t xml:space="preserve">Engage youth in key aspects of work with data</w:t>
      </w:r>
    </w:p>
    <w:p>
      <w:pPr>
        <w:pStyle w:val="FirstParagraph"/>
      </w:pPr>
      <w:r>
        <w:t xml:space="preserve">While limited evidence, this study suggests that generating and modeling data 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learners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3"/>
      </w:pPr>
      <w:bookmarkStart w:id="79" w:name="leverage-the-affordances-of-summer-stem-and-other-stem-enrichment-programs"/>
      <w:bookmarkEnd w:id="79"/>
      <w:r>
        <w:t xml:space="preserve">Leverage the affordances of summer STEM and other STEM enrichment programs</w:t>
      </w:r>
    </w:p>
    <w:p>
      <w:pPr>
        <w:pStyle w:val="FirstParagraph"/>
      </w:pPr>
      <w:r>
        <w:t xml:space="preserve">Another implication for practice concerns the affordances (and constraints) of summer STEM and other STEM enrichment programs. One affordance of these programs relevant to these informal and to K-12 learning environments concerns selecting activities that are engaging to learners. 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3"/>
      </w:pPr>
      <w:bookmarkStart w:id="80" w:name="consider-the-constraints-of-summer-stem-and-other-stem-enrichment-programs"/>
      <w:bookmarkEnd w:id="80"/>
      <w:r>
        <w:t xml:space="preserve">Consider the constraints of summer STEM and other STEM enrichment programs</w:t>
      </w:r>
    </w:p>
    <w:p>
      <w:pPr>
        <w:pStyle w:val="FirstParagraph"/>
      </w:pPr>
      <w:r>
        <w:t xml:space="preserve">There are also constraints to summer STEM and other STEM enrichment programs. For example, 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Another constraint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2"/>
      </w:pPr>
      <w:bookmarkStart w:id="81" w:name="conclusion"/>
      <w:bookmarkEnd w:id="81"/>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practices learners do when working with data, or specific conceptual outcomes,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and its conditions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and its conditions, though some key findings were identified. Generating and modeling data were both related to the most potentially beneficial profile, one characterized by high levels of all five of the variables used to create the profiles. Female youth who were involved in work with data (at the momentary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82" w:name="references"/>
      <w:bookmarkEnd w:id="82"/>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83">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4">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85">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6">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7">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88">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89">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90">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91">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92">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93">
        <w:r>
          <w:rPr>
            <w:rStyle w:val="Hyperlink"/>
          </w:rPr>
          <w:t xml:space="preserve">https://jakewestfall.shinyapps.io/pangea/</w:t>
        </w:r>
      </w:hyperlink>
      <w:r>
        <w:br w:type="textWrapping"/>
      </w:r>
      <w:r>
        <w:t xml:space="preserve">Wickham, H. (2018). CRAN downloads. Retrieved from</w:t>
      </w:r>
      <w:r>
        <w:t xml:space="preserve"> </w:t>
      </w:r>
      <w:hyperlink r:id="rId94">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95">
        <w:r>
          <w:rPr>
            <w:rStyle w:val="Hyperlink"/>
          </w:rPr>
          <w:t xml:space="preserve">doi:10.1007/s10648-016-9358-2</w:t>
        </w:r>
      </w:hyperlink>
    </w:p>
    <w:p>
      <w:pPr>
        <w:pStyle w:val="Heading1"/>
      </w:pPr>
      <w:bookmarkStart w:id="96" w:name="appendix"/>
      <w:bookmarkEnd w:id="96"/>
      <w:r>
        <w:t xml:space="preserve">Appendix</w:t>
      </w:r>
    </w:p>
    <w:p>
      <w:pPr>
        <w:pStyle w:val="Heading2"/>
      </w:pPr>
      <w:bookmarkStart w:id="97" w:name="appendix-a-stem-pqa-alignment"/>
      <w:bookmarkEnd w:id="97"/>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8" w:name="appendix-b-program-descriptions"/>
      <w:bookmarkEnd w:id="98"/>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99" w:name="appendix-c-model-specifications-details"/>
      <w:bookmarkEnd w:id="99"/>
      <w:r>
        <w:t xml:space="preserve">Appendix C: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00" w:name="varying-means-equal-variances-and-covariances-fixed-to-0-model-1"/>
      <w:bookmarkEnd w:id="100"/>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01" w:name="varying-means-equal-variances-and-equal-covariances-model-2"/>
      <w:bookmarkEnd w:id="101"/>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02" w:name="varying-means-varying-variances-and-covariances-fixed-to-0-model-3"/>
      <w:bookmarkEnd w:id="102"/>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03" w:name="varying-means-varying-variances-and-equal-covariances-model-4"/>
      <w:bookmarkEnd w:id="103"/>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4" w:name="varying-means-equal-variances-and-varying-covariances-model-5"/>
      <w:bookmarkEnd w:id="104"/>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5" w:name="varying-means-varying-variances-and-varying-covariances-model-6"/>
      <w:bookmarkEnd w:id="105"/>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6" w:name="appendix-d-additional-details-on-the-model-selection-process"/>
      <w:bookmarkEnd w:id="106"/>
      <w:r>
        <w:t xml:space="preserve">Appendix D: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7"/>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8"/>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9" w:name="appendix-e-alternate-model-selected-model-type-1-seven-profile-solution"/>
      <w:bookmarkEnd w:id="109"/>
      <w:r>
        <w:t xml:space="preserve">Appendix E: Alternate model selected (model type 1, seven profile solution)</w:t>
      </w:r>
    </w:p>
    <w:p>
      <w:pPr>
        <w:pStyle w:val="FirstParagraph"/>
      </w:pPr>
      <w:r>
        <w:t xml:space="preserve">This solution is characterized by:</w:t>
      </w:r>
    </w:p>
    <w:p>
      <w:pPr>
        <w:pStyle w:val="Compact"/>
        <w:numPr>
          <w:numId w:val="1006"/>
          <w:ilvl w:val="0"/>
        </w:numPr>
      </w:pPr>
      <w:r>
        <w:t xml:space="preserve">A</w:t>
      </w:r>
      <w:r>
        <w:t xml:space="preserve"> </w:t>
      </w:r>
      <w:r>
        <w:rPr>
          <w:i/>
        </w:rPr>
        <w:t xml:space="preserve">full</w:t>
      </w:r>
      <w:r>
        <w:t xml:space="preserve"> </w:t>
      </w:r>
      <w:r>
        <w:t xml:space="preserve">profile, profile 7</w:t>
      </w:r>
    </w:p>
    <w:p>
      <w:pPr>
        <w:pStyle w:val="Compact"/>
        <w:numPr>
          <w:numId w:val="1006"/>
          <w:ilvl w:val="0"/>
        </w:numPr>
      </w:pPr>
      <w:r>
        <w:t xml:space="preserve">A</w:t>
      </w:r>
      <w:r>
        <w:t xml:space="preserve"> </w:t>
      </w:r>
      <w:r>
        <w:rPr>
          <w:i/>
        </w:rPr>
        <w:t xml:space="preserve">universally low</w:t>
      </w:r>
      <w:r>
        <w:t xml:space="preserve"> </w:t>
      </w:r>
      <w:r>
        <w:t xml:space="preserve">profile, profile 1</w:t>
      </w:r>
    </w:p>
    <w:p>
      <w:pPr>
        <w:pStyle w:val="Compact"/>
        <w:numPr>
          <w:numId w:val="1006"/>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6"/>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6"/>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6"/>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6"/>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10"/>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11"/>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ab74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8488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49c3c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hyperlink" Id="rId95" Target="doi:10.1007/s10648-016-9358-2" TargetMode="External" /><Relationship Type="http://schemas.openxmlformats.org/officeDocument/2006/relationships/hyperlink" Id="rId90" Target="doi:10.1080/00461520.2014.1002924" TargetMode="External" /><Relationship Type="http://schemas.openxmlformats.org/officeDocument/2006/relationships/hyperlink" Id="rId83" Target="http://doi.org/10.1002/j.2161-0045.2015.00097.x" TargetMode="External" /><Relationship Type="http://schemas.openxmlformats.org/officeDocument/2006/relationships/hyperlink" Id="rId91" Target="http://doi.org/10.1007/s10964-007-9241-z" TargetMode="External" /><Relationship Type="http://schemas.openxmlformats.org/officeDocument/2006/relationships/hyperlink" Id="rId87" Target="http://dx.doi.org/10.1016/j.learninstruc.2017.07.007" TargetMode="External" /><Relationship Type="http://schemas.openxmlformats.org/officeDocument/2006/relationships/hyperlink" Id="rId86" Target="http://dx.doi.org/10.1037/edu0000214" TargetMode="External" /><Relationship Type="http://schemas.openxmlformats.org/officeDocument/2006/relationships/hyperlink" Id="rId92" Target="http://faculty.sites.uci.edu/childcare/files/2013/07/SL-Outcomes-2011-Pilot_Edited_8.19.pdf" TargetMode="External" /><Relationship Type="http://schemas.openxmlformats.org/officeDocument/2006/relationships/hyperlink" Id="rId84" Target="https://doi.org/10.1007/978-1-4614-2018-7_37" TargetMode="External" /><Relationship Type="http://schemas.openxmlformats.org/officeDocument/2006/relationships/hyperlink" Id="rId89" Target="https://dx.doi.org/10.1002/tea.21409" TargetMode="External" /><Relationship Type="http://schemas.openxmlformats.org/officeDocument/2006/relationships/hyperlink" Id="rId94" Target="https://hadley.shinyapps.io/cran-downloads/" TargetMode="External" /><Relationship Type="http://schemas.openxmlformats.org/officeDocument/2006/relationships/hyperlink" Id="rId93" Target="https://jakewestfall.shinyapps.io/pangea/" TargetMode="External" /><Relationship Type="http://schemas.openxmlformats.org/officeDocument/2006/relationships/hyperlink" Id="rId88" Target="https://jrosen48.github.io/r-markdown/comparing-mplus-mclust.html" TargetMode="External" /><Relationship Type="http://schemas.openxmlformats.org/officeDocument/2006/relationships/hyperlink" Id="rId85"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5" Target="doi:10.1007/s10648-016-9358-2" TargetMode="External" /><Relationship Type="http://schemas.openxmlformats.org/officeDocument/2006/relationships/hyperlink" Id="rId90" Target="doi:10.1080/00461520.2014.1002924" TargetMode="External" /><Relationship Type="http://schemas.openxmlformats.org/officeDocument/2006/relationships/hyperlink" Id="rId83" Target="http://doi.org/10.1002/j.2161-0045.2015.00097.x" TargetMode="External" /><Relationship Type="http://schemas.openxmlformats.org/officeDocument/2006/relationships/hyperlink" Id="rId91" Target="http://doi.org/10.1007/s10964-007-9241-z" TargetMode="External" /><Relationship Type="http://schemas.openxmlformats.org/officeDocument/2006/relationships/hyperlink" Id="rId87" Target="http://dx.doi.org/10.1016/j.learninstruc.2017.07.007" TargetMode="External" /><Relationship Type="http://schemas.openxmlformats.org/officeDocument/2006/relationships/hyperlink" Id="rId86" Target="http://dx.doi.org/10.1037/edu0000214" TargetMode="External" /><Relationship Type="http://schemas.openxmlformats.org/officeDocument/2006/relationships/hyperlink" Id="rId92" Target="http://faculty.sites.uci.edu/childcare/files/2013/07/SL-Outcomes-2011-Pilot_Edited_8.19.pdf" TargetMode="External" /><Relationship Type="http://schemas.openxmlformats.org/officeDocument/2006/relationships/hyperlink" Id="rId84" Target="https://doi.org/10.1007/978-1-4614-2018-7_37" TargetMode="External" /><Relationship Type="http://schemas.openxmlformats.org/officeDocument/2006/relationships/hyperlink" Id="rId89" Target="https://dx.doi.org/10.1002/tea.21409" TargetMode="External" /><Relationship Type="http://schemas.openxmlformats.org/officeDocument/2006/relationships/hyperlink" Id="rId94" Target="https://hadley.shinyapps.io/cran-downloads/" TargetMode="External" /><Relationship Type="http://schemas.openxmlformats.org/officeDocument/2006/relationships/hyperlink" Id="rId93" Target="https://jakewestfall.shinyapps.io/pangea/" TargetMode="External" /><Relationship Type="http://schemas.openxmlformats.org/officeDocument/2006/relationships/hyperlink" Id="rId88" Target="https://jrosen48.github.io/r-markdown/comparing-mplus-mclust.html" TargetMode="External" /><Relationship Type="http://schemas.openxmlformats.org/officeDocument/2006/relationships/hyperlink" Id="rId85"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2018-05-02T16:58:29Z</dcterms:created>
  <dcterms:modified xsi:type="dcterms:W3CDTF">2018-05-02T16:58:29Z</dcterms:modified>
</cp:coreProperties>
</file>