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6.png" ContentType="image/png"/>
  <Override PartName="/word/media/rId107.png" ContentType="image/png"/>
  <Override PartName="/word/media/rId103.png" ContentType="image/png"/>
  <Override PartName="/word/media/rId104.png" ContentType="image/png"/>
  <Override PartName="/word/media/rId63.png" ContentType="image/png"/>
  <Override PartName="/word/media/rId6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2018-06-03</w:t>
      </w:r>
    </w:p>
    <w:p>
      <w:pPr>
        <w:pStyle w:val="Heading1"/>
      </w:pPr>
      <w:bookmarkStart w:id="21" w:name="intro-placemarker"/>
      <w:bookmarkEnd w:id="21"/>
      <w:r>
        <w:t xml:space="preserve">Introduction</w:t>
      </w:r>
    </w:p>
    <w:p>
      <w:pPr>
        <w:pStyle w:val="FirstParagraph"/>
      </w:pPr>
      <w:r>
        <w:t xml:space="preserve">Socializing, working, and even teaching and learning are increasingly impacted by data. These sources of data–either quantitative</w:t>
      </w:r>
      <w:r>
        <w:t xml:space="preserve"> </w:t>
      </w:r>
      <w:r>
        <w:rPr>
          <w:i/>
        </w:rPr>
        <w:t xml:space="preserve">or</w:t>
      </w:r>
      <w:r>
        <w:t xml:space="preserve"> </w:t>
      </w:r>
      <w:r>
        <w:t xml:space="preserve">qualitative–are created by us, for us, and about us. Despite the impacts of data, present opportunities for learners themselves to work with data in educational settings are limited.</w:t>
      </w:r>
    </w:p>
    <w:p>
      <w:pPr>
        <w:pStyle w:val="BodyText"/>
      </w:pPr>
      <w:r>
        <w:t xml:space="preserve">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in press; Singer, Hilton, &amp; Schweingruber, 2006; Wild &amp; Pfannkuch, 1999).</w:t>
      </w:r>
    </w:p>
    <w:p>
      <w:pPr>
        <w:pStyle w:val="BodyText"/>
      </w:pPr>
      <w:r>
        <w:t xml:space="preserve">Despite not being very widespread, aspects of work with data cut across STEM (Science Technology Engineering and Mathematics) domains: Aspects of work with data are recognized as core competencies across recent curricular documents, particularly the</w:t>
      </w:r>
      <w:r>
        <w:t xml:space="preserve"> </w:t>
      </w:r>
      <w:r>
        <w:rPr>
          <w:i/>
        </w:rPr>
        <w:t xml:space="preserve">Next Generation Science Standards</w:t>
      </w:r>
      <w:r>
        <w:t xml:space="preserve"> </w:t>
      </w:r>
      <w:r>
        <w:t xml:space="preserve">(NGSS Lead States, 2013) and the</w:t>
      </w:r>
      <w:r>
        <w:t xml:space="preserve"> </w:t>
      </w:r>
      <w:r>
        <w:rPr>
          <w:i/>
        </w:rPr>
        <w:t xml:space="preserve">Common Core State Standards</w:t>
      </w:r>
      <w:r>
        <w:t xml:space="preserve"> </w:t>
      </w:r>
      <w:r>
        <w:t xml:space="preserve">(in mathematics; National Governors Association Center for Best Practices, Council of Chief State School Officers, 2010). Both of these standards highlight the role of authentic work work with data.</w:t>
      </w:r>
    </w:p>
    <w:p>
      <w:pPr>
        <w:pStyle w:val="BodyText"/>
      </w:pPr>
      <w:r>
        <w:t xml:space="preserve">Past research on work with data has largely been set in mathematics contexts and has focused on mathematical practices, like generating measures of phenomena and creating data models (English, 2012; Lehrer &amp; Romberg, 1996; Lesh, Middleton, Caylor, &amp; Gupta, 2008). There has been some research about work with data in science settings (Lee &amp; Wilkerson, in press; National Research Council, 2012), though this work varies greatly in terms of the nature of work with data (McNeill &amp; Berland, 2017). Findings from this past research broadly suggests that engaging in work with data is powerful in terms of learning both about and how to do mathematics and science. Lehrer and Schauble , summarizing past research on the use of mathematical practices in science contexts, note that work with data</w:t>
      </w:r>
      <w:r>
        <w:t xml:space="preserve"> </w:t>
      </w:r>
      <w:r>
        <w:t xml:space="preserve">“</w:t>
      </w:r>
      <w:r>
        <w:t xml:space="preserve">has an exceptionally high payoff in terms of students’ scientific reasoning</w:t>
      </w:r>
      <w:r>
        <w:t xml:space="preserve">”</w:t>
      </w:r>
      <w:r>
        <w:t xml:space="preserve"> </w:t>
      </w:r>
      <w:r>
        <w:t xml:space="preserve">(Lehrer &amp; Schauble, 2015, p. 696).</w:t>
      </w:r>
    </w:p>
    <w:p>
      <w:pPr>
        <w:pStyle w:val="BodyText"/>
      </w:pPr>
      <w:r>
        <w:t xml:space="preserve">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pPr>
        <w:pStyle w:val="BodyText"/>
      </w:pPr>
      <w:r>
        <w:t xml:space="preserve">The purpose of this study, then, is to examine youth engagement in a variety of learning activities that involve work with data. Engagement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student engagement, and approaches to analyzing complex psychological constructs, like engagement. In this review of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 (i.e., across all of the STEM content areas)–I focus on the core 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not stand-alone practices but are a part of a cycle. This is not only because each aspect follows that before it, but also because the overall process is iterative: For example,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As a result,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the past research that has been carried out,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w:t>
      </w:r>
      <w:r>
        <w:t xml:space="preserve"> </w:t>
      </w:r>
      <w:r>
        <w:rPr>
          <w:i/>
        </w:rPr>
        <w:t xml:space="preserve">empirically</w:t>
      </w:r>
      <w:r>
        <w:t xml:space="preserve"> </w:t>
      </w:r>
      <w:r>
        <w:t xml:space="preserve">through an approach called the Experience Sampling Method, or ESM, and describe how multidimensional data, collected by ESM, can be analyzed.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pPr>
        <w:pStyle w:val="Heading2"/>
      </w:pPr>
      <w:bookmarkStart w:id="28" w:name="youth-characteristics-that-may-effect-their-engagement"/>
      <w:bookmarkEnd w:id="28"/>
      <w:r>
        <w:t xml:space="preserve">Youth characteristics that may effect their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is the use of</w:t>
      </w:r>
      <w:r>
        <w:t xml:space="preserve"> </w:t>
      </w:r>
      <w:r>
        <w:rPr>
          <w:i/>
        </w:rPr>
        <w:t xml:space="preserve">profiles of</w:t>
      </w:r>
      <w:r>
        <w:t xml:space="preserve">, or groups of variables that are measured. This profile approach is especially important given the multidimensional nature of engagement. In past research, profiles are commonly used as part of what are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w:t>
      </w:r>
      <w:r>
        <w:t xml:space="preserve"> </w:t>
      </w:r>
      <w:r>
        <w:rPr>
          <w:i/>
        </w:rPr>
        <w:t xml:space="preserve">profiles of engagement</w:t>
      </w:r>
      <w:r>
        <w:t xml:space="preserve"> </w:t>
      </w:r>
      <w:r>
        <w:t xml:space="preserve">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In reference to research questions 2-5, the ESM responses that make up the profiles are associated with different</w:t>
      </w:r>
      <w:r>
        <w:t xml:space="preserve"> </w:t>
      </w:r>
      <w:r>
        <w:t xml:space="preserve">“</w:t>
      </w:r>
      <w:r>
        <w:t xml:space="preserve">levels.</w:t>
      </w:r>
      <w:r>
        <w:t xml:space="preserve">”</w:t>
      </w:r>
      <w:r>
        <w:t xml:space="preserve"> </w:t>
      </w:r>
      <w:r>
        <w:t xml:space="preserve">These</w:t>
      </w:r>
      <w:r>
        <w:t xml:space="preserve"> </w:t>
      </w:r>
      <w:r>
        <w:rPr>
          <w:i/>
        </w:rPr>
        <w:t xml:space="preserve">levels</w:t>
      </w:r>
      <w:r>
        <w:t xml:space="preserve">, or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levels present given the approach to data collection and the nature of the sample. Interpreting their effects is not a goal of this study, but accounting for them in the models used, as in this study, is important and and is done via random effects.</w:t>
      </w:r>
    </w:p>
    <w:p>
      <w:pPr>
        <w:pStyle w:val="BodyText"/>
      </w:pPr>
      <w: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summarize, pre-program interest, gender, and URM status, and the aspects of work with data are used as predictor variables, while the three levels (youth, instructional episode, and program) are accounted for in the modeling strategy.</w:t>
      </w:r>
    </w:p>
    <w:p>
      <w:pPr>
        <w:pStyle w:val="BodyText"/>
      </w:pPr>
      <w:r>
        <w:t xml:space="preserve">The five research questions, then, are:</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was nine out-of-school STEM programs during 2015 in the Northeast United States. Two</w:t>
      </w:r>
      <w:r>
        <w:t xml:space="preserve"> </w:t>
      </w:r>
      <w:r>
        <w:rPr>
          <w:i/>
        </w:rPr>
        <w:t xml:space="preserve">intermediary organizations</w:t>
      </w:r>
      <w:r>
        <w:t xml:space="preserve"> </w:t>
      </w:r>
      <w:r>
        <w:t xml:space="preserve">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pPr>
        <w:pStyle w:val="BodyText"/>
      </w:pPr>
      <w:r>
        <w:t xml:space="preserve">There was a difference between the two intermediary organizations, namely, one</w:t>
      </w:r>
      <w:r>
        <w:t xml:space="preserve"> </w:t>
      </w:r>
      <w:r>
        <w:rPr>
          <w:i/>
        </w:rPr>
        <w:t xml:space="preserve">separated academic and enrichment-related activities</w:t>
      </w:r>
      <w:r>
        <w:t xml:space="preserve">, whereas, in the other, the</w:t>
      </w:r>
      <w:r>
        <w:t xml:space="preserve"> </w:t>
      </w:r>
      <w:r>
        <w:rPr>
          <w:i/>
        </w:rPr>
        <w:t xml:space="preserve">academic and enrichment components were more integrated</w:t>
      </w:r>
      <w:r>
        <w:t xml:space="preserve">,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consisted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Before the start of the programs, youth completed a pre-survey that included questions about their experience in STEM, intention to pursue a STEM major or career, and other motivation and engagement-related measures.</w:t>
      </w:r>
    </w:p>
    <w:p>
      <w:pPr>
        <w:pStyle w:val="BodyText"/>
      </w:pPr>
      <w:r>
        <w:t xml:space="preserve">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pPr>
        <w:pStyle w:val="BodyText"/>
      </w:pPr>
      <w:r>
        <w:t xml:space="preserve">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pPr>
        <w:pStyle w:val="Heading2"/>
      </w:pPr>
      <w:bookmarkStart w:id="37" w:name="data-sources-and-measures"/>
      <w:bookmarkEnd w:id="37"/>
      <w:r>
        <w:t xml:space="preserve">Data Sources and Measures</w:t>
      </w:r>
    </w:p>
    <w:p>
      <w:pPr>
        <w:pStyle w:val="FirstParagraph"/>
      </w:pPr>
      <w:r>
        <w:t xml:space="preserve">Data sources consist of ESM measures of engagement and youths’ perceptions of themselves and the activity, pre-survey measures of youths’ interest, youths’ demographic information, and the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pPr>
        <w:pStyle w:val="BodyText"/>
      </w:pPr>
      <w:r>
        <w:t xml:space="preserve">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the-five-key-aspects-of-work-with-data"/>
      <w:bookmarkEnd w:id="39"/>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3 Coding Frame for Work With Data</w:t>
      </w:r>
    </w:p>
    <w:tbl>
      <w:tblPr>
        <w:tblStyle w:val="TableNormal"/>
        <w:tblW w:type="pct" w:w="0.0"/>
        <w:tblLook w:firstRow="1"/>
        <w:tblCaption w:val="Table 3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survey-measures-of-pre-interest-in-stem"/>
      <w:bookmarkEnd w:id="40"/>
      <w:r>
        <w:t xml:space="preserve">Survey measures of pre-interest in STEM</w:t>
      </w:r>
    </w:p>
    <w:p>
      <w:pPr>
        <w:pStyle w:val="FirstParagraph"/>
      </w:pPr>
      <w:r>
        <w:t xml:space="preserve">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4 Measure for pre-program interest in STEM</w:t>
      </w:r>
    </w:p>
    <w:tbl>
      <w:tblPr>
        <w:tblStyle w:val="TableNormal"/>
        <w:tblW w:type="pct" w:w="0.0"/>
        <w:tblLook w:firstRow="1"/>
        <w:tblCaption w:val="Table 4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other-youth-characteristics"/>
      <w:bookmarkEnd w:id="41"/>
      <w:r>
        <w:t xml:space="preserve">Other youth characteristics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Heading3"/>
      </w:pPr>
      <w:bookmarkStart w:id="43" w:name="preliminary-analyses"/>
      <w:bookmarkEnd w:id="43"/>
      <w:r>
        <w:t xml:space="preserve">Preliminary analyses</w:t>
      </w:r>
    </w:p>
    <w:p>
      <w:pPr>
        <w:pStyle w:val="FirstParagraph"/>
      </w:pPr>
      <w:r>
        <w:t xml:space="preserve">Correlations (first-order Pearson) and the frequency, range, mean (</w:t>
      </w:r>
      <w:r>
        <w:rPr>
          <w:i/>
        </w:rPr>
        <w:t xml:space="preserve">M</w:t>
      </w:r>
      <w:r>
        <w:t xml:space="preserve">), and standard deviation (</w:t>
      </w:r>
      <w:r>
        <w:rPr>
          <w:i/>
        </w:rPr>
        <w:t xml:space="preserve">SD</w:t>
      </w:r>
      <w:r>
        <w:t xml:space="preserve">) are first presented for all variables. In addition, the frequency of the codes for aspects of work with data and the numbers of responses by youth, program, and instructional episode are presented. Note that out of the 248 instructional episodes, 236 were code-able for work with data; for the 12 that were not codeable, issues with the video-recordings were the primary source of the missing data. These 236 responses are used for all of the analyses.</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were two primary steps taken to answer this question, one more quantitative in nature and one more qualitative. The quantitative aspect focused on the frequency of work with data, whereas the qualitative aspect focused on the specific nature of work with data.</w:t>
      </w:r>
    </w:p>
    <w:p>
      <w:pPr>
        <w:pStyle w:val="BodyText"/>
      </w:pPr>
      <w: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w:t>
      </w:r>
      <w:r>
        <w:t xml:space="preserve"> </w:t>
      </w:r>
      <w:r>
        <w:t xml:space="preserve">provide insight about how often each of the aspects took place during the programs. Note that this coding frame focused on the degree of</w:t>
      </w:r>
      <w:r>
        <w:t xml:space="preserve"> </w:t>
      </w:r>
      <w:r>
        <w:rPr>
          <w:i/>
        </w:rPr>
        <w:t xml:space="preserve">instructional support</w:t>
      </w:r>
      <w:r>
        <w:t xml:space="preserve"> </w:t>
      </w:r>
      <w:r>
        <w:t xml:space="preserve">the activity leaders provided for youth to work with data, thus results from this analysis will show how often support for the different aspects of work with data was provided, though youth may engage in the aspects of work with data to varying degrees.</w:t>
      </w:r>
    </w:p>
    <w:p>
      <w:pPr>
        <w:pStyle w:val="BodyText"/>
      </w:pPr>
      <w: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w:t>
      </w:r>
      <w:r>
        <w:t xml:space="preserve"> </w:t>
      </w:r>
      <w:r>
        <w:rPr>
          <w:i/>
        </w:rPr>
        <w:t xml:space="preserve">how</w:t>
      </w:r>
      <w:r>
        <w:t xml:space="preserve"> </w:t>
      </w:r>
      <w:r>
        <w:t xml:space="preserve">youth were asking questions will not be evident from the codes as they are used. In order to provide more detail in terms of the nature of work with data in summer STEM segments, the data was coded with an open-ended, qualitative approach.</w:t>
      </w:r>
    </w:p>
    <w:p>
      <w:pPr>
        <w:pStyle w:val="BodyText"/>
      </w:pPr>
      <w:r>
        <w:t xml:space="preserve">Specifically, three research assistants were trained for approximately eight hours, over the course of four meetings. Then, each research assistant coded all of the segments associated with the videos for a particular. Two coders coded every segment, except for the segments for which the quantitative coding indicated no aspects of work with data were present; instead, for these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questioning or defining problems was observed, what types of questions/problems were involved?</w:t>
      </w:r>
    </w:p>
    <w:p>
      <w:pPr>
        <w:pStyle w:val="Compact"/>
        <w:numPr>
          <w:numId w:val="1004"/>
          <w:ilvl w:val="0"/>
        </w:numPr>
      </w:pPr>
      <w:r>
        <w:t xml:space="preserve">When making observations is coded, what is the focus of observing?</w:t>
      </w:r>
    </w:p>
    <w:p>
      <w:pPr>
        <w:pStyle w:val="Compact"/>
        <w:numPr>
          <w:numId w:val="1004"/>
          <w:ilvl w:val="0"/>
        </w:numPr>
      </w:pPr>
      <w:r>
        <w:t xml:space="preserve">When generating data is coded, what is being collected or recorded?</w:t>
      </w:r>
    </w:p>
    <w:p>
      <w:pPr>
        <w:pStyle w:val="Compact"/>
        <w:numPr>
          <w:numId w:val="1004"/>
          <w:ilvl w:val="0"/>
        </w:numPr>
      </w:pPr>
      <w:r>
        <w:t xml:space="preserve">When analyzing or modeling data is coded, what analysis is being done, or what models are used?</w:t>
      </w:r>
    </w:p>
    <w:p>
      <w:pPr>
        <w:pStyle w:val="Compact"/>
        <w:numPr>
          <w:numId w:val="1004"/>
          <w:ilvl w:val="0"/>
        </w:numPr>
      </w:pPr>
      <w:r>
        <w:t xml:space="preserve">When interpreting and communicating findings is coded, what is being interpreted or communicated?</w:t>
      </w:r>
    </w:p>
    <w:p>
      <w:pPr>
        <w:pStyle w:val="FirstParagraph"/>
      </w:pPr>
      <w:r>
        <w:t xml:space="preserve">For all of the guiding questions, the coders also took note of</w:t>
      </w:r>
      <w:r>
        <w:t xml:space="preserve"> </w:t>
      </w:r>
      <w:r>
        <w:rPr>
          <w:i/>
        </w:rPr>
        <w:t xml:space="preserve">who</w:t>
      </w:r>
      <w:r>
        <w:t xml:space="preserve"> </w:t>
      </w:r>
      <w:r>
        <w:t xml:space="preserve">(the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pPr>
        <w:pStyle w:val="BodyText"/>
      </w:pPr>
      <w:r>
        <w:t xml:space="preserve">After coding all of the segments for each program, the coders and I met to discuss potential issues that emerged throughout the coding. The goal of meeting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through statistical software I developed,</w:t>
      </w:r>
      <w:r>
        <w:t xml:space="preserve"> </w:t>
      </w:r>
      <w:r>
        <w:rPr>
          <w:i/>
        </w:rPr>
        <w:t xml:space="preserve">tidyLPA</w:t>
      </w:r>
      <w:r>
        <w:t xml:space="preserve">.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is described in the section for the results for this research question.</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pPr>
        <w:pStyle w:val="BodyText"/>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BodyText"/>
      </w:pPr>
      <w:r>
        <w:t xml:space="preserve">The ICCs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w:t>
      </w:r>
      <w:r>
        <w:t xml:space="preserve"> </w:t>
      </w:r>
      <w:r>
        <w:rPr>
          <w:i/>
        </w:rPr>
        <w:t xml:space="preserve">Fully</w:t>
      </w:r>
      <w:r>
        <w:t xml:space="preserve"> </w:t>
      </w:r>
      <w:r>
        <w:t xml:space="preserve">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pPr>
        <w:pStyle w:val="Heading3"/>
      </w:pPr>
      <w:bookmarkStart w:id="47" w:name="analysis-for-research-question-4-how-work-with-data-relates-to-engagement"/>
      <w:bookmarkEnd w:id="47"/>
      <w:r>
        <w:t xml:space="preserve">Analysis for Research Question #4 (how work with data relates to engagement)</w:t>
      </w:r>
    </w:p>
    <w:p>
      <w:pPr>
        <w:pStyle w:val="FirstParagraph"/>
      </w:pPr>
      <w: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8" w:name="analysis-for-research-question-5-how-youth-characteristics-relate-to-engagement"/>
      <w:bookmarkEnd w:id="48"/>
      <w:r>
        <w:t xml:space="preserve">Analysis for Research Question #5 (how youth characteristics relate to engagement)</w:t>
      </w:r>
    </w:p>
    <w:p>
      <w:pPr>
        <w:pStyle w:val="FirstParagraph"/>
      </w:pPr>
      <w:r>
        <w:t xml:space="preserve">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pPr>
        <w:pStyle w:val="BodyText"/>
      </w:pPr>
      <w:r>
        <w:t xml:space="preserve">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w:t>
      </w:r>
    </w:p>
    <w:p>
      <w:pPr>
        <w:pStyle w:val="BodyText"/>
      </w:pPr>
      <w:r>
        <w:t xml:space="preserve">The result of the sensitivity analysis, and what is used to interpret and contextualize findings, is a numeric value, between 0 and 1, for each effect that indicates the proportion of the estimate that would have to be biased in order to invalidate the inference. Value close to 0, such as .05, indicate that a very small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pPr>
        <w:pStyle w:val="BodyText"/>
      </w:pPr>
      <w:r>
        <w:t xml:space="preserve">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just how little would need to change in order for an effect to be determined to be significant. H</w:t>
      </w:r>
    </w:p>
    <w:p>
      <w:pPr>
        <w:pStyle w:val="BodyText"/>
      </w:pPr>
      <w:r>
        <w:t xml:space="preserve">higher values from the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Heading2"/>
      </w:pPr>
      <w:bookmarkStart w:id="51" w:name="preliminary-results"/>
      <w:bookmarkEnd w:id="51"/>
      <w:r>
        <w:t xml:space="preserve">Preliminary results</w:t>
      </w:r>
    </w:p>
    <w:p>
      <w:pPr>
        <w:pStyle w:val="Heading3"/>
      </w:pPr>
      <w:bookmarkStart w:id="52" w:name="descriptive-statistics-for-the-engagement-measures"/>
      <w:bookmarkEnd w:id="52"/>
      <w:r>
        <w:t xml:space="preserve">Descriptive statistics for the engagement measures</w:t>
      </w:r>
    </w:p>
    <w:p>
      <w:pPr>
        <w:pStyle w:val="FirstParagraph"/>
      </w:pPr>
      <w:r>
        <w:t xml:space="preserve">First, descriptive statistics for the engagement measures (the five variables that were used to estimate the profiles) are presented in Table 4.1. These statistics show high overall levels of the three indicators of engagement (with mean values on scales that ranged from one to four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These statistics also show high perceptions of competence (</w:t>
      </w:r>
      <w:r>
        <w:rPr>
          <w:i/>
        </w:rPr>
        <w:t xml:space="preserve">M</w:t>
      </w:r>
      <w:r>
        <w:t xml:space="preserve"> </w:t>
      </w:r>
      <w:r>
        <w:t xml:space="preserve">= 3.000 (</w:t>
      </w:r>
      <w:r>
        <w:rPr>
          <w:i/>
        </w:rPr>
        <w:t xml:space="preserve">SD</w:t>
      </w:r>
      <w:r>
        <w:t xml:space="preserve"> </w:t>
      </w:r>
      <w:r>
        <w:t xml:space="preserve">= 0.952)), and more moderate perceptions of challenge (</w:t>
      </w:r>
      <w:r>
        <w:rPr>
          <w:i/>
        </w:rPr>
        <w:t xml:space="preserve">M</w:t>
      </w:r>
      <w:r>
        <w:t xml:space="preserve"> </w:t>
      </w:r>
      <w:r>
        <w:t xml:space="preserve">= 2.270 (</w:t>
      </w:r>
      <w:r>
        <w:rPr>
          <w:i/>
        </w:rPr>
        <w:t xml:space="preserve">SD</w:t>
      </w:r>
      <w:r>
        <w:t xml:space="preserve"> </w:t>
      </w:r>
      <w:r>
        <w:t xml:space="preserve">= 1.117)).</w:t>
      </w:r>
    </w:p>
    <w:p>
      <w:pPr>
        <w:pStyle w:val="Heading3"/>
      </w:pPr>
      <w:bookmarkStart w:id="53" w:name="correlations-among-the-study-variables"/>
      <w:bookmarkEnd w:id="53"/>
      <w:r>
        <w:t xml:space="preserve">Correlations among the study variables</w:t>
      </w:r>
    </w:p>
    <w:p>
      <w:pPr>
        <w:pStyle w:val="FirstParagraph"/>
      </w:pPr>
      <w:r>
        <w:t xml:space="preserve">Next, correlations between the variables that are used to create the profiles of engagement are presented in Table 4.2. These correlations,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show low to moderate relations among these variables.</w:t>
      </w:r>
    </w:p>
    <w:p>
      <w:pPr>
        <w:pStyle w:val="Heading2"/>
      </w:pPr>
      <w:bookmarkStart w:id="54" w:name="results-for-research-question-1"/>
      <w:bookmarkEnd w:id="54"/>
      <w:r>
        <w:t xml:space="preserve">Results for Research Question #1</w:t>
      </w:r>
    </w:p>
    <w:p>
      <w:pPr>
        <w:pStyle w:val="Heading3"/>
      </w:pPr>
      <w:bookmarkStart w:id="55" w:name="frequency-of-the-aspects-of-work-with-data"/>
      <w:bookmarkEnd w:id="55"/>
      <w:r>
        <w:t xml:space="preserve">Frequency of the aspects of work with data</w:t>
      </w:r>
    </w:p>
    <w:p>
      <w:pPr>
        <w:pStyle w:val="FirstParagraph"/>
      </w:pPr>
      <w:r>
        <w:t xml:space="preserve">Of the 236 instructional episodes used in the analysis, 170 (72%) were coded as involving</w:t>
      </w:r>
      <w:r>
        <w:t xml:space="preserve"> </w:t>
      </w:r>
      <w:r>
        <w:rPr>
          <w:i/>
        </w:rPr>
        <w:t xml:space="preserve">any</w:t>
      </w:r>
      <w:r>
        <w:t xml:space="preserve"> </w:t>
      </w:r>
      <w:r>
        <w:t xml:space="preserve">of the five aspects of work with data. As presented in Table 4.3, the five aspects of work with data occurred frequently. Making observations was found to be the least frequent of the five aspects, occurring in 24% of instructional episodes. Data modeling was the next most frequency, occurring in 29% of the episodes, followed by asking questions (38%), generating data (43%), and communicating findings (43%, again).</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0.381</w:t>
            </w:r>
          </w:p>
        </w:tc>
        <w:tc>
          <w:p>
            <w:pPr>
              <w:pStyle w:val="Compact"/>
              <w:jc w:val="right"/>
            </w:pPr>
            <w:r>
              <w:t xml:space="preserve">90</w:t>
            </w:r>
          </w:p>
        </w:tc>
      </w:tr>
      <w:tr>
        <w:tc>
          <w:p>
            <w:pPr>
              <w:pStyle w:val="Compact"/>
              <w:jc w:val="left"/>
            </w:pPr>
            <w:r>
              <w:t xml:space="preserve">Making Observations</w:t>
            </w:r>
          </w:p>
        </w:tc>
        <w:tc>
          <w:p>
            <w:pPr>
              <w:pStyle w:val="Compact"/>
              <w:jc w:val="right"/>
            </w:pPr>
            <w:r>
              <w:t xml:space="preserve">0.242</w:t>
            </w:r>
          </w:p>
        </w:tc>
        <w:tc>
          <w:p>
            <w:pPr>
              <w:pStyle w:val="Compact"/>
              <w:jc w:val="right"/>
            </w:pPr>
            <w:r>
              <w:t xml:space="preserve">57</w:t>
            </w:r>
          </w:p>
        </w:tc>
      </w:tr>
      <w:tr>
        <w:tc>
          <w:p>
            <w:pPr>
              <w:pStyle w:val="Compact"/>
              <w:jc w:val="left"/>
            </w:pPr>
            <w:r>
              <w:t xml:space="preserve">Generating Data</w:t>
            </w:r>
          </w:p>
        </w:tc>
        <w:tc>
          <w:p>
            <w:pPr>
              <w:pStyle w:val="Compact"/>
              <w:jc w:val="right"/>
            </w:pPr>
            <w:r>
              <w:t xml:space="preserve">0.432</w:t>
            </w:r>
          </w:p>
        </w:tc>
        <w:tc>
          <w:p>
            <w:pPr>
              <w:pStyle w:val="Compact"/>
              <w:jc w:val="right"/>
            </w:pPr>
            <w:r>
              <w:t xml:space="preserve">102</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0.436</w:t>
            </w:r>
          </w:p>
        </w:tc>
        <w:tc>
          <w:p>
            <w:pPr>
              <w:pStyle w:val="Compact"/>
              <w:jc w:val="right"/>
            </w:pPr>
            <w:r>
              <w:t xml:space="preserve">103</w:t>
            </w:r>
          </w:p>
        </w:tc>
      </w:tr>
    </w:tbl>
    <w:p>
      <w:pPr>
        <w:pStyle w:val="BodyText"/>
      </w:pPr>
      <w:r>
        <w:t xml:space="preserve">Note that these results are for the codes for the (approximately ten-minute, video-recorded) instructional episodes, and that the aspects of work with data</w:t>
      </w:r>
      <w:r>
        <w:t xml:space="preserve"> </w:t>
      </w:r>
      <w:r>
        <w:rPr>
          <w:i/>
        </w:rPr>
        <w:t xml:space="preserve">can</w:t>
      </w:r>
      <w:r>
        <w:t xml:space="preserve"> </w:t>
      </w:r>
      <w:r>
        <w:t xml:space="preserve">(and</w:t>
      </w:r>
      <w:r>
        <w:t xml:space="preserve"> </w:t>
      </w:r>
      <w:r>
        <w:rPr>
          <w:i/>
        </w:rPr>
        <w:t xml:space="preserve">did</w:t>
      </w:r>
      <w:r>
        <w:t xml:space="preserve">) co-occur: On average, there were 1.86 (</w:t>
      </w:r>
      <w:r>
        <w:rPr>
          <w:i/>
        </w:rPr>
        <w:t xml:space="preserve">SD</w:t>
      </w:r>
      <w:r>
        <w:t xml:space="preserve"> </w:t>
      </w:r>
      <w:r>
        <w:t xml:space="preserve">= 1.61) aspects of work with data present during each instructional episode. This indicates that, on average, youth were engaged in around two of aspects of the work with data during each instructional episode. There was a considerable amount of variability in the extent to which these types of work with data were supported in each program. In Appendix C, the frequencies by program are presented.</w:t>
      </w:r>
    </w:p>
    <w:p>
      <w:pPr>
        <w:pStyle w:val="Heading3"/>
      </w:pPr>
      <w:bookmarkStart w:id="56" w:name="the-nature-of-work-with-data"/>
      <w:bookmarkEnd w:id="56"/>
      <w:r>
        <w:t xml:space="preserve">The nature of work with data</w:t>
      </w:r>
    </w:p>
    <w:p>
      <w:pPr>
        <w:pStyle w:val="FirstParagraph"/>
      </w:pPr>
      <w:r>
        <w:t xml:space="preserve">The open-ended, qualitative approach used to understand the specific nature of youths’ work with data showed there to be distinct ways in which youth worked with data. Note that for each aspect of work with data, the percentages of the themes do not sum to 100% as sum instructional episodes involved the presence of the aspect of work with data in ways that were not very common and systematic.</w:t>
      </w:r>
    </w:p>
    <w:p>
      <w:pPr>
        <w:pStyle w:val="Heading4"/>
      </w:pPr>
      <w:bookmarkStart w:id="57" w:name="asking-questions-or-identifying-problems"/>
      <w:bookmarkEnd w:id="57"/>
      <w:r>
        <w:t xml:space="preserve">Asking questions or identifying problems</w:t>
      </w:r>
    </w:p>
    <w:p>
      <w:pPr>
        <w:pStyle w:val="FirstParagraph"/>
      </w:pPr>
      <w:r>
        <w:t xml:space="preserve">Among the instructional episodes that involved asking questions, qualitative descriptions revealed that around one-third (36/92, or 39%) explicitly demonstrated youth working to understand the phenomenon or problem they were investigating.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conjecturing, or hypothesizing, but rather on asking a more general type of question (21/92; 23%), or involved the</w:t>
      </w:r>
      <w:r>
        <w:t xml:space="preserve"> </w:t>
      </w:r>
      <w:r>
        <w:rPr>
          <w:i/>
        </w:rPr>
        <w:t xml:space="preserve">instructor</w:t>
      </w:r>
      <w:r>
        <w:t xml:space="preserve"> </w:t>
      </w:r>
      <w:r>
        <w:t xml:space="preserve">(but not youth) posing questions or identifying problems (14/96; 16%). In the former case, youth were found to be asking generic questions about understanding the assignment, task, or even the phenomena.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math-related prompts or questions to elicit their conceptual understanding).</w:t>
      </w:r>
    </w:p>
    <w:p>
      <w:pPr>
        <w:pStyle w:val="Heading4"/>
      </w:pPr>
      <w:bookmarkStart w:id="58" w:name="making-observations"/>
      <w:bookmarkEnd w:id="58"/>
      <w:r>
        <w:t xml:space="preserve">Making observations</w:t>
      </w:r>
    </w:p>
    <w:p>
      <w:pPr>
        <w:pStyle w:val="FirstParagraph"/>
      </w:pPr>
      <w:r>
        <w:t xml:space="preserve">In the instructional episodes when the STEM-PQA revealed that youth were making observations, the vast majority (49/57, 86%) of these were focused on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small number of cases making observations were focused on making observations not of phenomena, but of something more general (10/57; 18%). For example, in the</w:t>
      </w:r>
      <w:r>
        <w:t xml:space="preserve"> </w:t>
      </w:r>
      <w:r>
        <w:rPr>
          <w:i/>
        </w:rPr>
        <w:t xml:space="preserve">Adventures in Mathematics</w:t>
      </w:r>
      <w:r>
        <w:t xml:space="preserve"> </w:t>
      </w:r>
      <w:r>
        <w:t xml:space="preserve">program, youth observed other youth or the youth activity leader solving a mathematics problem.</w:t>
      </w:r>
    </w:p>
    <w:p>
      <w:pPr>
        <w:pStyle w:val="Heading4"/>
      </w:pPr>
      <w:bookmarkStart w:id="59" w:name="generating-data"/>
      <w:bookmarkEnd w:id="59"/>
      <w:r>
        <w:t xml:space="preserve">Generating data</w:t>
      </w:r>
    </w:p>
    <w:p>
      <w:pPr>
        <w:pStyle w:val="FirstParagraph"/>
      </w:pPr>
      <w:r>
        <w:t xml:space="preserve">In about half (48/102; 47%) of the episodes that involved generating data, youth were writing down their own observations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During some of these cases, youth generated data, but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w:t>
      </w:r>
      <w:r>
        <w:t xml:space="preserve">particularly, youth often generated data that resulted from their engineering designs (and communicated and interpreted their findings,) but did not model this data as a regular part of their activities. In a specific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generating data through using generated data in subsequent activities, in which youth could interpret and communicate findings related to the state of the water in their ecosystem; but, instead, it was potentially limiting in terms of youth’s engagement in work with data.</w:t>
      </w:r>
    </w:p>
    <w:p>
      <w:pPr>
        <w:pStyle w:val="BodyText"/>
      </w:pPr>
      <w:r>
        <w:t xml:space="preserve">In a very small number of cases (2/102; 2%), youth collected, but did not write down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were collected to serve as data for a future activity, there was no recording observed during the episode.</w:t>
      </w:r>
    </w:p>
    <w:p>
      <w:pPr>
        <w:pStyle w:val="BodyText"/>
      </w:pPr>
      <w:r>
        <w:t xml:space="preserve">Very often, in the (approximately) other half of episodes related to this aspect of work with data, the ways in which youth generated data were not very systematic.</w:t>
      </w:r>
    </w:p>
    <w:p>
      <w:pPr>
        <w:pStyle w:val="Heading4"/>
      </w:pPr>
      <w:bookmarkStart w:id="60" w:name="data-modeling"/>
      <w:bookmarkEnd w:id="60"/>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Very often these are focused on solving equations, even when related to real-life (as in buying groceries, how money is spent, and how to budget, in</w:t>
      </w:r>
      <w:r>
        <w:t xml:space="preserve"> </w:t>
      </w:r>
      <w:r>
        <w:rPr>
          <w:i/>
        </w:rPr>
        <w:t xml:space="preserve">Comunidad de Apendizaje</w:t>
      </w:r>
      <w:r>
        <w:t xml:space="preserve">). In these episodes during which youth were modeling data (4/68; 6%), they were using equations provided by the youth activity leader to solve problems</w:t>
      </w:r>
    </w:p>
    <w:p>
      <w:pPr>
        <w:pStyle w:val="BodyText"/>
      </w:pPr>
      <w:r>
        <w:t xml:space="preserve">A model was not always one of data. In a small number of the cases (5/68; 7%), the model was a physical model, such as during the</w:t>
      </w:r>
      <w:r>
        <w:t xml:space="preserve"> </w:t>
      </w:r>
      <w:r>
        <w:rPr>
          <w:i/>
        </w:rPr>
        <w:t xml:space="preserve">Crazy Machines</w:t>
      </w:r>
      <w:r>
        <w:t xml:space="preserve"> </w:t>
      </w:r>
      <w:r>
        <w:t xml:space="preserve">program, in which youth saw how changes to their Rube Goldberg machine worked or did not work.</w:t>
      </w:r>
    </w:p>
    <w:p>
      <w:pPr>
        <w:pStyle w:val="BodyText"/>
      </w:pPr>
      <w:r>
        <w:t xml:space="preserve">Related, while the data modeling activities were often ambitious,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 However, apart from data modeling, other aspects of work with data were rarely present, and most of the data that youth worked with was provided by the teacher or considered in the abstract.</w:t>
      </w:r>
    </w:p>
    <w:p>
      <w:pPr>
        <w:pStyle w:val="BodyText"/>
      </w:pPr>
      <w:r>
        <w:t xml:space="preserve">In a smaller number of instructional episodes not focused on ambitious data modeling activities, this aspect of work with data was present when the youth activity leader, rather than students, was doing the modeling (4/68; 6%), or the model was not one that could generate data (19/68; 28%).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1" w:name="interpreting-and-communicating-findings"/>
      <w:bookmarkEnd w:id="61"/>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approximately half of the responses that were not focused on youth sharing what they found from an investigation, youth were most commonly communicating about topics other than the results of an investigation or design process (3/103, 3%), such as trying to find out the answer to a discrete question posed by the youth activity leader, or the youth activity leader was who was doing the interpreting and communicating (4/103, 4%). For example, in the former case, during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 In the latter case (the youth activity leader was doing the interpreting and communicating), youth commonly engaged in other aspects of work with data (i.e., generating data), but the youth activity leader compiled, modeled, and then interpreted the data that the youth generated.</w:t>
      </w:r>
    </w:p>
    <w:p>
      <w:pPr>
        <w:pStyle w:val="Heading2"/>
      </w:pPr>
      <w:bookmarkStart w:id="62" w:name="results-for-research-question-2-what-profiles-of-youth-engagement-emerge-from-experiential-data-collected-in-the-programs"/>
      <w:bookmarkEnd w:id="62"/>
      <w:r>
        <w:t xml:space="preserve">Results for Research Question #2: What profiles of youth engagement emerge from experiential data collected in the programs?</w:t>
      </w:r>
    </w:p>
    <w:p>
      <w:pPr>
        <w:pStyle w:val="FirstParagraph"/>
      </w:pPr>
      <w:r>
        <w:t xml:space="preserve">On the basis of fit statistics, statistical tests, and concerns of interpretability and parsimony, a solution with six profiles was selected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in terms of the fit statistics and statistical tests. This solution, presented in Appendix F, was determined to not be superior to the six profile solution, ultimately chosen on the basis of parsimony and interpretability.</w:t>
      </w:r>
    </w:p>
    <w:p>
      <w:pPr>
        <w:pStyle w:val="BodyText"/>
      </w:pPr>
      <w:r>
        <w:t xml:space="preserve">The results of this model selection process was the estimation of</w:t>
      </w:r>
      <w:r>
        <w:t xml:space="preserve"> </w:t>
      </w:r>
      <w:r>
        <w:rPr>
          <w:i/>
        </w:rPr>
        <w:t xml:space="preserve">six distinct profiles</w:t>
      </w:r>
      <w:r>
        <w:t xml:space="preserve"> </w:t>
      </w:r>
      <w:r>
        <w:t xml:space="preserve">identified from the data, as presented in Figures 4.1 and 4.2. Figure 4.1 shows the profiles with variables that were centered to have a mean equal to 0 and a standard deviation of 1. Thus, the</w:t>
      </w:r>
      <w:r>
        <w:t xml:space="preserve"> </w:t>
      </w:r>
      <w:r>
        <w:rPr>
          <w:i/>
        </w:rPr>
        <w:t xml:space="preserve">y</w:t>
      </w:r>
      <w:r>
        <w:t xml:space="preserve">-axis for this plot is labeled</w:t>
      </w:r>
      <w:r>
        <w:t xml:space="preserve"> </w:t>
      </w:r>
      <w:r>
        <w:t xml:space="preserve">“</w:t>
      </w:r>
      <w:r>
        <w:t xml:space="preserve">Z-score</w:t>
      </w:r>
      <w:r>
        <w:t xml:space="preserve">”</w:t>
      </w:r>
      <w:r>
        <w:t xml:space="preserve">). 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r>
        <w:t xml:space="preserve"> </w:t>
      </w:r>
      <w:r>
        <w:t xml:space="preserve">The two plots are presented because they provide different insight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youth considered when they responded (and potentially highlighting similarities that may seem very different in the plot with the centered data).</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working hard, learning something new, and enjoying the activity, and perceptions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working hard, very low enjoyment of the activity, and moderately (low) levels of learning something new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enjoyment, low levels of hard work, and moderately (low) levels of cognitive learning something new,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indicators of working hard, learning something new, enjoying the activity,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working hard, learning something new, enjoying the activity, and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working hard, learning something new, enjoying the activity, challenge, and competence</w:t>
      </w:r>
    </w:p>
    <w:p>
      <w:pPr>
        <w:pStyle w:val="FirstParagraph"/>
      </w:pPr>
      <w:r>
        <w:t xml:space="preserve">The six profiles are characterized by both varying levels on both the indicators of engagement (cognitive, behavioral, and affective) and perceptions of challenge and competence. In addition, the number of observations across the profiles is relatively balanced (with no profiles associated with a very large or small number of observations). The universally low profile was associated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The results for research questions 3-5 use this solution and the six profiles in subsequent analyses.</w:t>
      </w:r>
    </w:p>
    <w:p>
      <w:pPr>
        <w:pStyle w:val="Heading2"/>
      </w:pPr>
      <w:bookmarkStart w:id="65" w:name="results-for-research-question-3-what-sources-of-variability-are-there-for-the-profiles-of-engagement"/>
      <w:bookmarkEnd w:id="65"/>
      <w:r>
        <w:t xml:space="preserve">Results for Research Question #3: What sources of variability are there for the profiles of engagement?</w:t>
      </w:r>
    </w:p>
    <w:p>
      <w:pPr>
        <w:pStyle w:val="FirstParagraph"/>
      </w:pPr>
      <w:r>
        <w:t xml:space="preserve">For all six profiles, the ICCs represent the systematic variability (the proportion of variance explained) associated with each of the three levels (youth, instructional episode, and program) for each profile. Thus, the different levels can have different proportions of variance explained for different profiles: The systematic variability at the youth level, for example, could be .10 for the</w:t>
      </w:r>
      <w:r>
        <w:t xml:space="preserve"> </w:t>
      </w:r>
      <w:r>
        <w:rPr>
          <w:i/>
        </w:rPr>
        <w:t xml:space="preserve">Full</w:t>
      </w:r>
      <w:r>
        <w:t xml:space="preserve"> </w:t>
      </w:r>
      <w:r>
        <w:t xml:space="preserve">profile and .025 for the</w:t>
      </w:r>
      <w:r>
        <w:t xml:space="preserve"> </w:t>
      </w:r>
      <w:r>
        <w:rPr>
          <w:i/>
        </w:rPr>
        <w:t xml:space="preserve">Universally Low</w:t>
      </w:r>
      <w:r>
        <w:t xml:space="preserve"> </w:t>
      </w:r>
      <w:r>
        <w:t xml:space="preserve">profile.</w:t>
      </w:r>
    </w:p>
    <w:p>
      <w:pPr>
        <w:pStyle w:val="BodyText"/>
      </w:pPr>
      <w:r>
        <w:t xml:space="preserve">At the program level, the ICCs were found to be small, with values ranging from 0.00 to 0.023, suggesting that little variability can be explained by the program youth were in. For the instructional episode level, the ICCs were also small, ranging from 0.004 to 0.01. Finally, at the youth-level, the ICCs ranged from .093 to .432. Looking across these values, most of the explained variability in the responses is associated with youth; the program and instructional episode levels were associated with very small values, suggesting that variables at the instructional episode may have minimal effects, although adding variables at</w:t>
      </w:r>
      <w:r>
        <w:t xml:space="preserve"> </w:t>
      </w:r>
      <w:r>
        <w:rPr>
          <w:i/>
        </w:rPr>
        <w:t xml:space="preserve">other</w:t>
      </w:r>
      <w:r>
        <w:t xml:space="preserve"> </w:t>
      </w:r>
      <w:r>
        <w:t xml:space="preserve">levels (i.e., youth characteristics that are at the youth level) can change the value of (other levels’) ICCs (Gelman &amp; Hill, 2007).</w:t>
      </w:r>
    </w:p>
    <w:p>
      <w:pPr>
        <w:pStyle w:val="BodyText"/>
      </w:pPr>
      <w:r>
        <w:t xml:space="preserve">As described earlier, the levels are associated with different ICCs for different profiles. In terms of ICCS at youth level across the six profiles,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for the ICC at the youth level (</w:t>
      </w:r>
      <w:r>
        <w:rPr>
          <w:i/>
        </w:rPr>
        <w:t xml:space="preserve">ICC</w:t>
      </w:r>
      <w:r>
        <w:t xml:space="preserve"> </w:t>
      </w:r>
      <w:r>
        <w:t xml:space="preserve">= .267). Finally, a large amount of variability is associated with the residual (variance that is not associated with the program, instructional episode, or youth levels). This suggests that there is wide variation in students’ responses that may not be readily explained or predicted by variables</w:t>
      </w:r>
      <w:r>
        <w:t xml:space="preserve"> </w:t>
      </w:r>
      <w:r>
        <w:rPr>
          <w:i/>
        </w:rPr>
        <w:t xml:space="preserve">at one level alone</w:t>
      </w:r>
      <w:r>
        <w:t xml:space="preserve">. Remaining unexplained variability is captured by the residual term. Some youth from particular programs may engage during some episode instructional episodes in very high or low ways that are not captured by modeling the variability at each of these levels alone.</w:t>
      </w:r>
    </w:p>
    <w:p>
      <w:pPr>
        <w:pStyle w:val="BodyText"/>
      </w:pPr>
      <w:r>
        <w:t xml:space="preserve">The ICCs lend insight into the sources of variability for a specific profile. In addition to this analysis, examining how often youth reported the same across instructional episodes lends further insight into sources of variability for the profiles. This analysis can be particularly useful for understanding variability at the youth level, which the ICCs show to be associated with the most systematic variability. As presented in Figure 4.3, the mean proportion of responses for each youth in the profile they reported most varied widely across youth. There was a small number of youth who reported the same profile in all of their responses, but for most youth, the profile they reported most made up only a portion of all of their responses. For most youth, the most frequent profile was observed just over 50% of the time. Specifically, on average, youth reported their most-reported profile in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of their responses.</w:t>
      </w:r>
    </w:p>
    <w:p>
      <w:pPr>
        <w:pStyle w:val="BodyText"/>
      </w:pPr>
      <w:r>
        <w:t xml:space="preserve">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4-1.png" id="0" name="Picture"/>
                    <pic:cNvPicPr>
                      <a:picLocks noChangeArrowheads="1" noChangeAspect="1"/>
                    </pic:cNvPicPr>
                  </pic:nvPicPr>
                  <pic:blipFill>
                    <a:blip r:embed="rId6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7" w:name="results-for-research-question-4-aspects-of-work-with-data-and-engagement"/>
      <w:bookmarkEnd w:id="67"/>
      <w:r>
        <w:t xml:space="preserve">Results for Research Question #4: Aspects of work with data and engagement</w:t>
      </w:r>
    </w:p>
    <w:p>
      <w:pPr>
        <w:pStyle w:val="FirstParagraph"/>
      </w:pPr>
      <w:r>
        <w:t xml:space="preserve">As a part of the analysis for this question, six models (one for each profile) were specified. For these models, the probability of a response being associated with one of the six profiles was the dependent variable, and the aspects of work with data were the predictor (or independent) variables. As this question is about how the aspects of work with data relate to the profiles, the coefficients associated with each of the five aspects are interpreted in order to provide results for this research question: While the youth characteristics were included in the same six models, these are interpreted for research question #5. I included both of the two sets of variables in this same models because the results were practically the same whether they were included separate models (i.e., only the aspects of work with data in six models and only the youth characteristics in six models) or the same (both the aspects of work with data and the youth characteristics in the same six models) models.</w:t>
      </w:r>
    </w:p>
    <w:p>
      <w:pPr>
        <w:pStyle w:val="BodyText"/>
      </w:pPr>
      <w:r>
        <w:t xml:space="preserve">The results for this and the next research question are both presented in Table 4.5. In this table, each column represents the output from one of the six different models. As an example, the first column in Table 5.4 includes results for the model predicting the probability of a response being associated with the</w:t>
      </w:r>
      <w:r>
        <w:t xml:space="preserve"> </w:t>
      </w:r>
      <w:r>
        <w:rPr>
          <w:i/>
        </w:rPr>
        <w:t xml:space="preserve">Only behavioral</w:t>
      </w:r>
      <w:r>
        <w:t xml:space="preserve"> </w:t>
      </w:r>
      <w:r>
        <w:t xml:space="preserve">profile as the dependent variable. Each other cell in this column contains the coefficients (and their standard errors and asterisks indicating statistical significance) for each of the predictor variables. Note that the</w:t>
      </w:r>
      <w:r>
        <w:t xml:space="preserve"> </w:t>
      </w:r>
      <w:r>
        <w:rPr>
          <w:i/>
        </w:rPr>
        <w:t xml:space="preserve">p</w:t>
      </w:r>
      <w:r>
        <w:t xml:space="preserve">-values are calculated using the most conservative and recommended by recent research</w:t>
      </w:r>
      <w:r>
        <w:t xml:space="preserve"> </w:t>
      </w:r>
      <w:r>
        <w:rPr>
          <w:i/>
        </w:rPr>
        <w:t xml:space="preserve">Kenward-Rogers approximation</w:t>
      </w:r>
      <w:r>
        <w:t xml:space="preserve"> </w:t>
      </w:r>
      <w:r>
        <w:t xml:space="preserve">(Halekoh &amp; Hojsgaard, 2014).</w:t>
      </w:r>
    </w:p>
    <w:p>
      <w:pPr>
        <w:pStyle w:val="BodyText"/>
      </w:pPr>
      <w:r>
        <w:t xml:space="preserve">This analysis showed that there were minimal relations between work with data and the profiles.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One relation that was statistically significant was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w:t>
      </w:r>
      <w:r>
        <w:t xml:space="preserve"> </w:t>
      </w:r>
      <w:r>
        <w:rPr>
          <w:i/>
        </w:rPr>
        <w:t xml:space="preserve">partial R^2</w:t>
      </w:r>
      <w:r>
        <w:t xml:space="preserve"> </w:t>
      </w:r>
      <w:r>
        <w:t xml:space="preserve">= .002). Another was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w:t>
      </w:r>
      <w:r>
        <w:t xml:space="preserve"> </w:t>
      </w:r>
      <w:r>
        <w:rPr>
          <w:i/>
        </w:rPr>
        <w:t xml:space="preserve">partial R^2</w:t>
      </w:r>
      <w:r>
        <w:t xml:space="preserve"> </w:t>
      </w:r>
      <w:r>
        <w:t xml:space="preserve">= .002): When youth were either modeling or generating data, they were more likely to be fully engaged. The effect of asking questions was marginally significant upon the probability of a response being associated with the</w:t>
      </w:r>
      <w:r>
        <w:t xml:space="preserve"> </w:t>
      </w:r>
      <w:r>
        <w:rPr>
          <w:i/>
        </w:rPr>
        <w:t xml:space="preserve">All moderate</w:t>
      </w:r>
      <w:r>
        <w:t xml:space="preserve"> </w:t>
      </w:r>
      <w:r>
        <w:t xml:space="preserve">profile (</w:t>
      </w:r>
      <m:oMath>
        <m:r>
          <m:t>β</m:t>
        </m:r>
      </m:oMath>
      <w:r>
        <w:t xml:space="preserve"> </w:t>
      </w:r>
      <w:r>
        <w:t xml:space="preserve">= 0.023 (0.017),</w:t>
      </w:r>
      <w:r>
        <w:t xml:space="preserve"> </w:t>
      </w:r>
      <w:r>
        <w:rPr>
          <w:i/>
        </w:rPr>
        <w:t xml:space="preserve">p</w:t>
      </w:r>
      <w:r>
        <w:t xml:space="preserve"> </w:t>
      </w:r>
      <w:r>
        <w:t xml:space="preserve">= .090;</w:t>
      </w:r>
      <w:r>
        <w:t xml:space="preserve"> </w:t>
      </w:r>
      <w:r>
        <w:rPr>
          <w:i/>
        </w:rPr>
        <w:t xml:space="preserve">partial R^2</w:t>
      </w:r>
      <w:r>
        <w:t xml:space="preserve"> </w:t>
      </w:r>
      <w:r>
        <w:t xml:space="preserve">= .001). The effect sizes suggest very small effects in substantive terms.</w:t>
      </w:r>
    </w:p>
    <w:p>
      <w:pPr>
        <w:pStyle w:val="BodyText"/>
      </w:pPr>
      <w:r>
        <w:t xml:space="preserve">After finding there to be few relations between the aspects of work with data and engagement, sensitivity analysis for the statistical significant to determine just how robust the statistically significant effects are was carried out. This follow-up analysis revealed that the effect of modeling data on</w:t>
      </w:r>
      <w:r>
        <w:t xml:space="preserve"> </w:t>
      </w:r>
      <w:r>
        <w:rPr>
          <w:i/>
        </w:rPr>
        <w:t xml:space="preserve">Full</w:t>
      </w:r>
      <w:r>
        <w:t xml:space="preserve"> </w:t>
      </w:r>
      <w:r>
        <w:t xml:space="preserve">engagement was more robust than that for generating data (also upon</w:t>
      </w:r>
      <w:r>
        <w:t xml:space="preserve"> </w:t>
      </w:r>
      <w:r>
        <w:rPr>
          <w:i/>
        </w:rPr>
        <w:t xml:space="preserve">Full</w:t>
      </w:r>
      <w:r>
        <w:t xml:space="preserve"> </w:t>
      </w:r>
      <w:r>
        <w:t xml:space="preserve">engagement): 9.835% of the effect of modeling would have to be due to bias to invalidate the inference about its effect, whereas only 1.884% of the effect of generating data would need to be due to bias to invalidate the inference about its effect. These are not minuscule but are also not very large values (Frank, 2003). Thus, neither of these findings is particularly robust. Further explanations and investigations of these effects are the focus on research question #5 (in terms of the effect of youth characteristics) and are also discussed in the next chapter.</w:t>
      </w:r>
    </w:p>
    <w:p>
      <w:pPr>
        <w:pStyle w:val="SourceCode"/>
      </w:pPr>
      <w:r>
        <w:rPr>
          <w:rStyle w:val="VerbatimChar"/>
        </w:rPr>
        <w:t xml:space="preserve">## Error in add_indent_latex(out, seq(start_row, end_row)): There aren't that many rows in the table. Check positions in add_indent_latex.</w:t>
      </w:r>
    </w:p>
    <w:p>
      <w:pPr>
        <w:pStyle w:val="Heading2"/>
      </w:pPr>
      <w:bookmarkStart w:id="68" w:name="results-for-research-question-5-youth-characteristics-and-engagement"/>
      <w:bookmarkEnd w:id="68"/>
      <w:r>
        <w:t xml:space="preserve">Results for Research Question #5: Youth characteristics and engagement</w:t>
      </w:r>
    </w:p>
    <w:p>
      <w:pPr>
        <w:pStyle w:val="FirstParagraph"/>
      </w:pPr>
      <w:r>
        <w:t xml:space="preserve">While the section for results for research #4 focused on the rows for the variables for the aspects of work with data, this section focuses on those for the youth characteristics. As for the previous research question,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for this question, the youth characteristics are interpreted.</w:t>
      </w:r>
    </w:p>
    <w:p>
      <w:pPr>
        <w:pStyle w:val="BodyText"/>
      </w:pPr>
      <w:r>
        <w:t xml:space="preserve">These analyses show that youth who enter the program with higher levels of STEM interest are more likely to report being in the</w:t>
      </w:r>
      <w:r>
        <w:t xml:space="preserve"> </w:t>
      </w:r>
      <w:r>
        <w:rPr>
          <w:i/>
        </w:rPr>
        <w:t xml:space="preserve">engaged and competent but not challenged</w:t>
      </w:r>
      <w:r>
        <w:t xml:space="preserve"> </w:t>
      </w:r>
      <w:r>
        <w:t xml:space="preserve">profile (</w:t>
      </w:r>
      <m:oMath>
        <m:r>
          <m:t>β</m:t>
        </m:r>
      </m:oMath>
      <w:r>
        <w:t xml:space="preserve"> </w:t>
      </w:r>
      <w:r>
        <w:t xml:space="preserve">= 0.039,</w:t>
      </w:r>
      <w:r>
        <w:t xml:space="preserve"> </w:t>
      </w:r>
      <w:r>
        <w:rPr>
          <w:i/>
        </w:rPr>
        <w:t xml:space="preserve">p</w:t>
      </w:r>
      <w:r>
        <w:t xml:space="preserve"> </w:t>
      </w:r>
      <w:r>
        <w:t xml:space="preserve">= .009;</w:t>
      </w:r>
      <w:r>
        <w:t xml:space="preserve"> </w:t>
      </w:r>
      <w:r>
        <w:rPr>
          <w:i/>
        </w:rPr>
        <w:t xml:space="preserve">partial R^2</w:t>
      </w:r>
      <w:r>
        <w:t xml:space="preserve"> </w:t>
      </w:r>
      <w:r>
        <w:t xml:space="preserve">= .001). In other words, youth who are more interested at the outset of the program report working harder, learning more, enjoying themselves more, and feeling more competent when they are actually involved in a program activities, though they also report lower levels of challenge. For this effect, 17.879% would be needed to invalidate the inference, a slightly larger value for the follow-up sensitivity analysis than those found for statistically significant effects for research question #4, suggesting a moderately robust effect.</w:t>
      </w:r>
    </w:p>
    <w:p>
      <w:pPr>
        <w:pStyle w:val="BodyText"/>
      </w:pPr>
      <w:r>
        <w:t xml:space="preserve">Female students reported more often than males that they were in the</w:t>
      </w:r>
      <w:r>
        <w:t xml:space="preserve"> </w:t>
      </w:r>
      <w:r>
        <w:rPr>
          <w:i/>
        </w:rPr>
        <w:t xml:space="preserve">universally low engagement</w:t>
      </w:r>
      <w:r>
        <w:t xml:space="preserve"> </w:t>
      </w:r>
      <w:r>
        <w:t xml:space="preserve">profile, though this difference did not quite reach statistical significance (</w:t>
      </w:r>
      <m:oMath>
        <m:r>
          <m:t>β</m:t>
        </m:r>
      </m:oMath>
      <w:r>
        <w:t xml:space="preserve"> </w:t>
      </w:r>
      <w:r>
        <w:t xml:space="preserve">= 0.037,</w:t>
      </w:r>
      <w:r>
        <w:t xml:space="preserve"> </w:t>
      </w:r>
      <w:r>
        <w:rPr>
          <w:i/>
        </w:rPr>
        <w:t xml:space="preserve">p</w:t>
      </w:r>
      <w:r>
        <w:t xml:space="preserve"> </w:t>
      </w:r>
      <w:r>
        <w:t xml:space="preserve">= .051;</w:t>
      </w:r>
      <w:r>
        <w:t xml:space="preserve"> </w:t>
      </w:r>
      <w:r>
        <w:rPr>
          <w:i/>
        </w:rPr>
        <w:t xml:space="preserve">partial R^2</w:t>
      </w:r>
      <w:r>
        <w:t xml:space="preserve"> </w:t>
      </w:r>
      <w:r>
        <w:t xml:space="preserve">= .006). The effect size again suggest very small effects in substantive terms. For this effect, 17.843% of the bias would need to be removed (or the effect would need to be larger by this percentage) to sustain the inference. The moderately large amount of bias that would need to be removed for the effect of being female (on the</w:t>
      </w:r>
      <w:r>
        <w:t xml:space="preserve"> </w:t>
      </w:r>
      <w:r>
        <w:rPr>
          <w:i/>
        </w:rPr>
        <w:t xml:space="preserve">Universally low</w:t>
      </w:r>
      <w:r>
        <w:t xml:space="preserve"> </w:t>
      </w:r>
      <w:r>
        <w:t xml:space="preserve">profile) to be significant suggests that this effect should not be seriously interpreted.</w:t>
      </w:r>
    </w:p>
    <w:p>
      <w:pPr>
        <w:pStyle w:val="BodyText"/>
      </w:pPr>
      <w:r>
        <w:t xml:space="preserve">These few, small findings were more surprising than the similarly minimal relations observed for work with data: as the null models indicate, there were large ICCs (a large proportion of the variability in the outcome variables) at the youth-level (as pre-interest, gender, and URM status were variables associated with this level). However it appears that the youth level variables of interest to this study were not effective at explaining much of this variability. This is discussed further in the next section.</w:t>
      </w:r>
    </w:p>
    <w:p>
      <w:pPr>
        <w:pStyle w:val="Heading1"/>
      </w:pPr>
      <w:bookmarkStart w:id="69" w:name="discussion"/>
      <w:bookmarkEnd w:id="69"/>
      <w:r>
        <w:t xml:space="preserve">Discussion</w:t>
      </w:r>
    </w:p>
    <w:p>
      <w:pPr>
        <w:pStyle w:val="Heading2"/>
      </w:pPr>
      <w:bookmarkStart w:id="70" w:name="key-findings"/>
      <w:bookmarkEnd w:id="70"/>
      <w:r>
        <w:t xml:space="preserve">Key Findings</w:t>
      </w:r>
    </w:p>
    <w:p>
      <w:pPr>
        <w:pStyle w:val="Heading3"/>
      </w:pPr>
      <w:bookmarkStart w:id="71" w:name="key-findings-for-the-frequency-and-nature-of-work-with-data"/>
      <w:bookmarkEnd w:id="71"/>
      <w:r>
        <w:t xml:space="preserve">Key findings for the frequency and nature of work with data</w:t>
      </w:r>
    </w:p>
    <w:p>
      <w:pPr>
        <w:pStyle w:val="FirstParagraph"/>
      </w:pPr>
      <w:r>
        <w:t xml:space="preserve">These findings provide the first information I am aware of on how frequent work with data is in summer STEM programs. In addition, the findings shed light on the specific, qualitative nature of work with data in these contexts. As I discuss, these findings have implications for how science is taught, both in similar, outside-of-school settings, and some lessons for formal, K-12 education. In the context of describing these findings, I also highlight how the use of video-recordings of the STEM programs was necessary for being able to make claims about the frequency and nature of work with data during them.</w:t>
      </w:r>
    </w:p>
    <w:p>
      <w:pPr>
        <w:pStyle w:val="BodyText"/>
      </w:pPr>
      <w:r>
        <w:t xml:space="preserve">In terms of the frequency of work with data was found to be common in the summer STEM programs: 170 out of 236 of the instructional episodes contained</w:t>
      </w:r>
      <w:r>
        <w:t xml:space="preserve"> </w:t>
      </w:r>
      <w:r>
        <w:rPr>
          <w:i/>
        </w:rPr>
        <w:t xml:space="preserve">any</w:t>
      </w:r>
      <w:r>
        <w:t xml:space="preserve"> </w:t>
      </w:r>
      <w:r>
        <w:t xml:space="preserve">aspect of work with data. A coding frame for the aspects of work with data was used to find that work with work with data occurred from around one-quarter of the time of the program’s time (making observations) to around one-half of the program’s time (generating data and communicating findings). Data modeling was, like making observations, less common, whereas asking questions and generating data, like communicating findings, were relatively more common. These findings are as expected based on past research (Lee &amp; Wilkerson, in press) and given the design and goals of summer STEM programs (Dabney et al., 2012; Elam et al., 2012), including those participating in the present study.</w:t>
      </w:r>
    </w:p>
    <w:p>
      <w:pPr>
        <w:pStyle w:val="BodyText"/>
      </w:pPr>
      <w:r>
        <w:t xml:space="preserve">In-depth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more superficial in terms of how they were enacted. This suggests that while work with data is somewhat common, qualitative analysis is an important part of understanding youths’ engagement in work with data. More ambitious forms of work with data were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 The use of video-recordings of data was especially helpful in establishing this descriptive data.</w:t>
      </w:r>
    </w:p>
    <w:p>
      <w:pPr>
        <w:pStyle w:val="BodyText"/>
      </w:pPr>
      <w:r>
        <w:t xml:space="preserve">There are few past studies that describe the frequency of work with data. One touch point for related work concerns other work that has used the PQA measure, which was adapted in the present study to examine work with data; however, no reports or studies have (yet) used the version that is adapted for STEM content areas. There are a few reports studies calling for greater use of measures such as the PQA in the study (and evaluation) of summer and outside-of-school STEM programs (Yohalem, Wilson-Ahlstrom, &amp; Yu, 2005). As one example of such a study, Smith et al. (2012) reported findings from a continuous improvement intervention (with a rigorous experimental design), finding that it did impact the quality of instruction.</w:t>
      </w:r>
    </w:p>
    <w:p>
      <w:pPr>
        <w:pStyle w:val="BodyText"/>
      </w:pPr>
      <w:r>
        <w:t xml:space="preserve">The qualitative nature of work with data in such settings can more easily be compared to past research. This past research points out the heterogeneity in how work with data is enacted in educational settings. For example, McNeill and Berland (2017). They argue that a view of work with data focused on sense-making with real-world phenomena and iterative cycles of engaging in work with data, and revision of intermediate ideas. In this sense, some of what was observed in the programs aligned with work with data, while others did not.</w:t>
      </w:r>
    </w:p>
    <w:p>
      <w:pPr>
        <w:pStyle w:val="BodyText"/>
      </w:pPr>
      <w:r>
        <w:t xml:space="preserve">Another comparison is other studies investigating data modeling. Past research, for example, highlights use of</w:t>
      </w:r>
      <w:r>
        <w:t xml:space="preserve"> </w:t>
      </w:r>
      <w:r>
        <w:t xml:space="preserve">“</w:t>
      </w:r>
      <w:r>
        <w:t xml:space="preserve">data to solve real problems and to ask authentic questions</w:t>
      </w:r>
      <w:r>
        <w:t xml:space="preserve">”</w:t>
      </w:r>
      <w:r>
        <w:t xml:space="preserve"> </w:t>
      </w:r>
      <w:r>
        <w:t xml:space="preserve">(Hancock et al., 1992, p. 337). Research on generating data emphasized an aspect not very much the focus of the present research, namely, structuring data into spreadsheets (Konold, Finzer, &amp; Kreetong, 2017; Lehrer &amp; Kim, 2009). Research on asking questions shows that there is a connection between student-centered teaching strategies and students’ ability to ask questions that can be answered with data (Bielik &amp; Yarden, 2016). Research on the data modeling aspect of work with data highlights the use of statistical models (Lehrer, Kim, &amp; Schauble, 2007; Petrosino, Lehrer, &amp; Schauble, 2003; Lesh, Middleton, Caylor, &amp; Gupta, 2008; Lee, Angotti, &amp; Tarr, 2010). In this way, some (but not all) of the aspects work with data aligned with past research. These comparisons suggest similarities and divergences.</w:t>
      </w:r>
    </w:p>
    <w:p>
      <w:pPr>
        <w:pStyle w:val="BodyText"/>
      </w:pPr>
      <w:r>
        <w:t xml:space="preserve">A final comparison is recent reform documents. In the scientific and engineering practices in the NGSS and the standards for mathematical practice in the Common Core State Standards), work with data is described by grade-level bands. For instances, in grades 6-8, students are expected to that ask questions, for example, to determine relationships between variables and relationships in models (NGSS Lead States, Appendix F, 2015). It is</w:t>
      </w:r>
      <w:r>
        <w:t xml:space="preserve"> </w:t>
      </w:r>
      <w:r>
        <w:rPr>
          <w:i/>
        </w:rPr>
        <w:t xml:space="preserve">not</w:t>
      </w:r>
      <w:r>
        <w:t xml:space="preserve"> </w:t>
      </w:r>
      <w:r>
        <w:t xml:space="preserve">expected that students engage in all of the aspects of a practice at once. However, like McNeill and Berland’s point (2017), it is not just engaging in these practices by rote, but about integrating them, as they overlap and interconnect.</w:t>
      </w:r>
    </w:p>
    <w:p>
      <w:pPr>
        <w:pStyle w:val="Heading3"/>
      </w:pPr>
      <w:bookmarkStart w:id="72" w:name="key-findings-for-what-profiles-of-engagement-emerge"/>
      <w:bookmarkEnd w:id="72"/>
      <w:r>
        <w:t xml:space="preserve">Key findings for what profiles of engagement emerge</w:t>
      </w:r>
    </w:p>
    <w:p>
      <w:pPr>
        <w:pStyle w:val="FirstParagraph"/>
      </w:pPr>
      <w:r>
        <w:t xml:space="preserve">These findings provide insight into how youth experience engagement together and at once. By together and at once, I refer to the profile approach used. These profiles are similar but also different in key ways from profiles of engagement found in past research. This approach provides information about youths’ engagement that is different from that gained from other approaches.</w:t>
      </w:r>
    </w:p>
    <w:p>
      <w:pPr>
        <w:pStyle w:val="BodyText"/>
      </w:pPr>
      <w:r>
        <w:t xml:space="preserve">Six profiles of engagement were identified. These were selected using a rigorous model selection approach and through use of LPA and statistical software developed for this analysis (tidyLPA). First, it is important to note that LPA is an exploratory approach: The number and nature of the profiles identified were found through a rigorous and systematic approach, but this is not a guarantee that the same number and make-up of profiles would emerge.</w:t>
      </w:r>
    </w:p>
    <w:p>
      <w:pPr>
        <w:pStyle w:val="BodyText"/>
      </w:pPr>
      <w:r>
        <w:t xml:space="preserve">Six is the same number of profiles of engagement identified in recent, past research. Schmidt et al. (2018) found six profiles of engagement. Their profiles were constructed on the basis of the indicators (cognitive, behavioral, and affective) of engagement, and not perceptions of challenge and competence. Nevertheless, the similar number provides further information about the nature of engagement in educational contexts. Namely, six is a number of profiles that is larger than the number of profiles identified in other fields (see Wormington and Linnenbrink-Garcia, 2017, for a review in motivational settings). However, as large as six profiles is, it is not a number that is far higher than the average, suggesting that there may be a greater variety of types of engagement exhibited than, for example, types of motivation.</w:t>
      </w:r>
    </w:p>
    <w:p>
      <w:pPr>
        <w:pStyle w:val="BodyText"/>
      </w:pPr>
      <w:r>
        <w:t xml:space="preserve">In terms of the make-up of the specific profiles, those found in the present study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BodyText"/>
      </w:pPr>
      <w:r>
        <w:t xml:space="preserve">What do these profiles show about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promise of the profile approach, as well.</w:t>
      </w:r>
    </w:p>
    <w:p>
      <w:pPr>
        <w:pStyle w:val="Heading3"/>
      </w:pPr>
      <w:bookmarkStart w:id="73" w:name="key-findings-for-sources-of-variability-for-the-profiles"/>
      <w:bookmarkEnd w:id="73"/>
      <w:r>
        <w:t xml:space="preserve">Key findings for sources of variability for the profiles</w:t>
      </w:r>
    </w:p>
    <w:p>
      <w:pPr>
        <w:pStyle w:val="FirstParagraph"/>
      </w:pPr>
      <w:r>
        <w:t xml:space="preserve">These findings help us to understand how much variability in youths’ engagement can be attributed to variables - both those that are measured in this and related studies and those that are not or cannot be measured - at different levels, namely youth, instructional episode, and program. What these findings suggest about what relations can be anticipated from predictors at different levels is discussed, as well as how researchers can use null models as used in the present study to understand variability at different levels.</w:t>
      </w:r>
    </w:p>
    <w:p>
      <w:pPr>
        <w:pStyle w:val="BodyText"/>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Knowing about these sources provide valuable information in their own right, a benefit of the use of mixed effects models (Gelman &amp; Hill, 2007).</w:t>
      </w:r>
    </w:p>
    <w:p>
      <w:pPr>
        <w:pStyle w:val="BodyText"/>
      </w:pPr>
      <w:r>
        <w:t xml:space="preserve">The findings for this question were somewhat surprising and disappointing given past research. In particular, youth-level sources of variability were by far the largest, explaining between .093 to .432, depending on the profile: This means that between around 10% and 40% of the unexplained variability in the profiles is attributable to youth characteristics, both those that can be captured with variables and those that are at the youth level but are not measured (or are not measurable but are still at this level). Furthermore, the amount of variability at the instructional episode and program levels was small, no greater than .031 for the instructional episode or .023 for the program. A promise of the use of ESM is that it is able detect contextual differences in youths’ experiences: The small amount of variability that can be explained at this level suggests that, for the engagement profiles, not much difference exists from instructional episode to instructional episode.</w:t>
      </w:r>
    </w:p>
    <w:p>
      <w:pPr>
        <w:pStyle w:val="BodyText"/>
      </w:pPr>
      <w:r>
        <w:t xml:space="preserve">This finding related to minimal variability at the program and particularly at the instructional episode level is useful in its own right. It also suggests that engagement, as measured in this context with ESM and with the engagement items used, may be more stable than dynamic at the instructional episode level, differing from some past theory (e.g., Skinner &amp; Pitzer, 2012) and research that showed relations between instructional episode-level variables and engagement (e.g., Shernoff et al., 2016; Shumow, Schmidt, &amp; Zaleski, 2013). This also suggests that variables at these levels do not have a substantial proportion of variability to explain: Predictor variables (like those for the aspects of work with data) at the instructional episode level had much less variability to explain, while those at the youth level had a substantial amount that was able to be explained.</w:t>
      </w:r>
    </w:p>
    <w:p>
      <w:pPr>
        <w:pStyle w:val="BodyText"/>
      </w:pPr>
      <w:r>
        <w:t xml:space="preserve">One factor of note concerns the analytic approach used. As noted,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While these are important limitations, it is worth noting that the modeling strategy (with the mixed effects models) is inherently a conservative (particularly in terms of the statistical significance of hypothesis tests)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3"/>
      </w:pPr>
      <w:bookmarkStart w:id="74" w:name="key-findings-for-how-work-with-data-relates-to-engagement"/>
      <w:bookmarkEnd w:id="74"/>
      <w:r>
        <w:t xml:space="preserve">Key findings for how work with data relates to engagement</w:t>
      </w:r>
    </w:p>
    <w:p>
      <w:pPr>
        <w:pStyle w:val="FirstParagraph"/>
      </w:pPr>
      <w:r>
        <w:t xml:space="preserve">These findings show minimal but important relations between the aspects of work with data and youth engagement. They are discussed in the context of past research on work with data and youth engagement in scientific and engineering practices more generally. Finally, some possible reasons for the minimal findings are brought up.</w:t>
      </w:r>
    </w:p>
    <w:p>
      <w:pPr>
        <w:pStyle w:val="BodyText"/>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These findings, overall, were not necessarily surprising given past research: The question of whether and how work with data relates to engagement has not been the focus of any past research. In this sense, these are important findings that suggest that work with data may not be strongly related to engagement.</w:t>
      </w:r>
    </w:p>
    <w:p>
      <w:pPr>
        <w:pStyle w:val="BodyText"/>
      </w:pPr>
      <w:r>
        <w:t xml:space="preserve">Given the small amount of variability at the instructional episode level, this result was anticipated (on this basis). 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As there is no research on how work with data relates to youths’ engagement, the findings associated with this research question provide some, albeit limited, evidence (and directions for future research) for how some aspects of work with data relate to youths’ engagement. As work with data is a core component of new visions for STEM learning (see the scientific and engineering practices that are part of the NGSS and the standards for mathematical practice in the CCSS), these findings provide some insight into how involvement in a subset (focused on work with data) of these practices relates to engagement. Particularly, the relatively minimal findings suggest that these activities may not be more engaging</w:t>
      </w:r>
      <w:r>
        <w:t xml:space="preserve"> </w:t>
      </w:r>
      <w:r>
        <w:rPr>
          <w:i/>
        </w:rPr>
        <w:t xml:space="preserve">per se</w:t>
      </w:r>
      <w:r>
        <w:t xml:space="preserve">. Instead, it may be the way that youth engage in them that matters, in alignment with past research (Berland et al., 2017; Miller et al., in press).</w:t>
      </w:r>
    </w:p>
    <w:p>
      <w:pPr>
        <w:pStyle w:val="BodyText"/>
      </w:pPr>
      <w:r>
        <w:t xml:space="preserve">Like the findings for the previous research question, it is possible that these findings are, in part, an artifact of the analytic approach.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I explored relations between the aspects of work with data and the five variables used to create the profiles of engagement using a simple correlational approach and found that these relations were also minimal (see Appendix F), with no relations with a correlation greater than</w:t>
      </w:r>
      <w:r>
        <w:t xml:space="preserve"> </w:t>
      </w:r>
      <w:r>
        <w:rPr>
          <w:i/>
        </w:rPr>
        <w:t xml:space="preserve">r</w:t>
      </w:r>
      <w:r>
        <w:t xml:space="preserve"> </w:t>
      </w:r>
      <w:r>
        <w:t xml:space="preserve">= .03. Thus, at least as measured, work with data does not seem to be associated with engagement from this (correlational) perspective, supporting the findings from the use of the models used to provide answers to this question.</w:t>
      </w:r>
    </w:p>
    <w:p>
      <w:pPr>
        <w:pStyle w:val="Heading3"/>
      </w:pPr>
      <w:bookmarkStart w:id="75" w:name="key-findings-for-how-youth-characteristics-relate-to-engagement"/>
      <w:bookmarkEnd w:id="75"/>
      <w:r>
        <w:t xml:space="preserve">Key findings for how youth characteristics relate to engagement</w:t>
      </w:r>
    </w:p>
    <w:p>
      <w:pPr>
        <w:pStyle w:val="FirstParagraph"/>
      </w:pPr>
      <w:r>
        <w:t xml:space="preserve">These findings, more surprising given the amount of variability able to be explained by variables at the youth level and the minimal relations, are discussed, followed by some reasons for why there are not more (and stronger) relations.</w:t>
      </w:r>
    </w:p>
    <w:p>
      <w:pPr>
        <w:pStyle w:val="BodyText"/>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but were more surprising given the substantial variability at the youth level (see results for research question #3).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finding was in line with past research suggesting a relationship between youth characteristics, including interest, and their engagement (Shernoff et al., 2003; Shernoff et al., 2016; Shumow, Schmidt, &amp; Zaleski, 2013). This finding could also be a function of the relationship between youths’ interest and their competence before the program, which are strongly correlated (see the Appendix). These youth, as a result of their higher interest and competence, need more challenging activities to be more fully engaged. This effect was fairly robust.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BodyText"/>
      </w:pPr>
      <w:r>
        <w:t xml:space="preserve">Like for the previous research question, I explored whether these relations were different from a correlational approach for the relation of pre-interest and the variable used to create the profiles of engagement (Appendix F). Like for the previous question, these correlations were again very small, suggesting that–as measured–these relations are small (with no correlation greater than</w:t>
      </w:r>
      <w:r>
        <w:t xml:space="preserve"> </w:t>
      </w:r>
      <w:r>
        <w:rPr>
          <w:i/>
        </w:rPr>
        <w:t xml:space="preserve">r</w:t>
      </w:r>
      <w:r>
        <w:t xml:space="preserve"> </w:t>
      </w:r>
      <w:r>
        <w:t xml:space="preserve">= .15), though larger than those between the aspects of work with data and the variables used to create the profiles of engagement. This supports the findings for this section and suggests that interest may not be strongly related to engagement in this setting.</w:t>
      </w:r>
    </w:p>
    <w:p>
      <w:pPr>
        <w:pStyle w:val="Heading2"/>
      </w:pPr>
      <w:bookmarkStart w:id="76" w:name="limitations-of-the-study-and-recommendations-for-future-research"/>
      <w:bookmarkEnd w:id="76"/>
      <w:r>
        <w:t xml:space="preserve">Limitations of the Study and Recommendations for Future Research</w:t>
      </w:r>
    </w:p>
    <w:p>
      <w:pPr>
        <w:pStyle w:val="FirstParagraph"/>
      </w:pPr>
      <w:r>
        <w:t xml:space="preserve">Not exploring outcomes beyond engagement, the nature of the summer STEM programs, and the measures used are discussed as limitations of the present study, in the context of recommendations for future research.</w:t>
      </w:r>
    </w:p>
    <w:p>
      <w:pPr>
        <w:pStyle w:val="BodyText"/>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et al.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final limitation concerns the measures used. In particular, the qualitative coding revealed alignment but also discrepancies between work with data as determined from the STEM-PQA codes and the conceptual framework for work with data. For example, for the interpreting and communicating findings code, the STEM-PQA codes for</w:t>
      </w:r>
      <w:r>
        <w:t xml:space="preserve"> </w:t>
      </w:r>
      <w:r>
        <w:rPr>
          <w:i/>
        </w:rPr>
        <w:t xml:space="preserve">Analyze</w:t>
      </w:r>
      <w:r>
        <w:t xml:space="preserve"> </w:t>
      </w:r>
      <w:r>
        <w:t xml:space="preserve">(</w:t>
      </w:r>
      <w:r>
        <w:t xml:space="preserve">“</w:t>
      </w:r>
      <w:r>
        <w:t xml:space="preserve">Staff support youth in analyzing data to draw conclusions</w:t>
      </w:r>
      <w:r>
        <w:t xml:space="preserve">”</w:t>
      </w:r>
      <w:r>
        <w:t xml:space="preserve">) and</w:t>
      </w:r>
      <w:r>
        <w:t xml:space="preserve"> </w:t>
      </w:r>
      <w:r>
        <w:rPr>
          <w:i/>
        </w:rPr>
        <w:t xml:space="preserve">Use symbols or models</w:t>
      </w:r>
      <w:r>
        <w:t xml:space="preserve"> </w:t>
      </w:r>
      <w:r>
        <w:t xml:space="preserve">(</w:t>
      </w:r>
      <w:r>
        <w:t xml:space="preserve">“</w:t>
      </w:r>
      <w:r>
        <w:t xml:space="preserve">Staff support youth in conveying STEM concepts through symbols, models, or other nonverbal language</w:t>
      </w:r>
      <w:r>
        <w:t xml:space="preserve">”</w:t>
      </w:r>
      <w:r>
        <w:t xml:space="preserv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use of coding for this aspect of work with data (and this aspect of science curricular standards in particular; see NGSS Lead States, 2013).</w:t>
      </w:r>
    </w:p>
    <w:p>
      <w:pPr>
        <w:pStyle w:val="BodyText"/>
      </w:pPr>
      <w:r>
        <w:t xml:space="preserve">As another example, generating data was an aspect of work with data that the open-ended qualitative analysis revealed to be less associated with less systematic groups of practices, or themes, than the other aspects. The STEM-PQA codes corresponding to this aspect of work with data were</w:t>
      </w:r>
      <w:r>
        <w:t xml:space="preserve"> </w:t>
      </w:r>
      <w:r>
        <w:rPr>
          <w:i/>
        </w:rPr>
        <w:t xml:space="preserve">Collect data or measure</w:t>
      </w:r>
      <w:r>
        <w:t xml:space="preserve"> </w:t>
      </w:r>
      <w:r>
        <w:t xml:space="preserve">(</w:t>
      </w:r>
      <w:r>
        <w:t xml:space="preserve">“</w:t>
      </w:r>
      <w:r>
        <w:t xml:space="preserve">Staff support youth in collecting data or measuring</w:t>
      </w:r>
      <w:r>
        <w:t xml:space="preserve">”</w:t>
      </w:r>
      <w:r>
        <w:t xml:space="preserve">) and</w:t>
      </w:r>
      <w:r>
        <w:t xml:space="preserve"> </w:t>
      </w:r>
      <w:r>
        <w:rPr>
          <w:i/>
        </w:rPr>
        <w:t xml:space="preserve">Highlight precision and accuracy</w:t>
      </w:r>
      <w:r>
        <w:t xml:space="preserve"> </w:t>
      </w:r>
      <w:r>
        <w:t xml:space="preserve">(</w:t>
      </w:r>
      <w:r>
        <w:t xml:space="preserve">“</w:t>
      </w:r>
      <w:r>
        <w:t xml:space="preserve">Staff highlight value of precision and accuracy in measuring, observing, recording, or calculating</w:t>
      </w:r>
      <w:r>
        <w:t xml:space="preserve">”</w:t>
      </w:r>
      <w:r>
        <w:t xml:space="preserve">). Particularly in the case of the latter code, the emphasis on precision and accuracy may have been outside of activities focused on recording data or creating coding frames. Future research may consider a coding frame that is (even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w:t>
      </w:r>
    </w:p>
    <w:p>
      <w:pPr>
        <w:pStyle w:val="BodyText"/>
      </w:pPr>
      <w:r>
        <w:t xml:space="preserve">While these issues were small, they suggest that the coding frame for work with data is a limitation of the present study. McNeill and Berland (2017) describe a similar type of disagreement across science education settings: While a limitation, the coding frame did represent agreement across a range of studies across STEM contexts for the aspects of work with data, although I recognize that this coding frame may not distinguish the different ways in which work with data is enacted, as revealed by the qualitative coding carried out in this study.</w:t>
      </w:r>
    </w:p>
    <w:p>
      <w:pPr>
        <w:pStyle w:val="Heading2"/>
      </w:pPr>
      <w:bookmarkStart w:id="77" w:name="implications-for-practice"/>
      <w:bookmarkEnd w:id="77"/>
      <w:r>
        <w:t xml:space="preserve">Implications for Practice</w:t>
      </w:r>
    </w:p>
    <w:p>
      <w:pPr>
        <w:pStyle w:val="FirstParagraph"/>
      </w:pPr>
      <w:r>
        <w:t xml:space="preserve">Two key implications related to engaging youth in generating and modeling data and including other practices to the extent that they involve youth in generating and modeling are discussed. While this is somewhat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conclusion"/>
      <w:bookmarkEnd w:id="78"/>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engagement.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79" w:name="references"/>
      <w:bookmarkEnd w:id="79"/>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0">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1">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2">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3">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4">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5">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6">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7">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8">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89">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0">
        <w:r>
          <w:rPr>
            <w:rStyle w:val="Hyperlink"/>
          </w:rPr>
          <w:t xml:space="preserve">doi:10.1007/s10648-016-9358-2</w:t>
        </w:r>
      </w:hyperlink>
    </w:p>
    <w:p>
      <w:pPr>
        <w:pStyle w:val="Heading1"/>
      </w:pPr>
      <w:bookmarkStart w:id="91" w:name="appendix"/>
      <w:bookmarkEnd w:id="91"/>
      <w:r>
        <w:t xml:space="preserve">Appendix</w:t>
      </w:r>
    </w:p>
    <w:p>
      <w:pPr>
        <w:pStyle w:val="Heading2"/>
      </w:pPr>
      <w:bookmarkStart w:id="92" w:name="appendix-a-stem-pqa-alignment"/>
      <w:bookmarkEnd w:id="92"/>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3" w:name="appendix-b-program-descriptions"/>
      <w:bookmarkEnd w:id="93"/>
      <w:r>
        <w:t xml:space="preserve">Appendix B: Program descriptions</w:t>
      </w:r>
    </w:p>
    <w:p>
      <w:pPr>
        <w:pStyle w:val="SourceCode"/>
      </w:pPr>
      <w:r>
        <w:rPr>
          <w:rStyle w:val="VerbatimChar"/>
        </w:rPr>
        <w:t xml:space="preserve">## Error in kableExtra::column_spec(., width = "6in"): argument "column" is missing, with no default</w:t>
      </w:r>
    </w:p>
    <w:p>
      <w:pPr>
        <w:pStyle w:val="Heading3"/>
      </w:pPr>
      <w:bookmarkStart w:id="94" w:name="appendix-c-work-with-data-by-program"/>
      <w:bookmarkEnd w:id="94"/>
      <w:r>
        <w:t xml:space="preserve">Appendix C: Work with data by program</w:t>
      </w:r>
    </w:p>
    <w:p>
      <w:pPr>
        <w:pStyle w:val="TableCaption"/>
      </w:pPr>
      <w:r>
        <w:t xml:space="preserve">Table 7 Proportion of signals for which each of the aspects of work with data was present</w:t>
      </w:r>
    </w:p>
    <w:tbl>
      <w:tblPr>
        <w:tblStyle w:val="TableNormal"/>
        <w:tblW w:type="pct" w:w="0.0"/>
        <w:tblLook w:firstRow="1"/>
        <w:tblCaption w:val="Table 7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7 Proportion of signals for which each of the aspects of work with data was present by program</w:t>
      </w:r>
    </w:p>
    <w:tbl>
      <w:tblPr>
        <w:tblStyle w:val="TableNormal"/>
        <w:tblW w:type="pct" w:w="0.0"/>
        <w:tblLook w:firstRow="1"/>
        <w:tblCaption w:val="Table 7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Heading3"/>
      </w:pPr>
      <w:bookmarkStart w:id="95" w:name="appendix-d-model-specifications-details"/>
      <w:bookmarkEnd w:id="95"/>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6" w:name="varying-means-equal-variances-and-covariances-fixed-to-0-model-1"/>
      <w:bookmarkEnd w:id="96"/>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7" w:name="varying-means-equal-variances-and-equal-covariances-model-2"/>
      <w:bookmarkEnd w:id="97"/>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8" w:name="varying-means-varying-variances-and-covariances-fixed-to-0-model-3"/>
      <w:bookmarkEnd w:id="98"/>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9" w:name="varying-means-varying-variances-and-equal-covariances-model-4"/>
      <w:bookmarkEnd w:id="99"/>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0" w:name="varying-means-equal-variances-and-varying-covariances-model-5"/>
      <w:bookmarkEnd w:id="100"/>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1" w:name="varying-means-varying-variances-and-varying-covariances-model-6"/>
      <w:bookmarkEnd w:id="101"/>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2" w:name="appendix-e-additional-details-on-the-model-selection-process"/>
      <w:bookmarkEnd w:id="102"/>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5" w:name="appendix-f-alternate-model-selected-model-type-1-seven-profile-solution"/>
      <w:bookmarkEnd w:id="105"/>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6"/>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3"/>
      </w:pPr>
      <w:bookmarkStart w:id="108" w:name="appendix-f-supplementary-correlational-analysis"/>
      <w:bookmarkEnd w:id="108"/>
      <w:r>
        <w:t xml:space="preserve">Appendix F: Supplementary correlational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d21c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336a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cf1c6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0" Target="doi:10.1007/s10648-016-9358-2" TargetMode="External" /><Relationship Type="http://schemas.openxmlformats.org/officeDocument/2006/relationships/hyperlink" Id="rId87" Target="doi:10.1080/00461520.2014.1002924" TargetMode="External" /><Relationship Type="http://schemas.openxmlformats.org/officeDocument/2006/relationships/hyperlink" Id="rId80" Target="http://doi.org/10.1002/j.2161-0045.2015.00097.x" TargetMode="External" /><Relationship Type="http://schemas.openxmlformats.org/officeDocument/2006/relationships/hyperlink" Id="rId88" Target="http://doi.org/10.1007/s10964-007-9241-z" TargetMode="External" /><Relationship Type="http://schemas.openxmlformats.org/officeDocument/2006/relationships/hyperlink" Id="rId84" Target="http://dx.doi.org/10.1016/j.learninstruc.2017.07.007" TargetMode="External" /><Relationship Type="http://schemas.openxmlformats.org/officeDocument/2006/relationships/hyperlink" Id="rId83" Target="http://dx.doi.org/10.1037/edu0000214" TargetMode="External" /><Relationship Type="http://schemas.openxmlformats.org/officeDocument/2006/relationships/hyperlink" Id="rId89" Target="http://faculty.sites.uci.edu/childcare/files/2013/07/SL-Outcomes-2011-Pilot_Edited_8.19.pdf" TargetMode="External" /><Relationship Type="http://schemas.openxmlformats.org/officeDocument/2006/relationships/hyperlink" Id="rId81" Target="https://doi.org/10.1007/978-1-4614-2018-7_37" TargetMode="External" /><Relationship Type="http://schemas.openxmlformats.org/officeDocument/2006/relationships/hyperlink" Id="rId86" Target="https://dx.doi.org/10.1002/tea.21409" TargetMode="External" /><Relationship Type="http://schemas.openxmlformats.org/officeDocument/2006/relationships/hyperlink" Id="rId85" Target="https://jrosen48.github.io/r-markdown/comparing-mplus-mclust.html" TargetMode="External" /><Relationship Type="http://schemas.openxmlformats.org/officeDocument/2006/relationships/hyperlink" Id="rId82"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2018-06-03T22:53:01Z</dcterms:created>
  <dcterms:modified xsi:type="dcterms:W3CDTF">2018-06-03T22:53:01Z</dcterms:modified>
</cp:coreProperties>
</file>