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7.png" ContentType="image/png"/>
  <Override PartName="/word/media/rId108.png" ContentType="image/png"/>
  <Override PartName="/word/media/rId104.png" ContentType="image/png"/>
  <Override PartName="/word/media/rId105.png" ContentType="image/png"/>
  <Override PartName="/word/media/rId63.png" ContentType="image/png"/>
  <Override PartName="/word/media/rId6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2018-06-04</w:t>
      </w:r>
    </w:p>
    <w:p>
      <w:pPr>
        <w:pStyle w:val="Heading1"/>
      </w:pPr>
      <w:bookmarkStart w:id="21" w:name="intro-placemarker"/>
      <w:bookmarkEnd w:id="21"/>
      <w:r>
        <w:t xml:space="preserve">Introduction</w:t>
      </w:r>
    </w:p>
    <w:p>
      <w:pPr>
        <w:pStyle w:val="FirstParagraph"/>
      </w:pPr>
      <w:r>
        <w:t xml:space="preserve">Socializing, working, and even teaching and learning are increasingly impacted by data. These sources of data–either quantitative</w:t>
      </w:r>
      <w:r>
        <w:t xml:space="preserve"> </w:t>
      </w:r>
      <w:r>
        <w:rPr>
          <w:i/>
        </w:rPr>
        <w:t xml:space="preserve">or</w:t>
      </w:r>
      <w:r>
        <w:t xml:space="preserve"> </w:t>
      </w:r>
      <w:r>
        <w:t xml:space="preserve">qualitative–are created by us, for us, and about us. Despite the impacts of data, present opportunities for learners themselves to work with data in educational settings are limited.</w:t>
      </w:r>
    </w:p>
    <w:p>
      <w:pPr>
        <w:pStyle w:val="BodyText"/>
      </w:pPr>
      <w:r>
        <w:t xml:space="preserve">Work with data includes broad processes of collecting, creating, modeling data, and even asking questions that can be answered with data. This work, then, is more than just crunching numbers. It is also more than interpreting a figure created by someone else. Rather, work with data is about making sense of phenomena in the world–or solving problems in the world. This focus on phenomena is particularly relevant to those designing and enacting learning opportunities focused on work with data (Lee &amp; Wilkerson, in press; Singer, Hilton, &amp; Schweingruber, 2006; Wild &amp; Pfannkuch, 1999).</w:t>
      </w:r>
    </w:p>
    <w:p>
      <w:pPr>
        <w:pStyle w:val="BodyText"/>
      </w:pPr>
      <w:r>
        <w:t xml:space="preserve">Despite not being very widespread, aspects of work with data cut across STEM (Science Technology Engineering and Mathematics) domains: Aspects of work with data are recognized as core competencies across recent curricular documents, particularly the</w:t>
      </w:r>
      <w:r>
        <w:t xml:space="preserve"> </w:t>
      </w:r>
      <w:r>
        <w:rPr>
          <w:i/>
        </w:rPr>
        <w:t xml:space="preserve">Next Generation Science Standards</w:t>
      </w:r>
      <w:r>
        <w:t xml:space="preserve"> </w:t>
      </w:r>
      <w:r>
        <w:t xml:space="preserve">(NGSS Lead States, 2013) and the</w:t>
      </w:r>
      <w:r>
        <w:t xml:space="preserve"> </w:t>
      </w:r>
      <w:r>
        <w:rPr>
          <w:i/>
        </w:rPr>
        <w:t xml:space="preserve">Common Core State Standards</w:t>
      </w:r>
      <w:r>
        <w:t xml:space="preserve"> </w:t>
      </w:r>
      <w:r>
        <w:t xml:space="preserve">(in mathematics; National Governors Association Center for Best Practices, Council of Chief State School Officers, 2010). Both of these standards highlight the role of authentic work work with data.</w:t>
      </w:r>
    </w:p>
    <w:p>
      <w:pPr>
        <w:pStyle w:val="BodyText"/>
      </w:pPr>
      <w:r>
        <w:t xml:space="preserve">Past research on work with data has largely been set in mathematics contexts and has focused on mathematical practices, like generating measures of phenomena and creating data models (English, 2012; Lehrer &amp; Romberg, 1996; Lesh, Middleton, Caylor, &amp; Gupta, 2008). There has been some research about work with data in science settings (Lee &amp; Wilkerson, in press; National Research Council, 2012), though this work varies greatly in terms of the nature of work with data (McNeill &amp; Berland, 2017). Findings from this past research broadly suggests that engaging in work with data is powerful in terms of learning both about and how to do mathematics and science. Lehrer and Schauble , summarizing past research on the use of mathematical practices in science contexts, note that work with data</w:t>
      </w:r>
      <w:r>
        <w:t xml:space="preserve"> </w:t>
      </w:r>
      <w:r>
        <w:t xml:space="preserve">“</w:t>
      </w:r>
      <w:r>
        <w:t xml:space="preserve">has an exceptionally high payoff in terms of students’ scientific reasoning</w:t>
      </w:r>
      <w:r>
        <w:t xml:space="preserve">”</w:t>
      </w:r>
      <w:r>
        <w:t xml:space="preserve"> </w:t>
      </w:r>
      <w:r>
        <w:t xml:space="preserve">(Lehrer &amp; Schauble, 2015, p. 696).</w:t>
      </w:r>
    </w:p>
    <w:p>
      <w:pPr>
        <w:pStyle w:val="BodyText"/>
      </w:pPr>
      <w:r>
        <w:t xml:space="preserve">To date, past research shows that using a framework from contemporary engagement theory to characterize students’ experiences has been informative both in research and to practicing educators. Knowing more about how youth engage in work with data is valuable as engagement is a meaningful outcome for STEM learners in its own right (Sinatra, Heddy, &amp; Lombardi, 2015). It may also be an antecedent of changes in other outcomes, such as their well-being, achievement and pursuit of an area of study or career (Wang, Chow, Hofkens, &amp; Salmela-Aro, 2015; Wang &amp; Eccles, 2012). However, research has not examined engagement in work with data. Because engaging in work with data seems to be so potentially beneficial to learners, better understanding the nature of work with data and learners’ engagement in such practices is needed.</w:t>
      </w:r>
    </w:p>
    <w:p>
      <w:pPr>
        <w:pStyle w:val="BodyText"/>
      </w:pPr>
      <w:r>
        <w:t xml:space="preserve">The purpose of this study, then, is to examine youth engagement in a variety of learning activities that involve work with data. Engagement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student engagement, and approaches to analyzing complex psychological constructs, like engagement. In this review of literature, I define work with data as a key practice, or learning-related activity, across STEM domains. I also define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used by mathematics educators, as reflected in its role in statistics curriculum standards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 upon definition of work with data–particularly across subject area domains (i.e., across all of the STEM content areas)–I focus on the core aspects that scholars have most often included in their conceptualizations of work with data. 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with respect to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not stand-alone practices but are a part of a cycle. This is not only because each aspect follows that before it, but also because the overall process is iterative: For example,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As a result,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in particular, are a potentially valuable setting to explore engagement in work with data, because of the combined pedagogical and technical expertise of their staff and the open-ended nature of the activities that are possible to carry out during them. Staff, or youth activity leaders,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a good context for understanding work with data because little research has examined how data are part of the experiences of youth during them.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There is a good amount of past research on cognitive capabilities as outcomes from working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the past research that has been carried out, how learners and youth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In this section, 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I describe methods for capturing these two features</w:t>
      </w:r>
      <w:r>
        <w:t xml:space="preserve"> </w:t>
      </w:r>
      <w:r>
        <w:rPr>
          <w:i/>
        </w:rPr>
        <w:t xml:space="preserve">empirically</w:t>
      </w:r>
      <w:r>
        <w:t xml:space="preserve"> </w:t>
      </w:r>
      <w:r>
        <w:t xml:space="preserve">through an approach called the Experience Sampling Method, or ESM, and describe how multidimensional data, collected by ESM, can be analyzed.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there are some key conditions that facilitate engagement. Emergent Motivation Theory (EMT; Csikszentmihalyi, 1990), provides a useful lens for understanding these conditions. From EMT, a key condition for engagement that can change dynamically, from moment to moment,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multidimensional data on engagement.</w:t>
      </w:r>
    </w:p>
    <w:p>
      <w:pPr>
        <w:pStyle w:val="Heading2"/>
      </w:pPr>
      <w:bookmarkStart w:id="28" w:name="youth-characteristics-that-may-effect-their-engagement"/>
      <w:bookmarkEnd w:id="28"/>
      <w:r>
        <w:t xml:space="preserve">Youth characteristics that may effect their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concerns teacher support for specific learning-related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large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on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 (usually using a 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is the use of</w:t>
      </w:r>
      <w:r>
        <w:t xml:space="preserve"> </w:t>
      </w:r>
      <w:r>
        <w:rPr>
          <w:i/>
        </w:rPr>
        <w:t xml:space="preserve">profiles of</w:t>
      </w:r>
      <w:r>
        <w:t xml:space="preserve">, or groups of variables that are measured. This profile approach is especially important given the multidimensional nature of engagement. In past research, profiles are commonly used as part of what are described as person-oriented approaches (see Bergman &amp; Magnusson, 1997), those used to consider the way in which psychological constructs are experienced together and at once in the experiences of learners.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w:t>
      </w:r>
      <w:r>
        <w:t xml:space="preserve"> </w:t>
      </w:r>
      <w:r>
        <w:rPr>
          <w:i/>
        </w:rPr>
        <w:t xml:space="preserve">profiles of engagement</w:t>
      </w:r>
      <w:r>
        <w:t xml:space="preserve"> </w:t>
      </w:r>
      <w:r>
        <w:t xml:space="preserve">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and the use of instructional activities and choice (Schmidt et al., 2018). A potential way to extend this past research is to account for not only engagement (cognitive, behavioral, and affective), but also its key conditions (challenge and competence). This is especially important since a profile approach emphasizes the holistic nature of engagement and the impact of not only external but also intra-individual factors. Accordingly, youths’ perceptions of the challenge of the activity and of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 up,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youths’ pre-program interest in STEM, along with youths’ gender and URM status, are hypothesized to be associated with the profiles and the relations of work with data and the profiles.</w:t>
      </w:r>
    </w:p>
    <w:p>
      <w:pPr>
        <w:pStyle w:val="FigureWithCaption"/>
      </w:pPr>
      <w:r>
        <w:drawing>
          <wp:inline>
            <wp:extent cx="5334000" cy="3392402"/>
            <wp:effectExtent b="0" l="0" r="0" t="0"/>
            <wp:docPr descr="Figure 2 A conceptual framework for this study and research questions"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and research questions</w:t>
      </w:r>
    </w:p>
    <w:p>
      <w:pPr>
        <w:pStyle w:val="BodyText"/>
      </w:pPr>
      <w:r>
        <w:t xml:space="preserve">In reference to research questions 2-5, the ESM responses that make up the profiles are associated with different</w:t>
      </w:r>
      <w:r>
        <w:t xml:space="preserve"> </w:t>
      </w:r>
      <w:r>
        <w:t xml:space="preserve">“</w:t>
      </w:r>
      <w:r>
        <w:t xml:space="preserve">levels.</w:t>
      </w:r>
      <w:r>
        <w:t xml:space="preserve">”</w:t>
      </w:r>
      <w:r>
        <w:t xml:space="preserve"> </w:t>
      </w:r>
      <w:r>
        <w:t xml:space="preserve">These</w:t>
      </w:r>
      <w:r>
        <w:t xml:space="preserve"> </w:t>
      </w:r>
      <w:r>
        <w:rPr>
          <w:i/>
        </w:rPr>
        <w:t xml:space="preserve">levels</w:t>
      </w:r>
      <w:r>
        <w:t xml:space="preserve">, or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there are three levels that can be modeled as random effects to account for the dependencies they introduce: Youth, instructional episode (which are indicators for the moments–or segments–in which youth are asked to respond to the ESM signal), and the program. Thus, these are not predictor variables, but rather are levels present given the approach to data collection and the nature of the sample. Interpreting their effects is not a goal of this study, but accounting for them in the models used, as in this study, is important and and is done via random effects.</w:t>
      </w:r>
    </w:p>
    <w:p>
      <w:pPr>
        <w:pStyle w:val="BodyText"/>
      </w:pPr>
      <w:r>
        <w:t xml:space="preserve">Pre-program interest, gender, and URM status are predictor variables at the youth level. The aspects of work with data are predictor variables at the instructional episode level. There are no predictor variables at the program level, in part due to the small number of programs (and the resulting low statistical power of any variables added at this level). To summarize, pre-program interest, gender, and URM status, and the aspects of work with data are used as predictor variables, while the three levels (youth, instructional episode, and program) are accounted for in the modeling strategy.</w:t>
      </w:r>
    </w:p>
    <w:p>
      <w:pPr>
        <w:pStyle w:val="BodyText"/>
      </w:pPr>
      <w:r>
        <w:t xml:space="preserve">The five research questions, then, are:</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sources of variability are there for the profiles of engagement?</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was nine out-of-school STEM programs during 2015 in the Northeast United States. Two</w:t>
      </w:r>
      <w:r>
        <w:t xml:space="preserve"> </w:t>
      </w:r>
      <w:r>
        <w:rPr>
          <w:i/>
        </w:rPr>
        <w:t xml:space="preserve">intermediary organizations</w:t>
      </w:r>
      <w:r>
        <w:t xml:space="preserve"> </w:t>
      </w:r>
      <w:r>
        <w:t xml:space="preserve">which were contracted by the local school districts to administer the summer programs. The two intermediaries were responsible for soliciting and enrolling youth; establishing guidelines for the design of the programs, and the goals of the programs; and providing training and professional development for the staff, hereafter referred to as youth activity leaders.</w:t>
      </w:r>
    </w:p>
    <w:p>
      <w:pPr>
        <w:pStyle w:val="BodyText"/>
      </w:pPr>
      <w:r>
        <w:t xml:space="preserve">There was a difference between the two intermediary organizations, namely, one</w:t>
      </w:r>
      <w:r>
        <w:t xml:space="preserve"> </w:t>
      </w:r>
      <w:r>
        <w:rPr>
          <w:i/>
        </w:rPr>
        <w:t xml:space="preserve">separated academic and enrichment-related activities</w:t>
      </w:r>
      <w:r>
        <w:t xml:space="preserve">, whereas, in the other, the</w:t>
      </w:r>
      <w:r>
        <w:t xml:space="preserve"> </w:t>
      </w:r>
      <w:r>
        <w:rPr>
          <w:i/>
        </w:rPr>
        <w:t xml:space="preserve">academic and enrichment components were more integrated</w:t>
      </w:r>
      <w:r>
        <w:t xml:space="preserve">, which may have program-related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consisted of 203 youth. Participants were from diverse racial and ethnic backgrounds (see Table 3.1).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Table 3.1.</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Before the start of the programs, youth completed a pre-survey that included questions about their experience in STEM, intention to pursue a STEM major or career, and other motivation and engagement-related measures.</w:t>
      </w:r>
    </w:p>
    <w:p>
      <w:pPr>
        <w:pStyle w:val="BodyText"/>
      </w:pPr>
      <w:r>
        <w:t xml:space="preserve">At the beginning of the programs, youth were introduced to the study and the phones used for data collection related to the ESM. As indicated in the earlier section, ESM is a method of data collection that involves asking youth to respond to short questions on phones (that were provided as part of the study). In particular, youth were signaled at random times (within intervals, so that the signals were not too near or far apart) in order to obtain a sample of their experience throughout the program. ESM data were collected two days each week, for three weeks (weeks 2-4 of the program). In all of the programs, about equal video-recording time was dedicated to classroom and field experiences. This detail is noteworthy because programs associated with one of the intermediaries rotated between classroom and field experience days, while the other used the first half of each day for one and the second for the other. Each day, youth were signaled four times. These signals were at the same time for all of the youth within their program, but at different times between programs and between days within programs (with the constraint that no two signals could occur less than ten minutes apart).</w:t>
      </w:r>
    </w:p>
    <w:p>
      <w:pPr>
        <w:pStyle w:val="BodyText"/>
      </w:pPr>
      <w:r>
        <w:t xml:space="preserve">The programs were video-recorded by research team members on the days during which ESM data were collected. So that the measures relating the video-recording and ESM data can be matched, the videos included a signal from the video-recorder that identified the ESM signal to which youth responded.</w:t>
      </w:r>
    </w:p>
    <w:p>
      <w:pPr>
        <w:pStyle w:val="Heading2"/>
      </w:pPr>
      <w:bookmarkStart w:id="37" w:name="data-sources-and-measures"/>
      <w:bookmarkEnd w:id="37"/>
      <w:r>
        <w:t xml:space="preserve">Data Sources and Measures</w:t>
      </w:r>
    </w:p>
    <w:p>
      <w:pPr>
        <w:pStyle w:val="FirstParagraph"/>
      </w:pPr>
      <w:r>
        <w:t xml:space="preserve">Data sources consist of ESM measures of engagement and youths’ perceptions of themselves and the activity, pre-survey measures of youths’ interest, youths’ demographic information, and the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created from five ESM questions, three serving indicators for the experience of engagement and two for the conditions of engagement. The three indicators for engagement were for learning (for the cognitive engagement construct), working hard (for behavioral engagement), and enjoying (for affective engagement). The variables for the conditions are for perceived challenge and perceived competence.</w:t>
      </w:r>
    </w:p>
    <w:p>
      <w:pPr>
        <w:pStyle w:val="BodyText"/>
      </w:pPr>
      <w:r>
        <w:t xml:space="preserve">All five items are ultimately used to construct the profiles of engaged.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items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the-five-key-aspects-of-work-with-data"/>
      <w:bookmarkEnd w:id="39"/>
      <w:r>
        <w:t xml:space="preserve">The five key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3.4. Details on the reliability of this measure is described next; more information on how the measure aligns with the original STEM-PQA on which this measure is based are presented in Appendix A.</w:t>
      </w:r>
    </w:p>
    <w:p>
      <w:pPr>
        <w:pStyle w:val="BodyText"/>
      </w:pPr>
      <w: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pPr>
        <w:pStyle w:val="TableCaption"/>
      </w:pPr>
      <w:r>
        <w:t xml:space="preserve">Table 3 Coding Frame for Work With Data</w:t>
      </w:r>
    </w:p>
    <w:tbl>
      <w:tblPr>
        <w:tblStyle w:val="TableNormal"/>
        <w:tblW w:type="pct" w:w="0.0"/>
        <w:tblLook w:firstRow="1"/>
        <w:tblCaption w:val="Table 3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0" w:name="survey-measures-of-pre-interest-in-stem"/>
      <w:bookmarkEnd w:id="40"/>
      <w:r>
        <w:t xml:space="preserve">Survey measures of pre-interest in STEM</w:t>
      </w:r>
    </w:p>
    <w:p>
      <w:pPr>
        <w:pStyle w:val="FirstParagraph"/>
      </w:pPr>
      <w:r>
        <w:t xml:space="preserve">Measures of youths’ pre-interest are used as youth-level characteristics that predict the profiles of engagement.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w:t>
      </w:r>
    </w:p>
    <w:p>
      <w:pPr>
        <w:pStyle w:val="BodyText"/>
      </w:pPr>
      <w:r>
        <w:t xml:space="preserve">This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3.3.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4 Measure for pre-program interest in STEM</w:t>
      </w:r>
    </w:p>
    <w:tbl>
      <w:tblPr>
        <w:tblStyle w:val="TableNormal"/>
        <w:tblW w:type="pct" w:w="0.0"/>
        <w:tblLook w:firstRow="1"/>
        <w:tblCaption w:val="Table 4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Pre-program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other-youth-characteristics"/>
      <w:bookmarkEnd w:id="41"/>
      <w:r>
        <w:t xml:space="preserve">Other youth characteristics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Heading3"/>
      </w:pPr>
      <w:bookmarkStart w:id="43" w:name="preliminary-analyses"/>
      <w:bookmarkEnd w:id="43"/>
      <w:r>
        <w:t xml:space="preserve">Preliminary analyses</w:t>
      </w:r>
    </w:p>
    <w:p>
      <w:pPr>
        <w:pStyle w:val="FirstParagraph"/>
      </w:pPr>
      <w:r>
        <w:t xml:space="preserve">Correlations (first-order Pearson) and the frequency, range, mean (</w:t>
      </w:r>
      <w:r>
        <w:rPr>
          <w:i/>
        </w:rPr>
        <w:t xml:space="preserve">M</w:t>
      </w:r>
      <w:r>
        <w:t xml:space="preserve">), and standard deviation (</w:t>
      </w:r>
      <w:r>
        <w:rPr>
          <w:i/>
        </w:rPr>
        <w:t xml:space="preserve">SD</w:t>
      </w:r>
      <w:r>
        <w:t xml:space="preserve">) are first presented for all variables. In addition, the frequency of the codes for aspects of work with data and the numbers of responses by youth, program, and instructional episode are presented. Note that out of the 248 instructional episodes, 236 were code-able for work with data; for the 12 that were not codeable, issues with the video-recordings were the primary source of the missing data. These 236 responses are used for all of the analyses.</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were two primary steps taken to answer this question, one more quantitative in nature and one more qualitative. The quantitative aspect focused on the frequency of work with data, whereas the qualitative aspect focused on the specific nature of work with data.</w:t>
      </w:r>
    </w:p>
    <w:p>
      <w:pPr>
        <w:pStyle w:val="BodyText"/>
      </w:pPr>
      <w:r>
        <w:t xml:space="preserve">For the quantitative aspect, the codes for the aspects of work with data (described above in the section on the measures) were counted up and presented as a proportion of the number of code-able instructional episodes. As the signals represent a sample of youths’ experiences in the programs, results from this analysis</w:t>
      </w:r>
      <w:r>
        <w:t xml:space="preserve"> </w:t>
      </w:r>
      <w:r>
        <w:t xml:space="preserve">provide insight about how often each of the aspects took place during the programs. Note that this coding frame focused on the degree of</w:t>
      </w:r>
      <w:r>
        <w:t xml:space="preserve"> </w:t>
      </w:r>
      <w:r>
        <w:rPr>
          <w:i/>
        </w:rPr>
        <w:t xml:space="preserve">instructional support</w:t>
      </w:r>
      <w:r>
        <w:t xml:space="preserve"> </w:t>
      </w:r>
      <w:r>
        <w:t xml:space="preserve">the activity leaders provided for youth to work with data, thus results from this analysis will show how often support for the different aspects of work with data was provided, though youth may engage in the aspects of work with data to varying degrees.</w:t>
      </w:r>
    </w:p>
    <w:p>
      <w:pPr>
        <w:pStyle w:val="BodyText"/>
      </w:pPr>
      <w:r>
        <w:t xml:space="preserve">The frequency of work with data, the focus of the quantitative analysis for this research question, will provide insight into how regular the aspects of work with data are, but not about the ways in which work with data was enacted. For example, qualitative differences in</w:t>
      </w:r>
      <w:r>
        <w:t xml:space="preserve"> </w:t>
      </w:r>
      <w:r>
        <w:rPr>
          <w:i/>
        </w:rPr>
        <w:t xml:space="preserve">how</w:t>
      </w:r>
      <w:r>
        <w:t xml:space="preserve"> </w:t>
      </w:r>
      <w:r>
        <w:t xml:space="preserve">youth were asking questions will not be evident from the codes as they are used. In order to provide more detail in terms of the nature of work with data in summer STEM segments, the data was coded with an open-ended, qualitative approach.</w:t>
      </w:r>
    </w:p>
    <w:p>
      <w:pPr>
        <w:pStyle w:val="BodyText"/>
      </w:pPr>
      <w:r>
        <w:t xml:space="preserve">Specifically, three research assistants were trained for approximately eight hours, over the course of four meetings. Then, each research assistant coded all of the segments associated with the videos for a particular. Two coders coded every segment, except for the segments for which the quantitative coding indicated no aspects of work with data were present; instead, for these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questioning or defining problems was observed, what types of questions/problems were involved?</w:t>
      </w:r>
    </w:p>
    <w:p>
      <w:pPr>
        <w:pStyle w:val="Compact"/>
        <w:numPr>
          <w:numId w:val="1004"/>
          <w:ilvl w:val="0"/>
        </w:numPr>
      </w:pPr>
      <w:r>
        <w:t xml:space="preserve">When making observations is coded, what is the focus of observing?</w:t>
      </w:r>
    </w:p>
    <w:p>
      <w:pPr>
        <w:pStyle w:val="Compact"/>
        <w:numPr>
          <w:numId w:val="1004"/>
          <w:ilvl w:val="0"/>
        </w:numPr>
      </w:pPr>
      <w:r>
        <w:t xml:space="preserve">When generating data is coded, what is being collected or recorded?</w:t>
      </w:r>
    </w:p>
    <w:p>
      <w:pPr>
        <w:pStyle w:val="Compact"/>
        <w:numPr>
          <w:numId w:val="1004"/>
          <w:ilvl w:val="0"/>
        </w:numPr>
      </w:pPr>
      <w:r>
        <w:t xml:space="preserve">When analyzing or modeling data is coded, what analysis is being done, or what models are used?</w:t>
      </w:r>
    </w:p>
    <w:p>
      <w:pPr>
        <w:pStyle w:val="Compact"/>
        <w:numPr>
          <w:numId w:val="1004"/>
          <w:ilvl w:val="0"/>
        </w:numPr>
      </w:pPr>
      <w:r>
        <w:t xml:space="preserve">When interpreting and communicating findings is coded, what is being interpreted or communicated?</w:t>
      </w:r>
    </w:p>
    <w:p>
      <w:pPr>
        <w:pStyle w:val="FirstParagraph"/>
      </w:pPr>
      <w:r>
        <w:t xml:space="preserve">For all of the guiding questions, the coders also took note of</w:t>
      </w:r>
      <w:r>
        <w:t xml:space="preserve"> </w:t>
      </w:r>
      <w:r>
        <w:rPr>
          <w:i/>
        </w:rPr>
        <w:t xml:space="preserve">who</w:t>
      </w:r>
      <w:r>
        <w:t xml:space="preserve"> </w:t>
      </w:r>
      <w:r>
        <w:t xml:space="preserve">(the youth, youth activity leader, or someone else) was the focus of the aspect of work with data. For example, with respect to interpreting and communicating findings, denoted when youth were sharing the results from a hands-on investigation or when it was the youth activity leader doing so as a summary on the basis of the work youth recently completed.</w:t>
      </w:r>
    </w:p>
    <w:p>
      <w:pPr>
        <w:pStyle w:val="BodyText"/>
      </w:pPr>
      <w:r>
        <w:t xml:space="preserve">After coding all of the segments for each program, the coders and I met to discuss potential issues that emerged throughout the coding. The goal of meeting was to address any problems encountered when using the guiding questions and to clarify how they applied the coding frame. After the coding was complete, I then read through all of the codes for all of the segments then made notes associated with each of the five aspects of work with data. I used these notes to write descriptions of the nature of work with data for each of the five aspects. After reading through the qualitative codes and my descriptions of the nature of work with data during each segment, I grouped the descriptions into themes, which I present in the results for this research question. I also used these themes to calculate proportions, which are also presented in the findings for this section. In summary, an open-ended, qualitative coding approach was used to create descriptions of the ways in which each of the aspects of work with data was enacted. This analysis is used to provide insights into the nature of work with data in summer STEM programs.</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To answer this question, Latent Profile Analysis (LPA; Harring &amp; Hodis, 2016; Muthen, 2004) is used to identify profiles of engagement. LPA allows for capturing the multidimensional nature of engagement through profiles in terms of discovering groups of the ways in which youth experience engagement together and at once..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through statistical software I developed,</w:t>
      </w:r>
      <w:r>
        <w:t xml:space="preserve"> </w:t>
      </w:r>
      <w:r>
        <w:rPr>
          <w:i/>
        </w:rPr>
        <w:t xml:space="preserve">tidyLPA</w:t>
      </w:r>
      <w:r>
        <w:t xml:space="preserve">. More details on LPA are included in Appendix D.</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On the basis of these criteria, a particular solution is selected and used as part of subsequent analyses; as the model selection process is an integral part of providing an answer to this question, the model and number of profiles selected is described in the section for the results for this research question.</w:t>
      </w:r>
    </w:p>
    <w:p>
      <w:pPr>
        <w:pStyle w:val="Heading3"/>
      </w:pPr>
      <w:bookmarkStart w:id="46" w:name="analysis-for-research-question-3-sources-of-variability-for-the-profiles"/>
      <w:bookmarkEnd w:id="46"/>
      <w:r>
        <w:t xml:space="preserve">Analysis for Research Question #3 (sources of variability for the profiles)</w:t>
      </w:r>
    </w:p>
    <w:p>
      <w:pPr>
        <w:pStyle w:val="FirstParagraph"/>
      </w:pPr>
      <w:r>
        <w:t xml:space="preserve">How youth are engaging is a function of who they are as an individual, what they happen to be doing during a particular instructional episode, and which youth program they are enrolled in, as well as random variation. This analysis seeks to identify how much of the variation is at each of these levels through using null models, or models only with the indicators for the three levels (youth, instructional episode, and program). These models can show how much variability in the profiles is systematic at these different levels and is potentially attributable to each of these types of factors. These null models may also suggest something about where you might want to be looking to explain sources of youth’s engagement.</w:t>
      </w:r>
    </w:p>
    <w:p>
      <w:pPr>
        <w:pStyle w:val="BodyText"/>
      </w:pPr>
      <w: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in Table 4.4.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w:t>
      </w:r>
    </w:p>
    <w:p>
      <w:pPr>
        <w:pStyle w:val="BodyText"/>
      </w:pPr>
      <w:r>
        <w:t xml:space="preserve">Variability in terms of the number (and proportion) of profiles each youth reports can also be considered. The breakdown of responses in each of the six profiles by youth is used to show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pPr>
        <w:pStyle w:val="BodyText"/>
      </w:pPr>
      <w:r>
        <w:t xml:space="preserve">The ICCs provide information about sources of variability in the profiles of engagement with respect to the same profile. One way to better understand the nature of variability across profiles is by examining how often youth reported the same profile: Whether youth exhibit stable or highly variables modes of engagement (i.e., are some youth always</w:t>
      </w:r>
      <w:r>
        <w:t xml:space="preserve"> </w:t>
      </w:r>
      <w:r>
        <w:rPr>
          <w:i/>
        </w:rPr>
        <w:t xml:space="preserve">Fully</w:t>
      </w:r>
      <w:r>
        <w:t xml:space="preserve"> </w:t>
      </w:r>
      <w:r>
        <w:t xml:space="preserve">engaged?) can provide a descriptive portrait of youths’ experiences the many instructional episodes they were involved in. To determine how stable youths’ engagement was, for each youth, the profile that youth reported most was identified, and then the proportion of their responses in that profile was calculated. These proportions are also presented in the results for this question.</w:t>
      </w:r>
    </w:p>
    <w:p>
      <w:pPr>
        <w:pStyle w:val="Heading3"/>
      </w:pPr>
      <w:bookmarkStart w:id="47" w:name="analysis-for-research-question-4-how-work-with-data-relates-to-engagement"/>
      <w:bookmarkEnd w:id="47"/>
      <w:r>
        <w:t xml:space="preserve">Analysis for Research Question #4 (how work with data relates to engagement)</w:t>
      </w:r>
    </w:p>
    <w:p>
      <w:pPr>
        <w:pStyle w:val="FirstParagraph"/>
      </w:pPr>
      <w:r>
        <w:t xml:space="preserve">This question is focused on how work with data relates to the profiles of engagement.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8" w:name="analysis-for-research-question-5-how-youth-characteristics-relate-to-engagement"/>
      <w:bookmarkEnd w:id="48"/>
      <w:r>
        <w:t xml:space="preserve">Analysis for Research Question #5 (how youth characteristics relate to engagement)</w:t>
      </w:r>
    </w:p>
    <w:p>
      <w:pPr>
        <w:pStyle w:val="FirstParagraph"/>
      </w:pPr>
      <w:r>
        <w:t xml:space="preserve">This question is focused on how the relationships of work with data differ on the basis of youth characteristics. In particular, their pre-program interest, gender and URM status are used as predictor variables. The same (mixed effects) models (and statistical software) used for the previous research question are used for this research question. The dependent variable is again the probability of a response being in the profile.</w:t>
      </w:r>
    </w:p>
    <w:p>
      <w:pPr>
        <w:pStyle w:val="BodyText"/>
      </w:pPr>
      <w:r>
        <w:t xml:space="preserve">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pPr>
        <w:pStyle w:val="BodyText"/>
      </w:pPr>
      <w:r>
        <w:t xml:space="preserve">Models with the youth characteristics separate from and together with the aspects of work with data were fit. Like for the results for the previous question, the models only with the youth characteristics yielded very similar results. Thus, the models presented in the previous section with both youth characteristics and the aspects of work (see the table above) with data are interpreted here.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9" w:name="sensitivity-analysis"/>
      <w:bookmarkEnd w:id="49"/>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w:t>
      </w:r>
    </w:p>
    <w:p>
      <w:pPr>
        <w:pStyle w:val="BodyText"/>
      </w:pPr>
      <w:r>
        <w:t xml:space="preserve">The result of the sensitivity analysis, and what is used to interpret and contextualize findings, is a numeric value, between 0 and 1, for each effect that indicates the proportion of the estimate that would have to be biased in order to invalidate the inference. Value close to 0, such as .05, indicate that a very small change in the size of the effect would change the inference made (i.e., a statistically significant result that is interpreted would no longer be interpreted as an effect). Larger values, such as values around .50, indicate that a substantial amount of an effect could be due to bias (i.e., less than 50% of an effect could be due to bias in the sample), but even still, the same inference about a statistically significant could be made, suggesting that such an effect is more robust than one with a smaller value.</w:t>
      </w:r>
    </w:p>
    <w:p>
      <w:pPr>
        <w:pStyle w:val="BodyText"/>
      </w:pPr>
      <w:r>
        <w:t xml:space="preserve">I use sensitivity analysis to interpret and contextualize hypotheses about key relationships for research questions #4 and #5 for this study, for the relationships between the aspects of work with data and youth characteristics and the profiles of engagement. In particular, I carry out sensitivity analysis for the coefficients that are statistically significant in order to provide some insight into how robust the results are. In addition, I carry out sensitivity analysis for coefficients that are close to statistically significant but are not statistically significant, in order to better understand just how little would need to change in order for an effect to be determined to be significant. H</w:t>
      </w:r>
    </w:p>
    <w:p>
      <w:pPr>
        <w:pStyle w:val="BodyText"/>
      </w:pPr>
      <w:r>
        <w:t xml:space="preserve">higher values from the the analysis (i.e., values closer to 1)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50" w:name="results"/>
      <w:bookmarkEnd w:id="50"/>
      <w:r>
        <w:t xml:space="preserve">Results</w:t>
      </w:r>
    </w:p>
    <w:p>
      <w:pPr>
        <w:pStyle w:val="Heading2"/>
      </w:pPr>
      <w:bookmarkStart w:id="51" w:name="preliminary-results"/>
      <w:bookmarkEnd w:id="51"/>
      <w:r>
        <w:t xml:space="preserve">Preliminary results</w:t>
      </w:r>
    </w:p>
    <w:p>
      <w:pPr>
        <w:pStyle w:val="Heading3"/>
      </w:pPr>
      <w:bookmarkStart w:id="52" w:name="descriptive-statistics-for-the-engagement-measures"/>
      <w:bookmarkEnd w:id="52"/>
      <w:r>
        <w:t xml:space="preserve">Descriptive statistics for the engagement measures</w:t>
      </w:r>
    </w:p>
    <w:p>
      <w:pPr>
        <w:pStyle w:val="Compact"/>
      </w:pPr>
      <w:r>
        <w:t xml:space="preserve">First, descriptive statistics for the engagement measures (the five variables that were used to estimate the profiles) are presented in Table 4.1. These descriptive statistics show high overall levels of the three indicators of engagement (with mean values on scales that ranged from one to four between 2.768 (</w:t>
      </w:r>
      <w:r>
        <w:rPr>
          <w:i/>
        </w:rPr>
        <w:t xml:space="preserve">SD</w:t>
      </w:r>
      <w:r>
        <w:t xml:space="preserve"> </w:t>
      </w:r>
      <w:r>
        <w:t xml:space="preserve">= 1.063) for cognitive engagement, and 2.863 (</w:t>
      </w:r>
      <w:r>
        <w:rPr>
          <w:i/>
        </w:rPr>
        <w:t xml:space="preserve">SD</w:t>
      </w:r>
      <w:r>
        <w:t xml:space="preserve"> </w:t>
      </w:r>
      <w:r>
        <w:t xml:space="preserve">= 1.044), for behavioral engagement). These statistics also show high perceptions of competence (</w:t>
      </w:r>
      <w:r>
        <w:rPr>
          <w:i/>
        </w:rPr>
        <w:t xml:space="preserve">M</w:t>
      </w:r>
      <w:r>
        <w:t xml:space="preserve"> </w:t>
      </w:r>
      <w:r>
        <w:t xml:space="preserve">= 3.000 (</w:t>
      </w:r>
      <w:r>
        <w:rPr>
          <w:i/>
        </w:rPr>
        <w:t xml:space="preserve">SD</w:t>
      </w:r>
      <w:r>
        <w:t xml:space="preserve"> </w:t>
      </w:r>
      <w:r>
        <w:t xml:space="preserve">= 0.952)) and more moderate perceptions of challenge (</w:t>
      </w:r>
      <w:r>
        <w:rPr>
          <w:i/>
        </w:rPr>
        <w:t xml:space="preserve">M</w:t>
      </w:r>
      <w:r>
        <w:t xml:space="preserve"> </w:t>
      </w:r>
      <w:r>
        <w:t xml:space="preserve">= 2.270 (</w:t>
      </w:r>
      <w:r>
        <w:rPr>
          <w:i/>
        </w:rPr>
        <w:t xml:space="preserve">SD</w:t>
      </w:r>
      <w:r>
        <w:t xml:space="preserve"> </w:t>
      </w:r>
      <w:r>
        <w:t xml:space="preserve">= 1.117)). There was a similar degree of (moderate) variability (see the</w:t>
      </w:r>
      <w:r>
        <w:t xml:space="preserve"> </w:t>
      </w:r>
      <w:r>
        <w:rPr>
          <w:i/>
        </w:rPr>
        <w:t xml:space="preserve">SD</w:t>
      </w:r>
      <w:r>
        <w:t xml:space="preserve">s) across the five measures, indicating that, across all of the ESM responses, engagement was not the same (due to the youth, instructional episode, program, and for unexplained reasons).</w:t>
      </w:r>
    </w:p>
    <w:p>
      <w:pPr>
        <w:pStyle w:val="Heading3"/>
      </w:pPr>
      <w:bookmarkStart w:id="53" w:name="correlations-among-the-study-variables"/>
      <w:bookmarkEnd w:id="53"/>
      <w:r>
        <w:t xml:space="preserve">Correlations among the study variables</w:t>
      </w:r>
    </w:p>
    <w:p>
      <w:pPr>
        <w:pStyle w:val="FirstParagraph"/>
      </w:pPr>
      <w:r>
        <w:t xml:space="preserve">Next, correlations between the variables that are used to create the profiles of engagement are presented (Table 4.2). These correlations,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reveal low to moderate relations among these variables.</w:t>
      </w:r>
    </w:p>
    <w:p>
      <w:pPr>
        <w:pStyle w:val="Heading2"/>
      </w:pPr>
      <w:bookmarkStart w:id="54" w:name="results-for-research-question-1"/>
      <w:bookmarkEnd w:id="54"/>
      <w:r>
        <w:t xml:space="preserve">Results for Research Question #1</w:t>
      </w:r>
    </w:p>
    <w:p>
      <w:pPr>
        <w:pStyle w:val="Heading3"/>
      </w:pPr>
      <w:bookmarkStart w:id="55" w:name="frequency-of-the-aspects-of-work-with-data"/>
      <w:bookmarkEnd w:id="55"/>
      <w:r>
        <w:t xml:space="preserve">Frequency of the aspects of work with data</w:t>
      </w:r>
    </w:p>
    <w:p>
      <w:pPr>
        <w:pStyle w:val="FirstParagraph"/>
      </w:pPr>
      <w:r>
        <w:t xml:space="preserve">Of the 236 instructional episodes used in the analysis, 170 (72%) of them were coded as involving</w:t>
      </w:r>
      <w:r>
        <w:t xml:space="preserve"> </w:t>
      </w:r>
      <w:r>
        <w:rPr>
          <w:i/>
        </w:rPr>
        <w:t xml:space="preserve">any</w:t>
      </w:r>
      <w:r>
        <w:t xml:space="preserve"> </w:t>
      </w:r>
      <w:r>
        <w:t xml:space="preserve">of the five aspects of work with data. As presented in Table 4.3, the five aspects of work with data occurred regularly. Making observations was found to be the least frequent of the five aspects, occurring in 24% of instructional episodes. Data modeling was the next most frequency, occurring in 29% of the episodes, followed by asking questions (38%), generating data (43%), and communicating findings (again 43%).</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0.381</w:t>
            </w:r>
          </w:p>
        </w:tc>
        <w:tc>
          <w:p>
            <w:pPr>
              <w:pStyle w:val="Compact"/>
              <w:jc w:val="right"/>
            </w:pPr>
            <w:r>
              <w:t xml:space="preserve">90</w:t>
            </w:r>
          </w:p>
        </w:tc>
      </w:tr>
      <w:tr>
        <w:tc>
          <w:p>
            <w:pPr>
              <w:pStyle w:val="Compact"/>
              <w:jc w:val="left"/>
            </w:pPr>
            <w:r>
              <w:t xml:space="preserve">Making Observations</w:t>
            </w:r>
          </w:p>
        </w:tc>
        <w:tc>
          <w:p>
            <w:pPr>
              <w:pStyle w:val="Compact"/>
              <w:jc w:val="right"/>
            </w:pPr>
            <w:r>
              <w:t xml:space="preserve">0.242</w:t>
            </w:r>
          </w:p>
        </w:tc>
        <w:tc>
          <w:p>
            <w:pPr>
              <w:pStyle w:val="Compact"/>
              <w:jc w:val="right"/>
            </w:pPr>
            <w:r>
              <w:t xml:space="preserve">57</w:t>
            </w:r>
          </w:p>
        </w:tc>
      </w:tr>
      <w:tr>
        <w:tc>
          <w:p>
            <w:pPr>
              <w:pStyle w:val="Compact"/>
              <w:jc w:val="left"/>
            </w:pPr>
            <w:r>
              <w:t xml:space="preserve">Generating Data</w:t>
            </w:r>
          </w:p>
        </w:tc>
        <w:tc>
          <w:p>
            <w:pPr>
              <w:pStyle w:val="Compact"/>
              <w:jc w:val="right"/>
            </w:pPr>
            <w:r>
              <w:t xml:space="preserve">0.432</w:t>
            </w:r>
          </w:p>
        </w:tc>
        <w:tc>
          <w:p>
            <w:pPr>
              <w:pStyle w:val="Compact"/>
              <w:jc w:val="right"/>
            </w:pPr>
            <w:r>
              <w:t xml:space="preserve">102</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0.436</w:t>
            </w:r>
          </w:p>
        </w:tc>
        <w:tc>
          <w:p>
            <w:pPr>
              <w:pStyle w:val="Compact"/>
              <w:jc w:val="right"/>
            </w:pPr>
            <w:r>
              <w:t xml:space="preserve">103</w:t>
            </w:r>
          </w:p>
        </w:tc>
      </w:tr>
    </w:tbl>
    <w:p>
      <w:pPr>
        <w:pStyle w:val="BodyText"/>
      </w:pPr>
      <w:r>
        <w:t xml:space="preserve">Note that these results are for the codes for the (approximately ten-minute, video-recorded) instructional episodes, and that the aspects of work with data</w:t>
      </w:r>
      <w:r>
        <w:t xml:space="preserve"> </w:t>
      </w:r>
      <w:r>
        <w:rPr>
          <w:i/>
        </w:rPr>
        <w:t xml:space="preserve">can</w:t>
      </w:r>
      <w:r>
        <w:t xml:space="preserve"> </w:t>
      </w:r>
      <w:r>
        <w:t xml:space="preserve">(and</w:t>
      </w:r>
      <w:r>
        <w:t xml:space="preserve"> </w:t>
      </w:r>
      <w:r>
        <w:rPr>
          <w:i/>
        </w:rPr>
        <w:t xml:space="preserve">did</w:t>
      </w:r>
      <w:r>
        <w:t xml:space="preserve">) co-occur: On average, there were 1.86 (</w:t>
      </w:r>
      <w:r>
        <w:rPr>
          <w:i/>
        </w:rPr>
        <w:t xml:space="preserve">SD</w:t>
      </w:r>
      <w:r>
        <w:t xml:space="preserve"> </w:t>
      </w:r>
      <w:r>
        <w:t xml:space="preserve">=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 In Appendix C, the frequencies by program are presented.</w:t>
      </w:r>
    </w:p>
    <w:p>
      <w:pPr>
        <w:pStyle w:val="Heading3"/>
      </w:pPr>
      <w:bookmarkStart w:id="56" w:name="the-nature-of-work-with-data"/>
      <w:bookmarkEnd w:id="56"/>
      <w:r>
        <w:t xml:space="preserve">The nature of work with data</w:t>
      </w:r>
    </w:p>
    <w:p>
      <w:pPr>
        <w:pStyle w:val="FirstParagraph"/>
      </w:pPr>
      <w:r>
        <w:t xml:space="preserve">The open-ended, qualitative approach used to understand the specific nature of youths’ work with data showed there to be distinct ways in which youth worked with data. Note that for each aspect of work with data, the percentages of the themes do not sum to 100% as many instructional episodes involved the presence of the aspect of work with data in ways that were not very common and systematic.</w:t>
      </w:r>
    </w:p>
    <w:p>
      <w:pPr>
        <w:pStyle w:val="Heading4"/>
      </w:pPr>
      <w:bookmarkStart w:id="57" w:name="asking-questions-or-identifying-problems"/>
      <w:bookmarkEnd w:id="57"/>
      <w:r>
        <w:t xml:space="preserve">Asking questions or identifying problems</w:t>
      </w:r>
    </w:p>
    <w:p>
      <w:pPr>
        <w:pStyle w:val="FirstParagraph"/>
      </w:pPr>
      <w:r>
        <w:t xml:space="preserve">Among the instructional episodes that involved asking questions, qualitative descriptions revealed that around one-third (36/92, or 39%) explicitly demonstrated youth working to understand the phenomenon or problem they were investigating. When doing so, they were focused on actively constructing predictions and hypotheses about phenomena related to the program.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w:t>
      </w:r>
    </w:p>
    <w:p>
      <w:pPr>
        <w:pStyle w:val="BodyText"/>
      </w:pPr>
      <w:r>
        <w:t xml:space="preserve">Other instructional episodes involved questions that were not focused on predicting or hypothesizing, but rather on asking a more general type of question (21/92; 23%), or involved the</w:t>
      </w:r>
      <w:r>
        <w:t xml:space="preserve"> </w:t>
      </w:r>
      <w:r>
        <w:rPr>
          <w:i/>
        </w:rPr>
        <w:t xml:space="preserve">instructor</w:t>
      </w:r>
      <w:r>
        <w:t xml:space="preserve"> </w:t>
      </w:r>
      <w:r>
        <w:t xml:space="preserve">(but not youth) posing questions or identifying problems (14/96; 16%). In the former case, youth were found to be asking generic questions about understanding the assignment, task, or even the phenomena. For example, in the</w:t>
      </w:r>
      <w:r>
        <w:t xml:space="preserve"> </w:t>
      </w:r>
      <w:r>
        <w:rPr>
          <w:i/>
        </w:rPr>
        <w:t xml:space="preserve">Marine Investigators</w:t>
      </w:r>
      <w:r>
        <w:t xml:space="preserve"> </w:t>
      </w:r>
      <w:r>
        <w:t xml:space="preserve">program, youth visited a water treatment site, and were provided opportunities to ask questions about what they observed: However, youths’ questions were not questions that could then be answered with empirical data, but were rather to clarify their understanding. In the latter, instructors were asking youth questions (i.e., math-related prompts or questions to elicit their conceptual understanding).</w:t>
      </w:r>
    </w:p>
    <w:p>
      <w:pPr>
        <w:pStyle w:val="Heading4"/>
      </w:pPr>
      <w:bookmarkStart w:id="58" w:name="making-observations"/>
      <w:bookmarkEnd w:id="58"/>
      <w:r>
        <w:t xml:space="preserve">Making observations</w:t>
      </w:r>
    </w:p>
    <w:p>
      <w:pPr>
        <w:pStyle w:val="FirstParagraph"/>
      </w:pPr>
      <w:r>
        <w:t xml:space="preserve">In the instructional episodes when the STEM-PQA revealed that youth were making observations, the vast majority (49/57, 86%) of these were focused on observing phenomena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w:t>
      </w:r>
    </w:p>
    <w:p>
      <w:pPr>
        <w:pStyle w:val="BodyText"/>
      </w:pPr>
      <w:r>
        <w:t xml:space="preserve">Sometimes, while youth did make observations of phenomena, they faced the challenge of using that data in subsequent activities and through engaging in other aspects of work with data. For example,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making observations, but these observations were not frequently written down or entered into a spreadsheet as data. For example, in</w:t>
      </w:r>
      <w:r>
        <w:t xml:space="preserve"> </w:t>
      </w:r>
      <w:r>
        <w:rPr>
          <w:i/>
        </w:rPr>
        <w:t xml:space="preserve">Marine Investigators</w:t>
      </w:r>
      <w:r>
        <w:t xml:space="preserve">, youth observed how the Atlantic Ocean brings salt water into the (freshwater) bay. Youth observe</w:t>
      </w:r>
      <w:r>
        <w:t xml:space="preserve"> </w:t>
      </w:r>
      <w:r>
        <w:t xml:space="preserve">“</w:t>
      </w:r>
      <w:r>
        <w:t xml:space="preserve">buffers</w:t>
      </w:r>
      <w:r>
        <w:t xml:space="preserve">”</w:t>
      </w:r>
      <w:r>
        <w:t xml:space="preserve"> </w:t>
      </w:r>
      <w:r>
        <w:t xml:space="preserve">between the salt and freshwater, but do not collect or otherwise generate data related to their observations.</w:t>
      </w:r>
    </w:p>
    <w:p>
      <w:pPr>
        <w:pStyle w:val="BodyText"/>
      </w:pPr>
      <w:r>
        <w:t xml:space="preserve">In a small number of cases making observations were focused on making observations not of phenomena, but of something more general (10/57; 18%). For example, in the</w:t>
      </w:r>
      <w:r>
        <w:t xml:space="preserve"> </w:t>
      </w:r>
      <w:r>
        <w:rPr>
          <w:i/>
        </w:rPr>
        <w:t xml:space="preserve">Adventures in Mathematics</w:t>
      </w:r>
      <w:r>
        <w:t xml:space="preserve"> </w:t>
      </w:r>
      <w:r>
        <w:t xml:space="preserve">program, youth observed other youth or the activity leader working through a mathematics problem, but not one that at any stage of the activity was focused on a phenomena that youth identified or discussed.</w:t>
      </w:r>
    </w:p>
    <w:p>
      <w:pPr>
        <w:pStyle w:val="Heading4"/>
      </w:pPr>
      <w:bookmarkStart w:id="59" w:name="generating-data"/>
      <w:bookmarkEnd w:id="59"/>
      <w:r>
        <w:t xml:space="preserve">Generating data</w:t>
      </w:r>
    </w:p>
    <w:p>
      <w:pPr>
        <w:pStyle w:val="FirstParagraph"/>
      </w:pPr>
      <w:r>
        <w:t xml:space="preserve">In about half (48/102; 47%) of the episodes that involved generating data, youth were writing down their own observations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w:t>
      </w:r>
    </w:p>
    <w:p>
      <w:pPr>
        <w:pStyle w:val="BodyText"/>
      </w:pPr>
      <w:r>
        <w:t xml:space="preserve">During some of these cases, youth generated data, but they did not use the data they generated in subsequent activities.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w:t>
      </w:r>
      <w:r>
        <w:t xml:space="preserve">particularly, youth often generated data that resulted from their engineering designs (and communicated and interpreted their findings,) but did not model this data as a regular part of their activities. In one particular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youth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w:t>
      </w:r>
    </w:p>
    <w:p>
      <w:pPr>
        <w:pStyle w:val="BodyText"/>
      </w:pPr>
      <w:r>
        <w:t xml:space="preserve">In a very small number of cases (2/102; 2%), youth collected, but did not write down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were collected to serve as data for a future activity, there was no recording observed during the episode. Very often, in the (approximately) other half of episodes related to this aspect of work with data, the ways in which youth generated data were not very systematic or clearly identifiable, a point discussed in detail in the next chapter.</w:t>
      </w:r>
    </w:p>
    <w:p>
      <w:pPr>
        <w:pStyle w:val="Heading4"/>
      </w:pPr>
      <w:bookmarkStart w:id="60" w:name="data-modeling"/>
      <w:bookmarkEnd w:id="60"/>
      <w:r>
        <w:t xml:space="preserve">Data modeling</w:t>
      </w:r>
    </w:p>
    <w:p>
      <w:pPr>
        <w:pStyle w:val="FirstParagraph"/>
      </w:pPr>
      <w:r>
        <w:t xml:space="preserve">A large majority (49/68, 72%) of the instructional episodes coded (with the STEM-PQA) for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another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w:t>
      </w:r>
      <w:r>
        <w:t xml:space="preserve"> </w:t>
      </w:r>
      <w:r>
        <w:rPr>
          <w:i/>
        </w:rPr>
        <w:t xml:space="preserve">why</w:t>
      </w:r>
      <w:r>
        <w:t xml:space="preserve"> </w:t>
      </w:r>
      <w:r>
        <w:t xml:space="preserve">youth thought about and used math in particular ways (i.e., by adding the quantity of trash collected and then extrapolating from this quantity to the amount from across the entire city over the course of the year). This appeared to be an ambitious and powerful data modeling activity.</w:t>
      </w:r>
    </w:p>
    <w:p>
      <w:pPr>
        <w:pStyle w:val="BodyText"/>
      </w:pPr>
      <w:r>
        <w:t xml:space="preserve">Very often, data modeling was focused on solving equations, even when related to real-life (as in buying groceries, how money is spent, and how to budget, in</w:t>
      </w:r>
      <w:r>
        <w:t xml:space="preserve"> </w:t>
      </w:r>
      <w:r>
        <w:rPr>
          <w:i/>
        </w:rPr>
        <w:t xml:space="preserve">Comunidad de Apendizaje</w:t>
      </w:r>
      <w:r>
        <w:t xml:space="preserve">). In these episodes during which youth were modeling data (4/68; 6%), they were using equations provided by the youth activity leader to solve problems. When data modeling, a model was not always one of data. In a small number of the cases (5/68; 7%), the model was a physical model, such as during the</w:t>
      </w:r>
      <w:r>
        <w:t xml:space="preserve"> </w:t>
      </w:r>
      <w:r>
        <w:rPr>
          <w:i/>
        </w:rPr>
        <w:t xml:space="preserve">Crazy Machines</w:t>
      </w:r>
      <w:r>
        <w:t xml:space="preserve"> </w:t>
      </w:r>
      <w:r>
        <w:t xml:space="preserve">program, in which youth saw how changes to their Rube Goldberg machine worked or did not work.</w:t>
      </w:r>
    </w:p>
    <w:p>
      <w:pPr>
        <w:pStyle w:val="BodyText"/>
      </w:pPr>
      <w:r>
        <w:t xml:space="preserve">While data modeling activities appeared to be ambitious in their design and enactment, youth activity leaders sometimes faced the challenge of linking data modeling activities to other aspects of work with data.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in their attempts to approach mathematics problem-solving in creative ways.</w:t>
      </w:r>
    </w:p>
    <w:p>
      <w:pPr>
        <w:pStyle w:val="BodyText"/>
      </w:pPr>
      <w:r>
        <w:t xml:space="preserve">In a small number of instructional episodes, data modeling involved a model that could generate data (6/68; 9%).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 In this specific instructional episode, a model was clearly used (by the youth activity leader rather than the youth, in this case), but the model was not a data model but rather a physical one that was used to help youth understand a phenomenon.</w:t>
      </w:r>
    </w:p>
    <w:p>
      <w:pPr>
        <w:pStyle w:val="Heading4"/>
      </w:pPr>
      <w:bookmarkStart w:id="61" w:name="interpreting-and-communicating-findings"/>
      <w:bookmarkEnd w:id="61"/>
      <w:r>
        <w:t xml:space="preserve">Interpreting and communicating findings</w:t>
      </w:r>
    </w:p>
    <w:p>
      <w:pPr>
        <w:pStyle w:val="FirstParagraph"/>
      </w:pPr>
      <w:r>
        <w:t xml:space="preserve">In around half (49/103, 48%) of the instructional episodes in which youth were interpreting and communicating findings (as coded by the STEM-PQA), youth were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youth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w:t>
      </w:r>
      <w:r>
        <w:t xml:space="preserve"> </w:t>
      </w:r>
      <w:r>
        <w:rPr>
          <w:i/>
        </w:rPr>
        <w:t xml:space="preserve">Marine Investigators</w:t>
      </w:r>
      <w:r>
        <w:t xml:space="preserve">).</w:t>
      </w:r>
    </w:p>
    <w:p>
      <w:pPr>
        <w:pStyle w:val="BodyText"/>
      </w:pPr>
      <w:r>
        <w:t xml:space="preserve">In the other instructional episodes that were not focused on youth sharing what they found from an investigation, youth were most commonly communicating about topics other than the results of an investigation or design process (3/103, 3%), such as trying to find out the answer to a discrete question posed by the youth activity leader, or the youth activity leader was who was doing the interpreting and communicating (4/103, 4%). For example, in the former case, during the</w:t>
      </w:r>
      <w:r>
        <w:t xml:space="preserve"> </w:t>
      </w:r>
      <w:r>
        <w:rPr>
          <w:i/>
        </w:rPr>
        <w:t xml:space="preserve">Adventures in Mathematics</w:t>
      </w:r>
      <w:r>
        <w:t xml:space="preserve"> </w:t>
      </w:r>
      <w:r>
        <w:t xml:space="preserve">program, the youth activity leader helped youth to solve problems on a worksheet, asking guiding questions to help them to begin to solve problems on their own. In the latter type of interpreting and communicating findings (the youth activity leader doing the interpreting and communicating), youth commonly engaged in other aspects of work with data (i.e., generating data), but the youth activity leader compiled, modeled, and then interpreted the data that the youth generated, rather than youth doing such activities themselves.</w:t>
      </w:r>
    </w:p>
    <w:p>
      <w:pPr>
        <w:pStyle w:val="Heading2"/>
      </w:pPr>
      <w:bookmarkStart w:id="62" w:name="results-for-research-question-2-what-profiles-of-youth-engagement-emerge-from-experiential-data-collected-in-the-programs"/>
      <w:bookmarkEnd w:id="62"/>
      <w:r>
        <w:t xml:space="preserve">Results for Research Question #2: What profiles of youth engagement emerge from experiential data collected in the programs?</w:t>
      </w:r>
    </w:p>
    <w:p>
      <w:pPr>
        <w:pStyle w:val="FirstParagraph"/>
      </w:pPr>
      <w:r>
        <w:t xml:space="preserve">On the basis of fit statistics, statistical tests, and concerns of interpretability and parsimony, a solution with six profiles was selected for use in subsequent analyses. This solution was associated with a model with varying means, equal variances, and covariances fixed to 0 (the first model type among those described in the methods). Because of the exploratory nature of the approach used to identify the profiles, LPA, it is important to consider alternate solutions. In particular, a seven profile solution with the same model specification was similar (but not superior) in terms of the fit statistics and statistical tests. This solution, presented in Appendix F, was determined to not be superior to the six profile solution, ultimately chosen on the basis of parsimony and interpretability.</w:t>
      </w:r>
    </w:p>
    <w:p>
      <w:pPr>
        <w:pStyle w:val="BodyText"/>
      </w:pPr>
      <w:r>
        <w:t xml:space="preserve">The results of this model selection process was the estimation of</w:t>
      </w:r>
      <w:r>
        <w:t xml:space="preserve"> </w:t>
      </w:r>
      <w:r>
        <w:rPr>
          <w:i/>
        </w:rPr>
        <w:t xml:space="preserve">six distinct profiles</w:t>
      </w:r>
      <w:r>
        <w:t xml:space="preserve"> </w:t>
      </w:r>
      <w:r>
        <w:t xml:space="preserve">identified from the data, as presented in Figures 4.1 and 4.2. Figure 4.1 shows the profiles with variables that were centered to have a mean equal to 0 and a standard deviation of 1. Thus, the</w:t>
      </w:r>
      <w:r>
        <w:t xml:space="preserve"> </w:t>
      </w:r>
      <w:r>
        <w:rPr>
          <w:i/>
        </w:rPr>
        <w:t xml:space="preserve">y</w:t>
      </w:r>
      <w:r>
        <w:t xml:space="preserve">-axis for this plot is labeled</w:t>
      </w:r>
      <w:r>
        <w:t xml:space="preserve"> </w:t>
      </w:r>
      <w:r>
        <w:t xml:space="preserve">“</w:t>
      </w:r>
      <w:r>
        <w:t xml:space="preserve">Z-score</w:t>
      </w:r>
      <w:r>
        <w:t xml:space="preserve">”</w:t>
      </w:r>
      <w:r>
        <w:t xml:space="preserve">). Figure 4.2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r>
        <w:t xml:space="preserve"> </w:t>
      </w:r>
      <w:r>
        <w:t xml:space="preserve">The two plots are presented because they provide different insight into the composition of the profiles: Those with the centered variables highlights positive and negative departures from the mean value for each variable, making differences between the profiles distinct. The plot with the raw data instead highlights the reported values of the variables, emphasizing the values of the variables in the profiles in the same units youth considered when they responded (and potentially highlighting similarities that may seem very different in the plot with the centered data).</w:t>
      </w:r>
    </w:p>
    <w:p>
      <w:pPr>
        <w:pStyle w:val="FigureWithCaption"/>
      </w:pPr>
      <w:r>
        <w:drawing>
          <wp:inline>
            <wp:extent cx="5334000" cy="3294062"/>
            <wp:effectExtent b="0" l="0" r="0" t="0"/>
            <wp:docPr descr="Figure 3 The six profiles of engagement (with variable values standardized)"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3"/>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Figure 3 The six profiles of engagement (with variable values standardized)</w:t>
      </w:r>
    </w:p>
    <w:p>
      <w:pPr>
        <w:pStyle w:val="FigureWithCaption"/>
      </w:pPr>
      <w:r>
        <w:drawing>
          <wp:inline>
            <wp:extent cx="5334000" cy="3287447"/>
            <wp:effectExtent b="0" l="0" r="0" t="0"/>
            <wp:docPr descr="Figure 4 The six profiles of engagement (with raw variable values)" title="" id="1" name="Picture"/>
            <a:graphic>
              <a:graphicData uri="http://schemas.openxmlformats.org/drawingml/2006/picture">
                <pic:pic>
                  <pic:nvPicPr>
                    <pic:cNvPr descr="rosenberg-dissertation_files/figure-docx/unnamed-chunk-12-1.png" id="0" name="Picture"/>
                    <pic:cNvPicPr>
                      <a:picLocks noChangeArrowheads="1" noChangeAspect="1"/>
                    </pic:cNvPicPr>
                  </pic:nvPicPr>
                  <pic:blipFill>
                    <a:blip r:embed="rId6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The six profiles of engagement (with raw variable values)</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working hard, learning something new, and enjoying the activity, and perceptions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working hard, very low enjoyment of the activity, and moderately (low) levels of learning something new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enjoyment, low levels of hard work, and moderately (low) levels of cognitive learning something new, challenge, and competence</w:t>
      </w:r>
    </w:p>
    <w:p>
      <w:pPr>
        <w:pStyle w:val="Compact"/>
        <w:numPr>
          <w:numId w:val="1006"/>
          <w:ilvl w:val="0"/>
        </w:numPr>
      </w:pPr>
      <w:r>
        <w:t xml:space="preserve">A</w:t>
      </w:r>
      <w:r>
        <w:t xml:space="preserve"> </w:t>
      </w:r>
      <w:r>
        <w:rPr>
          <w:i/>
        </w:rPr>
        <w:t xml:space="preserve">all moderate</w:t>
      </w:r>
      <w:r>
        <w:t xml:space="preserve"> </w:t>
      </w:r>
      <w:r>
        <w:t xml:space="preserve">profile, with moderate levels of the three indicators of working hard, learning something new, enjoying the activity,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working hard, learning something new, enjoying the activity, and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working hard, learning something new, enjoying the activity, challenge, and competence</w:t>
      </w:r>
    </w:p>
    <w:p>
      <w:pPr>
        <w:pStyle w:val="FirstParagraph"/>
      </w:pPr>
      <w:r>
        <w:t xml:space="preserve">The six profiles are characterized by both varying levels on both the indicators of engagement (cognitive, behavioral, and affective) and perceptions of challenge and competence. In addition, the number of observations across the profiles is relatively balanced (with no profiles associated with a very large or small number of observations). The universally low profile was associated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 The results for research questions 3-5 use this solution and the six profiles in subsequent analyses.</w:t>
      </w:r>
    </w:p>
    <w:p>
      <w:pPr>
        <w:pStyle w:val="Heading2"/>
      </w:pPr>
      <w:bookmarkStart w:id="65" w:name="results-for-research-question-3-what-sources-of-variability-are-there-for-the-profiles-of-engagement"/>
      <w:bookmarkEnd w:id="65"/>
      <w:r>
        <w:t xml:space="preserve">Results for Research Question #3: What sources of variability are there for the profiles of engagement?</w:t>
      </w:r>
    </w:p>
    <w:p>
      <w:pPr>
        <w:pStyle w:val="FirstParagraph"/>
      </w:pPr>
      <w:r>
        <w:t xml:space="preserve">For all six profiles, the ICCs represent the systematic variability (the proportion of variance explained) associated with each of the three levels (youth, instructional episode, and program) for each profile. Thus, the different levels can have different proportions of variance explained for different profiles: The systematic variability at the youth level, for example, could be .10 for the</w:t>
      </w:r>
      <w:r>
        <w:t xml:space="preserve"> </w:t>
      </w:r>
      <w:r>
        <w:rPr>
          <w:i/>
        </w:rPr>
        <w:t xml:space="preserve">Full</w:t>
      </w:r>
      <w:r>
        <w:t xml:space="preserve"> </w:t>
      </w:r>
      <w:r>
        <w:t xml:space="preserve">profile and .025 for the</w:t>
      </w:r>
      <w:r>
        <w:t xml:space="preserve"> </w:t>
      </w:r>
      <w:r>
        <w:rPr>
          <w:i/>
        </w:rPr>
        <w:t xml:space="preserve">Universally Low</w:t>
      </w:r>
      <w:r>
        <w:t xml:space="preserve"> </w:t>
      </w:r>
      <w:r>
        <w:t xml:space="preserve">profile.</w:t>
      </w:r>
    </w:p>
    <w:p>
      <w:pPr>
        <w:pStyle w:val="BodyText"/>
      </w:pPr>
      <w:r>
        <w:t xml:space="preserve">At the program level, the ICCs were found to be small, with values ranging from 0.00 to 0.023, suggesting that little variability can be explained by the program youth were in. For the instructional episode level, the ICCs were also small, ranging from 0.004 to 0.01. Finally, at the youth-level, the ICCs ranged from .093 to .432. Looking across these values, most of the explained variability in the responses is associated with youth; the program and instructional episode levels were associated with very small values, suggesting that variables at the instructional episode may have minimal effects, although adding variables at</w:t>
      </w:r>
      <w:r>
        <w:t xml:space="preserve"> </w:t>
      </w:r>
      <w:r>
        <w:rPr>
          <w:i/>
        </w:rPr>
        <w:t xml:space="preserve">other</w:t>
      </w:r>
      <w:r>
        <w:t xml:space="preserve"> </w:t>
      </w:r>
      <w:r>
        <w:t xml:space="preserve">levels (i.e., youth characteristics that are at the youth level) can change the value of (other levels’) ICCs (Gelman &amp; Hill, 2007).</w:t>
      </w:r>
    </w:p>
    <w:p>
      <w:pPr>
        <w:pStyle w:val="BodyText"/>
      </w:pPr>
      <w:r>
        <w:t xml:space="preserve">As described earlier, the levels are associated with different ICCs for different profiles. In terms of ICCS at youth level across the six profiles, the value for the youth-level ICC was highest for the</w:t>
      </w:r>
      <w:r>
        <w:t xml:space="preserve"> </w:t>
      </w:r>
      <w:r>
        <w:rPr>
          <w:i/>
        </w:rPr>
        <w:t xml:space="preserve">Full</w:t>
      </w:r>
      <w:r>
        <w:t xml:space="preserve"> </w:t>
      </w:r>
      <w:r>
        <w:t xml:space="preserve">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for the ICC at the youth level (</w:t>
      </w:r>
      <w:r>
        <w:rPr>
          <w:i/>
        </w:rPr>
        <w:t xml:space="preserve">ICC</w:t>
      </w:r>
      <w:r>
        <w:t xml:space="preserve"> </w:t>
      </w:r>
      <w:r>
        <w:t xml:space="preserve">= .267). Finally, a large amount of variability is associated with the residual (variance that is not associated with the program, instructional episode, or youth levels). This suggests that there is wide variation in youths’ responses that may not be readily explained or predicted by variables</w:t>
      </w:r>
      <w:r>
        <w:t xml:space="preserve"> </w:t>
      </w:r>
      <w:r>
        <w:rPr>
          <w:i/>
        </w:rPr>
        <w:t xml:space="preserve">at one level alone</w:t>
      </w:r>
      <w:r>
        <w:t xml:space="preserve">. Remaining unexplained variability is captured by the residual term. Some youth from particular programs may engage during some episode instructional episodes in very high or low ways that are not captured by modeling the variability at each of these levels alone.</w:t>
      </w:r>
    </w:p>
    <w:p>
      <w:pPr>
        <w:pStyle w:val="BodyText"/>
      </w:pPr>
      <w:r>
        <w:t xml:space="preserve">The ICCs lend insight into the sources of variability for a specific profile. In addition to this analysis, examining how often youth reported the same across instructional episodes lends further insight into sources of variability for the profiles. This analysis can be particularly useful for understanding variability at the youth level, which the ICCs show to be associated with the most systematic variability. As presented in Figure 4.3, the mean proportion of responses for each youth in the profile they reported most varied widely across youth. There was a small number of youth who reported the same profile in all of their responses, but for most youth, the profile they reported most made up only a portion of all of their responses. For most youth, the most frequent profile was observed just over 50% of the time. Specifically, on average, youth reported their most-reported profile in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of their responses.</w:t>
      </w:r>
    </w:p>
    <w:p>
      <w:pPr>
        <w:pStyle w:val="BodyText"/>
      </w:pPr>
      <w:r>
        <w:t xml:space="preserve">In sum, these findings show that there was substantial variability in the profiles present at the youth level.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#4) and the youth characteristics (for research question #5) and the profiles of engagement.</w:t>
      </w:r>
    </w:p>
    <w:p>
      <w:pPr>
        <w:pStyle w:val="FigureWithCaption"/>
      </w:pPr>
      <w:r>
        <w:drawing>
          <wp:inline>
            <wp:extent cx="5334000" cy="3287447"/>
            <wp:effectExtent b="0" l="0" r="0" t="0"/>
            <wp:docPr descr="Figure 5 Histogram of the proportion of responses for each youth in the profile they reported most" title="" id="1" name="Picture"/>
            <a:graphic>
              <a:graphicData uri="http://schemas.openxmlformats.org/drawingml/2006/picture">
                <pic:pic>
                  <pic:nvPicPr>
                    <pic:cNvPr descr="rosenberg-dissertation_files/figure-docx/unnamed-chunk-14-1.png" id="0" name="Picture"/>
                    <pic:cNvPicPr>
                      <a:picLocks noChangeArrowheads="1" noChangeAspect="1"/>
                    </pic:cNvPicPr>
                  </pic:nvPicPr>
                  <pic:blipFill>
                    <a:blip r:embed="rId6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Histogram of the proportion of responses for each youth in the profile they reported most</w:t>
      </w:r>
    </w:p>
    <w:p>
      <w:pPr>
        <w:pStyle w:val="Heading2"/>
      </w:pPr>
      <w:bookmarkStart w:id="67" w:name="results-for-research-question-4-aspects-of-work-with-data-and-engagement"/>
      <w:bookmarkEnd w:id="67"/>
      <w:r>
        <w:t xml:space="preserve">Results for Research Question #4: Aspects of work with data and engagement</w:t>
      </w:r>
    </w:p>
    <w:p>
      <w:pPr>
        <w:pStyle w:val="FirstParagraph"/>
      </w:pPr>
      <w:r>
        <w:t xml:space="preserve">As a part of the analysis for this question, six models (one for each profile) were specified. For these models, the probability of a response being associated with one of the six profiles was the dependent variable, and the aspects of work with data were the predictor (or independent) variables. As this question is about how the aspects of work with data relate to the profiles, the coefficients associated with each of the five aspects are interpreted in order to provide results for this research question: While the youth characteristics were included in the same six models, these are interpreted for research question #5. I included both of the two sets of variables in this same models because the results were practically the same whether they were included separate models (i.e., only the aspects of work with data in six models and only the youth characteristics in six models) or the same (both the aspects of work with data and the youth characteristics in the same six models) models.</w:t>
      </w:r>
    </w:p>
    <w:p>
      <w:pPr>
        <w:pStyle w:val="BodyText"/>
      </w:pPr>
      <w:r>
        <w:t xml:space="preserve">The results for this and the next research question are both presented in Table 4.5. In this table, each column represents the output from one of the six different models. As an example, the first column in Table 4.5 includes results for the model predicting the probability of a response being associated with the</w:t>
      </w:r>
      <w:r>
        <w:t xml:space="preserve"> </w:t>
      </w:r>
      <w:r>
        <w:rPr>
          <w:i/>
        </w:rPr>
        <w:t xml:space="preserve">Only behavioral</w:t>
      </w:r>
      <w:r>
        <w:t xml:space="preserve"> </w:t>
      </w:r>
      <w:r>
        <w:t xml:space="preserve">profile as the dependent variable. Each other cell in this column contains the coefficients (and their standard errors and asterisks indicating statistical significance) for each of the predictor variables. Note that the</w:t>
      </w:r>
      <w:r>
        <w:t xml:space="preserve"> </w:t>
      </w:r>
      <w:r>
        <w:rPr>
          <w:i/>
        </w:rPr>
        <w:t xml:space="preserve">p</w:t>
      </w:r>
      <w:r>
        <w:t xml:space="preserve">-values are calculated using the most conservative and recommended by recent research</w:t>
      </w:r>
      <w:r>
        <w:t xml:space="preserve"> </w:t>
      </w:r>
      <w:r>
        <w:rPr>
          <w:i/>
        </w:rPr>
        <w:t xml:space="preserve">Kenward-Rogers approximation</w:t>
      </w:r>
      <w:r>
        <w:t xml:space="preserve"> </w:t>
      </w:r>
      <w:r>
        <w:t xml:space="preserve">(Halekoh &amp; Hojsgaard, 2014).</w:t>
      </w:r>
    </w:p>
    <w:p>
      <w:pPr>
        <w:pStyle w:val="BodyText"/>
      </w:pPr>
      <w:r>
        <w:t xml:space="preserve">This analysis showed that there were minimal relations between work with data and the profiles. There were only significant relations with the</w:t>
      </w:r>
      <w:r>
        <w:t xml:space="preserve"> </w:t>
      </w:r>
      <w:r>
        <w:rPr>
          <w:i/>
        </w:rPr>
        <w:t xml:space="preserve">Full</w:t>
      </w:r>
      <w:r>
        <w:t xml:space="preserve"> </w:t>
      </w:r>
      <w:r>
        <w:t xml:space="preserve">profile (see the column with the column name</w:t>
      </w:r>
      <w:r>
        <w:t xml:space="preserve"> </w:t>
      </w:r>
      <w:r>
        <w:rPr>
          <w:i/>
        </w:rPr>
        <w:t xml:space="preserve">Full</w:t>
      </w:r>
      <w:r>
        <w:t xml:space="preserve"> </w:t>
      </w:r>
      <w:r>
        <w:t xml:space="preserve">for these results). One relation that was statistically significant was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w:t>
      </w:r>
      <w:r>
        <w:t xml:space="preserve"> </w:t>
      </w:r>
      <w:r>
        <w:rPr>
          <w:i/>
        </w:rPr>
        <w:t xml:space="preserve">partial R^2</w:t>
      </w:r>
      <w:r>
        <w:t xml:space="preserve"> </w:t>
      </w:r>
      <w:r>
        <w:t xml:space="preserve">= .002). This shows that when youth were modeling data, they were around 3% more likely to be fully engaged. In other words, when youth are involved in these activities, they are more likely to</w:t>
      </w:r>
      <w:r>
        <w:t xml:space="preserve"> </w:t>
      </w:r>
      <w:r>
        <w:t xml:space="preserve">report working harder, learning more, enjoying themselves more, and feeling more competent</w:t>
      </w:r>
      <w:r>
        <w:t xml:space="preserve"> </w:t>
      </w:r>
      <w:r>
        <w:rPr>
          <w:i/>
        </w:rPr>
        <w:t xml:space="preserve">and</w:t>
      </w:r>
      <w:r>
        <w:t xml:space="preserve"> </w:t>
      </w:r>
      <w:r>
        <w:t xml:space="preserve">challenged.</w:t>
      </w:r>
    </w:p>
    <w:p>
      <w:pPr>
        <w:pStyle w:val="BodyText"/>
      </w:pPr>
      <w:r>
        <w:t xml:space="preserve">Another significant relation was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w:t>
      </w:r>
      <w:r>
        <w:t xml:space="preserve"> </w:t>
      </w:r>
      <w:r>
        <w:rPr>
          <w:i/>
        </w:rPr>
        <w:t xml:space="preserve">partial R^2</w:t>
      </w:r>
      <w:r>
        <w:t xml:space="preserve"> </w:t>
      </w:r>
      <w:r>
        <w:t xml:space="preserve">= .002): When youth were either modeling or generating data, they were (like for data modeling) around 3% more likely to be fully engaged. To sum up these two findings, modeling data and generating data are associated with a (very) positive form of engagement, that exhibited by the</w:t>
      </w:r>
      <w:r>
        <w:t xml:space="preserve"> </w:t>
      </w:r>
      <w:r>
        <w:rPr>
          <w:i/>
        </w:rPr>
        <w:t xml:space="preserve">Full</w:t>
      </w:r>
      <w:r>
        <w:t xml:space="preserve"> </w:t>
      </w:r>
      <w:r>
        <w:t xml:space="preserve">profile. The effect sizes indicate quite small effects in substantive terms.</w:t>
      </w:r>
    </w:p>
    <w:p>
      <w:pPr>
        <w:pStyle w:val="BodyText"/>
      </w:pPr>
      <w:r>
        <w:t xml:space="preserve">To determine just how robust these effects were, sensitivity analysis was carried out for these two effects (for the relation of data modeling with</w:t>
      </w:r>
      <w:r>
        <w:t xml:space="preserve"> </w:t>
      </w:r>
      <w:r>
        <w:rPr>
          <w:i/>
        </w:rPr>
        <w:t xml:space="preserve">Full</w:t>
      </w:r>
      <w:r>
        <w:t xml:space="preserve"> </w:t>
      </w:r>
      <w:r>
        <w:t xml:space="preserve">engagement and the relation of generating data with</w:t>
      </w:r>
      <w:r>
        <w:t xml:space="preserve"> </w:t>
      </w:r>
      <w:r>
        <w:rPr>
          <w:i/>
        </w:rPr>
        <w:t xml:space="preserve">Full</w:t>
      </w:r>
      <w:r>
        <w:t xml:space="preserve"> </w:t>
      </w:r>
      <w:r>
        <w:t xml:space="preserve">engagement). This follow-up analysis revealed that the effect of modeling data on</w:t>
      </w:r>
      <w:r>
        <w:t xml:space="preserve"> </w:t>
      </w:r>
      <w:r>
        <w:rPr>
          <w:i/>
        </w:rPr>
        <w:t xml:space="preserve">Full</w:t>
      </w:r>
      <w:r>
        <w:t xml:space="preserve"> </w:t>
      </w:r>
      <w:r>
        <w:t xml:space="preserve">engagement much more robust than that for generating data: 9.835% of this effect (of data modeling) would have to be due to bias to invalidate the inference about its effect. For generating data, only 1.884% of the effect of generating data would need to be due to bias to invalidate the inference about its effect. These values are not minuscule but are also not very large (Frank, 2003). So, while statistically significant, the effect of data modeling seems to be a more robust effect than the effect of generating data, which does not seem to be a very robust (and should therefore be interpreted with some skepticism).</w:t>
      </w:r>
    </w:p>
    <w:p>
      <w:pPr>
        <w:pStyle w:val="BodyText"/>
      </w:pPr>
      <w:r>
        <w:t xml:space="preserve">There was another effect which was not statistically significant, but which nearly was so. The effect of asking questions was marginally significant upon the probability of a response being associated with the</w:t>
      </w:r>
      <w:r>
        <w:t xml:space="preserve"> </w:t>
      </w:r>
      <w:r>
        <w:rPr>
          <w:i/>
        </w:rPr>
        <w:t xml:space="preserve">All moderate</w:t>
      </w:r>
      <w:r>
        <w:t xml:space="preserve"> </w:t>
      </w:r>
      <w:r>
        <w:t xml:space="preserve">profile (</w:t>
      </w:r>
      <m:oMath>
        <m:r>
          <m:t>β</m:t>
        </m:r>
      </m:oMath>
      <w:r>
        <w:t xml:space="preserve"> </w:t>
      </w:r>
      <w:r>
        <w:t xml:space="preserve">= 0.023 (0.017),</w:t>
      </w:r>
      <w:r>
        <w:t xml:space="preserve"> </w:t>
      </w:r>
      <w:r>
        <w:rPr>
          <w:i/>
        </w:rPr>
        <w:t xml:space="preserve">p</w:t>
      </w:r>
      <w:r>
        <w:t xml:space="preserve"> </w:t>
      </w:r>
      <w:r>
        <w:t xml:space="preserve">= .090;</w:t>
      </w:r>
      <w:r>
        <w:t xml:space="preserve"> </w:t>
      </w:r>
      <w:r>
        <w:rPr>
          <w:i/>
        </w:rPr>
        <w:t xml:space="preserve">partial R^2</w:t>
      </w:r>
      <w:r>
        <w:t xml:space="preserve"> </w:t>
      </w:r>
      <w:r>
        <w:t xml:space="preserve">= .001).</w:t>
      </w:r>
    </w:p>
    <w:p>
      <w:pPr>
        <w:pStyle w:val="Heading2"/>
      </w:pPr>
      <w:bookmarkStart w:id="68" w:name="results-for-research-question-5-youth-characteristics-and-engagement"/>
      <w:bookmarkEnd w:id="68"/>
      <w:r>
        <w:t xml:space="preserve">Results for Research Question #5: Youth characteristics and engagement</w:t>
      </w:r>
    </w:p>
    <w:p>
      <w:pPr>
        <w:pStyle w:val="FirstParagraph"/>
      </w:pPr>
      <w:r>
        <w:t xml:space="preserve">While the section for results for research #4 focused on the rows for the variables for the aspects of work with data, this section focuses on those for the youth characteristics. As for the previous research question, the first row is again associated with the results for the model predicting the probability of the</w:t>
      </w:r>
      <w:r>
        <w:t xml:space="preserve"> </w:t>
      </w:r>
      <w:r>
        <w:rPr>
          <w:i/>
        </w:rPr>
        <w:t xml:space="preserve">Only behavioral</w:t>
      </w:r>
      <w:r>
        <w:t xml:space="preserve"> </w:t>
      </w:r>
      <w:r>
        <w:t xml:space="preserve">profile, with the cells across the columns containing the coefficients, their standard errors, and their</w:t>
      </w:r>
      <w:r>
        <w:t xml:space="preserve"> </w:t>
      </w:r>
      <w:r>
        <w:rPr>
          <w:i/>
        </w:rPr>
        <w:t xml:space="preserve">p</w:t>
      </w:r>
      <w:r>
        <w:t xml:space="preserve">-values; for this question, the youth characteristics are interpreted.</w:t>
      </w:r>
    </w:p>
    <w:p>
      <w:pPr>
        <w:pStyle w:val="BodyText"/>
      </w:pPr>
      <w:r>
        <w:t xml:space="preserve">In terms of youths’ pre-program interest, these analyses show that youth who enter the program with higher levels of interest (in STEM) are more likely to report being in the</w:t>
      </w:r>
      <w:r>
        <w:t xml:space="preserve"> </w:t>
      </w:r>
      <w:r>
        <w:rPr>
          <w:i/>
        </w:rPr>
        <w:t xml:space="preserve">Engaged and competent but not challenged</w:t>
      </w:r>
      <w:r>
        <w:t xml:space="preserve"> </w:t>
      </w:r>
      <w:r>
        <w:t xml:space="preserve">profile (</w:t>
      </w:r>
      <m:oMath>
        <m:r>
          <m:t>β</m:t>
        </m:r>
      </m:oMath>
      <w:r>
        <w:t xml:space="preserve"> </w:t>
      </w:r>
      <w:r>
        <w:t xml:space="preserve">= 0.039,</w:t>
      </w:r>
      <w:r>
        <w:t xml:space="preserve"> </w:t>
      </w:r>
      <w:r>
        <w:rPr>
          <w:i/>
        </w:rPr>
        <w:t xml:space="preserve">p</w:t>
      </w:r>
      <w:r>
        <w:t xml:space="preserve"> </w:t>
      </w:r>
      <w:r>
        <w:t xml:space="preserve">= .009;</w:t>
      </w:r>
      <w:r>
        <w:t xml:space="preserve"> </w:t>
      </w:r>
      <w:r>
        <w:rPr>
          <w:i/>
        </w:rPr>
        <w:t xml:space="preserve">partial R^2</w:t>
      </w:r>
      <w:r>
        <w:t xml:space="preserve"> </w:t>
      </w:r>
      <w:r>
        <w:t xml:space="preserve">= .001). In other words, youth who are more interested at the outset of the program report working harder, learning more, enjoying themselves more, and feeling more competent when they are actually involved in a program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pPr>
        <w:pStyle w:val="BodyText"/>
      </w:pPr>
      <w:r>
        <w:t xml:space="preserve">Female youth reported more often than males that they were in the</w:t>
      </w:r>
      <w:r>
        <w:t xml:space="preserve"> </w:t>
      </w:r>
      <w:r>
        <w:rPr>
          <w:i/>
        </w:rPr>
        <w:t xml:space="preserve">Universally low</w:t>
      </w:r>
      <w:r>
        <w:t xml:space="preserve"> </w:t>
      </w:r>
      <w:r>
        <w:t xml:space="preserve">profile, though this difference did not quite reach statistical significance (</w:t>
      </w:r>
      <m:oMath>
        <m:r>
          <m:t>β</m:t>
        </m:r>
      </m:oMath>
      <w:r>
        <w:t xml:space="preserve"> </w:t>
      </w:r>
      <w:r>
        <w:t xml:space="preserve">= 0.037,</w:t>
      </w:r>
      <w:r>
        <w:t xml:space="preserve"> </w:t>
      </w:r>
      <w:r>
        <w:rPr>
          <w:i/>
        </w:rPr>
        <w:t xml:space="preserve">p</w:t>
      </w:r>
      <w:r>
        <w:t xml:space="preserve"> </w:t>
      </w:r>
      <w:r>
        <w:t xml:space="preserve">= .051;</w:t>
      </w:r>
      <w:r>
        <w:t xml:space="preserve"> </w:t>
      </w:r>
      <w:r>
        <w:rPr>
          <w:i/>
        </w:rPr>
        <w:t xml:space="preserve">partial R^2</w:t>
      </w:r>
      <w:r>
        <w:t xml:space="preserve"> </w:t>
      </w:r>
      <w:r>
        <w:t xml:space="preserve">= .006). The effect size again suggest very small effects in substantive terms. For this effect, 17.843% of the bias would need to be removed (or the effect would need to be larger by this percentage) to sustain the inference. The moderately large amount of bias that would need to be removed for the effect of being female (on the</w:t>
      </w:r>
      <w:r>
        <w:t xml:space="preserve"> </w:t>
      </w:r>
      <w:r>
        <w:rPr>
          <w:i/>
        </w:rPr>
        <w:t xml:space="preserve">Universally low</w:t>
      </w:r>
      <w:r>
        <w:t xml:space="preserve"> </w:t>
      </w:r>
      <w:r>
        <w:t xml:space="preserve">profile) to be significant suggests that this effect should not be very seriously interpreted.</w:t>
      </w:r>
    </w:p>
    <w:p>
      <w:pPr>
        <w:pStyle w:val="BodyText"/>
      </w:pPr>
      <w:r>
        <w:t xml:space="preserve">There were not any statistically significant effects of youths’ URM status. This may be a function of the large proportion of youth from under-represented (in STEM) racial and ethnic groups: hispanic (48%), African American or Black (36%), and youth who identify as being from multiple racial and ethnic groups (3%) made up 87% of the youth in the programs, so there were not many youth who were</w:t>
      </w:r>
      <w:r>
        <w:t xml:space="preserve"> </w:t>
      </w:r>
      <w:r>
        <w:rPr>
          <w:i/>
        </w:rPr>
        <w:t xml:space="preserve">not</w:t>
      </w:r>
      <w:r>
        <w:t xml:space="preserve"> </w:t>
      </w:r>
      <w:r>
        <w:t xml:space="preserve">from under-represented groups in the sample, suggesting that the absence of findings may be due to this small sample (and low statistical power). Nevertheless, no relations between URM status and youths’ engagement were found, indicating that there is at least not evidence that youth from such backgrounds do engage in different ways.</w:t>
      </w:r>
    </w:p>
    <w:p>
      <w:pPr>
        <w:pStyle w:val="BodyText"/>
      </w:pPr>
      <w:r>
        <w:t xml:space="preserve">These (somewhat minimal) findings for the youth characteristics were more surprising than those observed for the aspects of work with data. The results of research question #3, on the sources of variability for the profiles of engagement, suggested that there was a lot of systematic variability at the level of the youth (there were large ICCs at the youth level, with smaller ICCs at the instructional episode level). Because pre-interest, gender, and URM status are variables at this level, it could be expected that they would have important relations with the profiles of engagement. However it appears that the particular youth characteristics considered were not effective at explaining much of this variability; possible reasons why are discussed further in the next section.</w:t>
      </w:r>
    </w:p>
    <w:p>
      <w:pPr>
        <w:pStyle w:val="Heading1"/>
      </w:pPr>
      <w:bookmarkStart w:id="69" w:name="discussion"/>
      <w:bookmarkEnd w:id="69"/>
      <w:r>
        <w:t xml:space="preserve">Discussion</w:t>
      </w:r>
    </w:p>
    <w:p>
      <w:pPr>
        <w:pStyle w:val="Heading2"/>
      </w:pPr>
      <w:bookmarkStart w:id="70" w:name="key-findings"/>
      <w:bookmarkEnd w:id="70"/>
      <w:r>
        <w:t xml:space="preserve">Key Findings</w:t>
      </w:r>
    </w:p>
    <w:p>
      <w:pPr>
        <w:pStyle w:val="Heading3"/>
      </w:pPr>
      <w:bookmarkStart w:id="71" w:name="key-findings-for-the-frequency-and-nature-of-work-with-data"/>
      <w:bookmarkEnd w:id="71"/>
      <w:r>
        <w:t xml:space="preserve">Key findings for the frequency and nature of work with data</w:t>
      </w:r>
    </w:p>
    <w:p>
      <w:pPr>
        <w:pStyle w:val="FirstParagraph"/>
      </w:pPr>
      <w:r>
        <w:t xml:space="preserve">These findings provide some of the the first information (that I am aware of) for how frequent work with data is in summer STEM programs. In addition, the findings shed light on the specific, qualitative nature of work with data in these contexts. As I mention, these findings have implications for how science is taught, both in similar, outside-of-school settings and some value in terms of speaking to the role of work with data during formal, K-12 education settings. In the context of describing these findings, I also highlight how the use of video-recordings of the STEM programs was necessary for being able to make claims about the frequency and nature of work with data during them.</w:t>
      </w:r>
    </w:p>
    <w:p>
      <w:pPr>
        <w:pStyle w:val="BodyText"/>
      </w:pPr>
      <w:r>
        <w:t xml:space="preserve">In terms of the frequency of work with data, work with data was found to be common in the summer STEM programs: 170 out of the 236 instructional episodes contained at least one of the five aspects (asking questions, making observations, generating data, data modeling, and interpreting and communicating findings) of work with data. The use of video-recordings of the programs and the strategy of using ESM to select (mostly) random samples of youths’ experiences during the programs enabled me to show just how frequent work with data was, and I found that specific aspects of work with data were more or less frequent: Making observations, in some form, occurred during 24% of the program’s time, while generating data and communicating findings both occurred during 43% of the instructional episodes. Data modeling, like making observations, was somewhat less frequent (29%), whereas asking questions and generating data, like communicating findings, were relatively more common (38%).</w:t>
      </w:r>
    </w:p>
    <w:p>
      <w:pPr>
        <w:pStyle w:val="BodyText"/>
      </w:pPr>
      <w:r>
        <w:t xml:space="preserve">Given the design and goals of summer STEM programs, these align with what may be expected given past research: Such programs are designed to engage youth in the practices, including and as I argue earlier</w:t>
      </w:r>
      <w:r>
        <w:t xml:space="preserve"> </w:t>
      </w:r>
      <w:r>
        <w:rPr>
          <w:i/>
        </w:rPr>
        <w:t xml:space="preserve">especially</w:t>
      </w:r>
      <w:r>
        <w:t xml:space="preserve"> </w:t>
      </w:r>
      <w:r>
        <w:t xml:space="preserve">those relating to work with data, of STEM domains (Dabney et al., 2012; Elam et al., 2012). Even still, these are the first results of this kind that I am aware of (in terms of the proportion of the time spent in the programs). Using video-recording data and a sampling strategy that can provide insight into the amount of overall time spent was an important component of achieving these findings. While there are not other results of this particular kind, a related, an area of related work concerns other studies that has used the PQA measure (recall that in the present study the STEM-PQA measure was adapted for examining work with data). However, studies have (yet) used the version that is adapted for STEM content areas. Some reports call for greater use of measures (such as the PQA) in the study (and evaluation) of summer and outside-of-school STEM programs (e.g., Yohalem et al., 2005). As one example of such a study (but one that is not focused on STEM), Smith et al. (2012) reported findings from a continuous improvement intervention (that used a rigorous experimental design), finding that the intervention positively impacted the quality of instruction in the programs.</w:t>
      </w:r>
    </w:p>
    <w:p>
      <w:pPr>
        <w:pStyle w:val="BodyText"/>
      </w:pPr>
      <w:r>
        <w:t xml:space="preserve">In-depth qualitative analysis that aimed to show the specific ways work with data was enacted during the programs. This analysis revealed that there was often a variety of ways in which each of the aspects were carried out, with implications for how youth may engage in each of them. Many times, youth engaged in what can be described as ambitious and potentially highly engaging ways of being involved in work with data. When youth were asking questions, they regularly (during 39% of the episodes that involved this particular aspect of work with data) worked to make predictions or hypotheses about the phenomena they were exploring or the problem they were seeking to solve. When making observations, they were often (in 86% of the episodes) did so of phenomena in the field (such as an estuary or an island in the case of science-focused programs) or (in the case of mathematics and engineering-focused programs) workshop or through computers in classroom settings. When generating data, many times (in 47% of the episodes that involved this aspect) youth recorded their own observations; when modeling data, youth were involved (in 72% of the episodes) in the use of statistical and mathematical models of real-world phenomena. When interpreting and communicating findings, youth regularly (during 48% of episodes) had opportunities to share (with other youth in the program) what they found or created as a result of their earlier investigations or work.</w:t>
      </w:r>
    </w:p>
    <w:p>
      <w:pPr>
        <w:pStyle w:val="BodyText"/>
      </w:pPr>
      <w:r>
        <w:t xml:space="preserve">Also of note was what occurred during the rest of the time: When youths’ questions, for example, were not focused on predicting or hypothesizing about what they were exploring, they type of question was more general, or was instructor-led, rather than driven by youth. Especially for this aspect of work with data (asking questions) as well as when generating data and interpreting and communicating findings, a substantial proportion of the instructional episodes that involved these aspects of work with data were not as ambitious (and not as much in alignment with recent policy documents and curricular standards, i.e. National Research Council, 2012; NGSS Lead States, 2013; National Governors Association Center for Best Practices, Council of Chief State School Officers, 2010). In the scientific and engineering practices in the NGSS and the standards for mathematical practice in the Common Core State Standards), work with data is described by grade-level bands. For instances, in grades 6-8, students are expected to that ask questions, for example, to determine relationships between variables and relationships in models (NGSS Lead States, Appendix F, 2015). It is</w:t>
      </w:r>
      <w:r>
        <w:t xml:space="preserve"> </w:t>
      </w:r>
      <w:r>
        <w:rPr>
          <w:i/>
        </w:rPr>
        <w:t xml:space="preserve">not</w:t>
      </w:r>
      <w:r>
        <w:t xml:space="preserve"> </w:t>
      </w:r>
      <w:r>
        <w:t xml:space="preserve">expected that students engage in all of the aspects of a practice at once. However, as McNeill and Berland (2017) argue, it is not just engaging in these practices by rote, but about integrating them, as they overlap and interconnect.</w:t>
      </w:r>
    </w:p>
    <w:p>
      <w:pPr>
        <w:pStyle w:val="BodyText"/>
      </w:pPr>
      <w:r>
        <w:t xml:space="preserve">Also of note was the frequency of these three aspects of work with data overall: They occurred much more frequently than the two (making observations and data modeling) for which a larger proportion of their enactment was more in-line with policy and curricular standards. What this suggests is that while work with data that was ambitious and potentially highly-engaging to youth was found to be common (according to the quantitative analysis), this qualitative analysis showed that there how the aspects of work with data took place varied a lot: The type of activities that may be the most demanding for youth were still common, but not quite as common as the overall frequencies presented for the quantitative would suggest.</w:t>
      </w:r>
    </w:p>
    <w:p>
      <w:pPr>
        <w:pStyle w:val="BodyText"/>
      </w:pPr>
      <w:r>
        <w:t xml:space="preserve">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 The use of video-recordings of data was especially helpful in establishing this descriptive data.</w:t>
      </w:r>
    </w:p>
    <w:p>
      <w:pPr>
        <w:pStyle w:val="BodyText"/>
      </w:pPr>
      <w:r>
        <w:t xml:space="preserve">The nature of the aspects of work with data in such settings can more easily (than the frequency of the aspects of work with data) be compared to past research. This past research points out the heterogeneity in how work with data is enacted in educational settings. For example, McNeill and Berland (2017). They argue that a view of work with data focused on sense-making with real-world phenomena and iterative cycles of engaging in work with data, and revision of intermediate ideas. In this sense, some of what was observed in the programs aligned with work with data, while others did not.</w:t>
      </w:r>
    </w:p>
    <w:p>
      <w:pPr>
        <w:pStyle w:val="BodyText"/>
      </w:pPr>
      <w:r>
        <w:t xml:space="preserve">Another comparison is other studies investigating data modeling. Past research, for example, highlights use of</w:t>
      </w:r>
      <w:r>
        <w:t xml:space="preserve"> </w:t>
      </w:r>
      <w:r>
        <w:t xml:space="preserve">“</w:t>
      </w:r>
      <w:r>
        <w:t xml:space="preserve">data to solve real problems and to ask authentic questions</w:t>
      </w:r>
      <w:r>
        <w:t xml:space="preserve">”</w:t>
      </w:r>
      <w:r>
        <w:t xml:space="preserve"> </w:t>
      </w:r>
      <w:r>
        <w:t xml:space="preserve">(Hancock et al., 1992, p. 337). Research on generating data emphasized an aspect not very much the focus of the present research, namely, structuring data into spreadsheets (Konold, Finzer, &amp; Kreetong, 2017; Lehrer &amp; Kim, 2009). Research on posing questions that can be answered with data shows that there is a connection between student-centered teaching strategies and students’ ability to ask empirical (Bielik &amp; Yarden, 2016). This suggests a reason why youth were able to ask questions and ideas for how they might do so more: Make activities in summer STEM program youth-centered, rather than instructor-centered. Research on the data modeling aspect of work with data highlights the use of statistical models much more than the physical models which were sometimes found to be a way in which youth engaged in data modeling (Petrosino, Lehrer, &amp; Schauble, 2003; Lesh, Middleton, Caylor, &amp; Gupta, 2008; Lee, Angotti, &amp; Tarr, 2010). Nevertheless, many of the ways youth engaged in data modeling aligned with this past research, particularly when the goal of the activity is to model variability. This past research that encouraging youth to consider summaries of data, such as the mean and standard deviation, may be a promising way for them to engage more deeply in data modeling (Lehrer, Kim, &amp; Schauble, 2007; Lehrer &amp; Schauble, 2004). In this way, some (but not all) of the aspects work with data aligned with past research; when they align, they are encouraging, and when they do not, some ideas for how to involve youth in more engaging aspects of work with data are able to be identified.</w:t>
      </w:r>
    </w:p>
    <w:p>
      <w:pPr>
        <w:pStyle w:val="Heading3"/>
      </w:pPr>
      <w:bookmarkStart w:id="72" w:name="key-findings-for-what-profiles-of-engagement-were-found"/>
      <w:bookmarkEnd w:id="72"/>
      <w:r>
        <w:t xml:space="preserve">Key findings for what profiles of engagement were found</w:t>
      </w:r>
    </w:p>
    <w:p>
      <w:pPr>
        <w:pStyle w:val="FirstParagraph"/>
      </w:pPr>
      <w:r>
        <w:t xml:space="preserve">These findings provide insight into how youth experience engagement together and at once. By together and at once, I refer to the profile approach used that was used to identify common groups of youths’ responses. This approach provides information about youths’ engagement that is different from that gained from other approaches.</w:t>
      </w:r>
    </w:p>
    <w:p>
      <w:pPr>
        <w:pStyle w:val="BodyText"/>
      </w:pPr>
      <w:r>
        <w:t xml:space="preserve">Six profiles of engagement were found using a rigorous model selection approach. Before discussing these results in-depth, it is important to note that LPA is an exploratory approach: The number and nature of the profiles identified were found through a rigorous and systematic approach, but this is not a guarantee that the same number and make-up of profiles would emerge.</w:t>
      </w:r>
    </w:p>
    <w:p>
      <w:pPr>
        <w:pStyle w:val="BodyText"/>
      </w:pPr>
      <w:r>
        <w:t xml:space="preserve">Six is, in the context of these possible caveats, the same exact number of profiles of engagement identified in recent, past research. Schmidt et al. (2018) found six profiles of engagement. Their profiles were constructed on the basis of the indicators (cognitive, behavioral, and affective) of engagement, and not perceptions of challenge and competence. Nevertheless, the similar number provides further information about the nature of engagement in educational contexts. Namely, six is a number of profiles that is larger than the number of profiles identified in other fields (see Wormington and Linnenbrink-Garcia, 2017, for a review in motivational settings). However, as large as six profiles is, it is not a number that is far higher than the average, suggesting that there may be a greater variety of types of engagement exhibited than, for example, types of motivation.</w:t>
      </w:r>
    </w:p>
    <w:p>
      <w:pPr>
        <w:pStyle w:val="BodyText"/>
      </w:pPr>
      <w:r>
        <w:t xml:space="preserve">In terms of the make-up of the specific profiles, those found in the present study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BodyText"/>
      </w:pPr>
      <w:r>
        <w:t xml:space="preserve">These profiles have implications for the study of engagement and the analysis of multidimensional data on youth and student engagement. First, they suggest that perceptions of challenge and competence be considered in future research. This is because some of the profiles were distinguished on their basis. This approach also may be more parsimonious than including perceptions of challenge and competence as separate predictors (i.e., Shernoff et al., 2003). In addition to these empirical reasons, past research on engagement (i.e., Csikszentmihalyi, 1990) and on the profile approach (Bergman &amp; Magnusson, 1997) suggest that they are theoretically inseparable from engagement, another reason for modeling them as they were modeled in the present study. These implications are specific to the study of engagement but also highlight some of the promise of the profile approach, as well.</w:t>
      </w:r>
    </w:p>
    <w:p>
      <w:pPr>
        <w:pStyle w:val="Heading3"/>
      </w:pPr>
      <w:bookmarkStart w:id="73" w:name="key-findings-for-sources-of-variability-for-the-profiles"/>
      <w:bookmarkEnd w:id="73"/>
      <w:r>
        <w:t xml:space="preserve">Key findings for sources of variability for the profiles</w:t>
      </w:r>
    </w:p>
    <w:p>
      <w:pPr>
        <w:pStyle w:val="FirstParagraph"/>
      </w:pPr>
      <w:r>
        <w:t xml:space="preserve">These findings help us to understand how much variability in youths’ engagement can be attributed to variables: both those that are measured in this and related studies and those that are not or cannot be measured at different levels, namely youth, instructional episode, and program. What these findings suggest about what relations can be anticipated from predictors at different levels is discussed, as well as how researchers can use null models as used in the present study to understand variability at different levels.</w:t>
      </w:r>
    </w:p>
    <w:p>
      <w:pPr>
        <w:pStyle w:val="BodyText"/>
      </w:pPr>
      <w:r>
        <w:t xml:space="preserve">The profiles suggest that the experiences of youth in summer STEM programs are variable and that the use of ESM can aid in the study of youths’ engagement. The source of this variation can be due to many different factors, including individual differences between youth, the nature of the instruction carried out, and program-specific factors: Knowing about these sources provide valuable information in their own right, a benefit of the use of mixed effects models (Gelman &amp; Hill, 2007).</w:t>
      </w:r>
    </w:p>
    <w:p>
      <w:pPr>
        <w:pStyle w:val="BodyText"/>
      </w:pPr>
      <w:r>
        <w:t xml:space="preserve">The findings for this question were somewhat surprising and disappointing given past research. In particular, youth-level sources of variability were by far the largest, explaining between .093 to .432, depending on the profile: This means that between around 10% and 40% of the unexplained variability in the profiles is attributable to youth characteristics, both those that can be captured with variables and those that are at the youth level but are not measured (or are not measurable but are still at this level). Furthermore, the amount of variability at the instructional episode and program levels was small, no greater than .031 for the instructional episode or .023 for the program. A promise of the use of ESM is that it is able detect contextual differences in youths’ experiences: The small amount of variability that can be explained at this level suggests that, for the engagement profiles, not much difference exists from instructional episode to instructional episode.</w:t>
      </w:r>
    </w:p>
    <w:p>
      <w:pPr>
        <w:pStyle w:val="BodyText"/>
      </w:pPr>
      <w:r>
        <w:t xml:space="preserve">This finding related to minimal variability at the program and particularly at the instructional episode level is useful in its own right. It also suggests that engagement, as measured in this context with ESM and with the engagement items used, may be more stable than dynamic at the instructional episode level, differing from some past theory (e.g., Skinner &amp; Pitzer, 2012) and research that showed relations between instructional episode-level variables and engagement (e.g., Shernoff et al., 2016; Shumow, Schmidt, &amp; Zaleski, 2013). This also suggests that variables at these levels do not have a substantial proportion of variability to explain: Predictor variables (like those for the aspects of work with data) at the instructional episode level had much less variability to explain, while those at the youth level had a substantial amount that was able to be explained.</w:t>
      </w:r>
    </w:p>
    <w:p>
      <w:pPr>
        <w:pStyle w:val="BodyText"/>
      </w:pPr>
      <w:r>
        <w:t xml:space="preserve">One factor of note concerns the analytic approach used. As noted,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While these are important limitations, it is worth noting that the modeling strategy (with the mixed effects models) is inherently a conservative (particularly in terms of the statistical significance of hypothesis tests)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3"/>
      </w:pPr>
      <w:bookmarkStart w:id="74" w:name="key-findings-for-how-work-with-data-relates-to-engagement"/>
      <w:bookmarkEnd w:id="74"/>
      <w:r>
        <w:t xml:space="preserve">Key findings for how work with data relates to engagement</w:t>
      </w:r>
    </w:p>
    <w:p>
      <w:pPr>
        <w:pStyle w:val="FirstParagraph"/>
      </w:pPr>
      <w:r>
        <w:t xml:space="preserve">These findings show minimal but important relations between the aspects of work with data and youth engagement. They are discussed in the context of past research on work with data and youth engagement in scientific and engineering practices more generally. Finally, some possible reasons for the minimal findings are brought up.</w:t>
      </w:r>
    </w:p>
    <w:p>
      <w:pPr>
        <w:pStyle w:val="BodyText"/>
      </w:pPr>
      <w:r>
        <w:t xml:space="preserve">In line with what the preliminary analysis of the amount of variability that could be explained at the youth, instructional episode, and program levels, relations between work with data were largely not found, though some small, statistically significant relations were identified. These findings, overall, were not necessarily surprising given past research: The question of whether and how work with data relates to engagement has not been the focus of any past research. In this sense, these are important findings that suggest that work with data may not be strongly related to engagement.</w:t>
      </w:r>
    </w:p>
    <w:p>
      <w:pPr>
        <w:pStyle w:val="BodyText"/>
      </w:pPr>
      <w:r>
        <w:t xml:space="preserve">Given the small amount of variability at the instructional episode level, this result was anticipated (on this basis). Importantly, however, there were some noteworthy findings. In particular, both generating and modeling data were found to be positively (and statistically significantly) related to the</w:t>
      </w:r>
      <w:r>
        <w:t xml:space="preserve"> </w:t>
      </w:r>
      <w:r>
        <w:rPr>
          <w:i/>
        </w:rPr>
        <w:t xml:space="preserve">Full</w:t>
      </w:r>
      <w:r>
        <w:t xml:space="preserve"> </w:t>
      </w:r>
      <w:r>
        <w:t xml:space="preserve">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w:t>
      </w:r>
    </w:p>
    <w:p>
      <w:pPr>
        <w:pStyle w:val="BodyText"/>
      </w:pPr>
      <w:r>
        <w:t xml:space="preserve">As there is no research on how work with data relates to youths’ engagement, the findings associated with this research question provide some, albeit limited, evidence (and directions for future research) for how some aspects of work with data relate to youths’ engagement. As work with data is a core component of new visions for STEM learning (see the scientific and engineering practices that are part of the NGSS and the standards for mathematical practice in the CCSS), these findings provide some insight into how involvement in a subset (focused on work with data) of these practices relates to engagement. Particularly, the relatively minimal findings suggest that these activities may not be more engaging</w:t>
      </w:r>
      <w:r>
        <w:t xml:space="preserve"> </w:t>
      </w:r>
      <w:r>
        <w:rPr>
          <w:i/>
        </w:rPr>
        <w:t xml:space="preserve">per se</w:t>
      </w:r>
      <w:r>
        <w:t xml:space="preserve">. Instead, it may be the way that youth engage in them that matters, in alignment with past research (Berland et al., 2017; Miller et al., in press).</w:t>
      </w:r>
    </w:p>
    <w:p>
      <w:pPr>
        <w:pStyle w:val="BodyText"/>
      </w:pPr>
      <w:r>
        <w:t xml:space="preserve">While the findings for this question were somewhat minimal, there are key findings from both the important relationships that were found to be statistically significant (between generating data and data modeling and</w:t>
      </w:r>
      <w:r>
        <w:t xml:space="preserve"> </w:t>
      </w:r>
      <w:r>
        <w:rPr>
          <w:i/>
        </w:rPr>
        <w:t xml:space="preserve">Full</w:t>
      </w:r>
      <w:r>
        <w:t xml:space="preserve"> </w:t>
      </w:r>
      <w:r>
        <w:t xml:space="preserve">engagement) and from those that were not. Finding few significant findings may show that, in this sample and with work with data as carried out, it is difficult to say with certainty just how much of an impact work with data has upon youths’ engagement. This suggests that other samples, other enactments of work with data, and, possibly, other analytic approaches can build on this work to further substantiate what is known about how work with data is engaging to youth.</w:t>
      </w:r>
    </w:p>
    <w:p>
      <w:pPr>
        <w:pStyle w:val="Heading3"/>
      </w:pPr>
      <w:bookmarkStart w:id="75" w:name="key-findings-for-how-youth-characteristics-relate-to-engagement"/>
      <w:bookmarkEnd w:id="75"/>
      <w:r>
        <w:t xml:space="preserve">Key findings for how youth characteristics relate to engagement</w:t>
      </w:r>
    </w:p>
    <w:p>
      <w:pPr>
        <w:pStyle w:val="FirstParagraph"/>
      </w:pPr>
      <w:r>
        <w:t xml:space="preserve">These findings, more surprising given the amount of variability able to be explained by variables at the youth level and the minimal relations, are discussed, followed by some reasons for why there are not more (and stronger) relations.</w:t>
      </w:r>
    </w:p>
    <w:p>
      <w:pPr>
        <w:pStyle w:val="BodyText"/>
      </w:pPr>
      <w:r>
        <w:t xml:space="preserve">First, the relations between youth characteristics and the profiles were found to be small and not as much in line with expectations given the preliminary analysis. These small relations were similar (in magnitude) to those between work with data and the profiles, but they were more surprising for a reason related to the sample for this study, namely, given the substantial variability at the youth level among the responses. This is described in detail in the discussion of the findings for research question #3.</w:t>
      </w:r>
    </w:p>
    <w:p>
      <w:pPr>
        <w:pStyle w:val="BodyText"/>
      </w:pPr>
      <w:r>
        <w:t xml:space="preserve">Findings for this question revealed that youth with higher pre-program interest were more likely to be</w:t>
      </w:r>
      <w:r>
        <w:t xml:space="preserve"> </w:t>
      </w:r>
      <w:r>
        <w:rPr>
          <w:i/>
        </w:rPr>
        <w:t xml:space="preserve">Engaged and competent but not challenged</w:t>
      </w:r>
      <w:r>
        <w:t xml:space="preserve">. This suggests that youth with higher interest in STEM are inclined to be highly engaged and good at what they are doing, but are not challenged by the activities they experience. This finding is in line with past research suggesting a relationship (direct or as a moderator) between youth characteristics (including interest) and their engagement (Shernoff et al., 2003; Shernoff et al., 2016; Strati et al., 2017). More specifically, this finding suggests that for youth who are particularly interested (and those who choose to attend) summer STEM programs, what they are involved in may not challenge them very highly. This finding has implications for past research that shows youth who choose to attend summer STEM programs are more engaged (but that does not speak to their degree of challenge; Beymer, Rosenberg, Schmidt, &amp; Naftzger, 2018).</w:t>
      </w:r>
    </w:p>
    <w:p>
      <w:pPr>
        <w:pStyle w:val="BodyText"/>
      </w:pPr>
      <w:r>
        <w:t xml:space="preserve">In terms of youths’ gender, the analysis for this question revealed that female youth who are engaged in work with data</w:t>
      </w:r>
      <w:r>
        <w:t xml:space="preserve"> </w:t>
      </w:r>
      <w:r>
        <w:rPr>
          <w:i/>
        </w:rPr>
        <w:t xml:space="preserve">may</w:t>
      </w:r>
      <w:r>
        <w:t xml:space="preserve"> </w:t>
      </w:r>
      <w:r>
        <w:t xml:space="preserve">be (note that this result was not statistically significant) more likely to be fully engaged. While this finding cannot be interpreted on the basis of the results from this study, given that past research has found that female students are less likely to be engaged in STEM classes (e.g., Patall et al., 2017), it suggests that this relationship between gender and youths’ engagement be considered further in follow-up studies. At present, we have limited information about what types of instruction may best support female students to be engaged and successful both in summer STEM and other settings.</w:t>
      </w:r>
    </w:p>
    <w:p>
      <w:pPr>
        <w:pStyle w:val="BodyText"/>
      </w:pPr>
      <w:r>
        <w:t xml:space="preserve">While the findings for this research question, like those for the relations between the aspects of work with data and youths’ engagement, they provide some information about how these characteristics relate to youths’ engagement. Finding that youth who are more interested prior to the beginning of the summer STEM programs are more likely to be working hard, learning something new, and enjoying what they are learning, and perceive themselves to be good at what they are doing but not challenged, is a meaningful finding. Moreover, the null findings suggest that other characteristics, including those measured but not included for this analysis (such as youths’ pre-program perceptions of their competence) as well as those not measured at all, may be considered in follow-up studies and in future research.</w:t>
      </w:r>
    </w:p>
    <w:p>
      <w:pPr>
        <w:pStyle w:val="Heading2"/>
      </w:pPr>
      <w:bookmarkStart w:id="76" w:name="limitations-of-the-study-and-recommendations-for-future-research"/>
      <w:bookmarkEnd w:id="76"/>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et al.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It is possible that the somewhat minimal findings are, in part, a result of the analytic approach. A similar mixed effects modeling approach has only been used in one other study (Strati et al., 2017), and that approach did not use profiles (as in this study) as the outcome. In this study, little variability at the instructional episode level was found, and so minimal relations between factors at this (instructional episode) level and the profiles of engagement was expected. Might profiles, but not the variables used to create them, be less variable at the instructional episode level? One way to consider such an alternate explanation is to use the data used in this study as part of a correlational analysis, or another analysis that uses that variables used to create profiles of engagement but does not use the profiles themselves.</w:t>
      </w:r>
    </w:p>
    <w:p>
      <w:pPr>
        <w:pStyle w:val="BodyText"/>
      </w:pPr>
      <w:r>
        <w:t xml:space="preserve">A final limitation concerns the measures used for work with data. The dimensions of the STEM-PQA measure aligned closely with the aspects of work with data. But, there were some possible divergences that may have had an impact upon some of the findings. For example, for the interpreting and communicating findings code, the STEM-PQA codes for</w:t>
      </w:r>
      <w:r>
        <w:t xml:space="preserve"> </w:t>
      </w:r>
      <w:r>
        <w:rPr>
          <w:i/>
        </w:rPr>
        <w:t xml:space="preserve">Analyze</w:t>
      </w:r>
      <w:r>
        <w:t xml:space="preserve"> </w:t>
      </w:r>
      <w:r>
        <w:t xml:space="preserve">(</w:t>
      </w:r>
      <w:r>
        <w:t xml:space="preserve">“</w:t>
      </w:r>
      <w:r>
        <w:t xml:space="preserve">Staff support youth in analyzing data to draw conclusions</w:t>
      </w:r>
      <w:r>
        <w:t xml:space="preserve">”</w:t>
      </w:r>
      <w:r>
        <w:t xml:space="preserve">) and</w:t>
      </w:r>
      <w:r>
        <w:t xml:space="preserve"> </w:t>
      </w:r>
      <w:r>
        <w:rPr>
          <w:i/>
        </w:rPr>
        <w:t xml:space="preserve">Use symbols or models</w:t>
      </w:r>
      <w:r>
        <w:t xml:space="preserve"> </w:t>
      </w:r>
      <w:r>
        <w:t xml:space="preserve">(</w:t>
      </w:r>
      <w:r>
        <w:t xml:space="preserve">“</w:t>
      </w:r>
      <w:r>
        <w:t xml:space="preserve">Staff support youth in conveying STEM concepts through symbols, models, or other nonverbal language</w:t>
      </w:r>
      <w:r>
        <w:t xml:space="preserve">”</w:t>
      </w:r>
      <w:r>
        <w:t xml:space="preserv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use of coding for this aspect of work with data (and this aspect of science curricular standards in particular; see NGSS Lead States, 2013).</w:t>
      </w:r>
    </w:p>
    <w:p>
      <w:pPr>
        <w:pStyle w:val="BodyText"/>
      </w:pPr>
      <w:r>
        <w:t xml:space="preserve">As another example of this limitation, generating data was an aspect of work with data that the open-ended qualitative analysis revealed to be less associated with less systematic groups of practices, or themes, than the other aspects. The STEM-PQA codes corresponding to this aspect of work with data were</w:t>
      </w:r>
      <w:r>
        <w:t xml:space="preserve"> </w:t>
      </w:r>
      <w:r>
        <w:rPr>
          <w:i/>
        </w:rPr>
        <w:t xml:space="preserve">Collect data or measure</w:t>
      </w:r>
      <w:r>
        <w:t xml:space="preserve"> </w:t>
      </w:r>
      <w:r>
        <w:t xml:space="preserve">(</w:t>
      </w:r>
      <w:r>
        <w:t xml:space="preserve">“</w:t>
      </w:r>
      <w:r>
        <w:t xml:space="preserve">Staff support youth in collecting data or measuring</w:t>
      </w:r>
      <w:r>
        <w:t xml:space="preserve">”</w:t>
      </w:r>
      <w:r>
        <w:t xml:space="preserve">) and</w:t>
      </w:r>
      <w:r>
        <w:t xml:space="preserve"> </w:t>
      </w:r>
      <w:r>
        <w:rPr>
          <w:i/>
        </w:rPr>
        <w:t xml:space="preserve">Highlight precision and accuracy</w:t>
      </w:r>
      <w:r>
        <w:t xml:space="preserve"> </w:t>
      </w:r>
      <w:r>
        <w:t xml:space="preserve">(</w:t>
      </w:r>
      <w:r>
        <w:t xml:space="preserve">“</w:t>
      </w:r>
      <w:r>
        <w:t xml:space="preserve">Staff highlight value of precision and accuracy in measuring, observing, recording, or calculating</w:t>
      </w:r>
      <w:r>
        <w:t xml:space="preserve">”</w:t>
      </w:r>
      <w:r>
        <w:t xml:space="preserve">). Particularly in the case of the latter code, the emphasis on precision and accuracy may have been outside of activities focused on recording data or creating coding frames. Future research may consider a coding frame that is (even more) focused on generating data, though considerations of precision and accuracy are key aspects of doing so, and so perhaps separating the act of generating data from considerations that are important to keep in mind while doing it may be a promising direction for future research.</w:t>
      </w:r>
    </w:p>
    <w:p>
      <w:pPr>
        <w:pStyle w:val="BodyText"/>
      </w:pPr>
      <w:r>
        <w:t xml:space="preserve">While these divergences in measures were not large, they suggest that the coding frame for work with data is a limitation of the present study. McNeill and Berland (2017) describe a similar type of disagreement across science education settings: While a limitation, the coding frame did represent agreement across a range of studies across STEM contexts for the aspects of work with data, although I recognize that this coding frame may not distinguish the different ways in which work with data is enacted, as</w:t>
      </w:r>
      <w:r>
        <w:t xml:space="preserve"> </w:t>
      </w:r>
      <w:r>
        <w:t xml:space="preserve">revealed by the qualitative coding carried out in this study.</w:t>
      </w:r>
    </w:p>
    <w:p>
      <w:pPr>
        <w:pStyle w:val="Heading2"/>
      </w:pPr>
      <w:bookmarkStart w:id="77" w:name="implications-for-practice"/>
      <w:bookmarkEnd w:id="77"/>
      <w:r>
        <w:t xml:space="preserve">Implications for Practice</w:t>
      </w:r>
    </w:p>
    <w:p>
      <w:pPr>
        <w:pStyle w:val="FirstParagraph"/>
      </w:pPr>
      <w:r>
        <w:t xml:space="preserve">Two key implications related to engaging youth in generating and modeling data and including other practices to the extent that they involve youth in generating and modeling are discussed. While this is somewhat limited evidence, this study suggests that</w:t>
      </w:r>
      <w:r>
        <w:t xml:space="preserve"> </w:t>
      </w:r>
      <w:r>
        <w:rPr>
          <w:i/>
        </w:rPr>
        <w:t xml:space="preserve">generating data</w:t>
      </w:r>
      <w:r>
        <w:t xml:space="preserve"> </w:t>
      </w:r>
      <w:r>
        <w:t xml:space="preserve">and</w:t>
      </w:r>
      <w:r>
        <w:t xml:space="preserve"> </w:t>
      </w:r>
      <w:r>
        <w:rPr>
          <w:i/>
        </w:rPr>
        <w:t xml:space="preserve">modeling data</w:t>
      </w:r>
      <w:r>
        <w:t xml:space="preserve"> </w:t>
      </w:r>
      <w:r>
        <w:t xml:space="preserve">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youth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2"/>
      </w:pPr>
      <w:bookmarkStart w:id="78" w:name="implications-for-the-development-of-open-source-tool"/>
      <w:bookmarkEnd w:id="78"/>
      <w:r>
        <w:t xml:space="preserve">Implications for the development of open source tool</w:t>
      </w:r>
    </w:p>
    <w:p>
      <w:pPr>
        <w:pStyle w:val="FirstParagraph"/>
      </w:pPr>
      <w:r>
        <w:t xml:space="preserve">A final note concerns how the modeling was carried out. Because LPA is an exploratory approach, it requires a blend of exploring the data while also systematically taking account of how the solutions change while different solutions are explored. Because of the challenge of doing this, I developed an open-source tool that made it easier to work toward the aim of systematically exploring the data. Other educational researchers may consider the utility of such development efforts, though such efforts are not a regular part of the products created in the course of most educational research. Such development work by educational researchers may even inform the type of activities youth do when working with data: While a STEM content area, programming and computer science-related activities were not emphasized as much as those related to science, mathematics, and engineering.</w:t>
      </w:r>
    </w:p>
    <w:p>
      <w:pPr>
        <w:pStyle w:val="Heading2"/>
      </w:pPr>
      <w:bookmarkStart w:id="79" w:name="conclusion"/>
      <w:bookmarkEnd w:id="79"/>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engagement.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80" w:name="references"/>
      <w:bookmarkEnd w:id="80"/>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81">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2">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83">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4">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5">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6">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7">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8">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9">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90">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91">
        <w:r>
          <w:rPr>
            <w:rStyle w:val="Hyperlink"/>
          </w:rPr>
          <w:t xml:space="preserve">doi:10.1007/s10648-016-9358-2</w:t>
        </w:r>
      </w:hyperlink>
    </w:p>
    <w:p>
      <w:pPr>
        <w:pStyle w:val="Heading1"/>
      </w:pPr>
      <w:bookmarkStart w:id="92" w:name="appendix"/>
      <w:bookmarkEnd w:id="92"/>
      <w:r>
        <w:t xml:space="preserve">Appendix</w:t>
      </w:r>
    </w:p>
    <w:p>
      <w:pPr>
        <w:pStyle w:val="Heading2"/>
      </w:pPr>
      <w:bookmarkStart w:id="93" w:name="appendix-a-stem-pqa-alignment"/>
      <w:bookmarkEnd w:id="93"/>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4" w:name="appendix-b-program-descriptions"/>
      <w:bookmarkEnd w:id="94"/>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95" w:name="appendix-c-work-with-data-by-program"/>
      <w:bookmarkEnd w:id="95"/>
      <w:r>
        <w:t xml:space="preserve">Appendix C: Work with data by program</w:t>
      </w:r>
    </w:p>
    <w:p>
      <w:pPr>
        <w:pStyle w:val="TableCaption"/>
      </w:pPr>
      <w:r>
        <w:t xml:space="preserve">Table 8 Proportion of instructional episodes for which each of the aspects of work with data was present</w:t>
      </w:r>
    </w:p>
    <w:tbl>
      <w:tblPr>
        <w:tblStyle w:val="TableNormal"/>
        <w:tblW w:type="pct" w:w="0.0"/>
        <w:tblLook w:firstRow="1"/>
        <w:tblCaption w:val="Table 8 Proportion of instructional episode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8 Proportion of instructional episodes for which each of the aspects of work with data was present by program</w:t>
      </w:r>
    </w:p>
    <w:tbl>
      <w:tblPr>
        <w:tblStyle w:val="TableNormal"/>
        <w:tblW w:type="pct" w:w="0.0"/>
        <w:tblLook w:firstRow="1"/>
        <w:tblCaption w:val="Table 8 Proportion of instructional episode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BodyText"/>
      </w:pPr>
      <w:r>
        <w:rPr>
          <w:i/>
        </w:rPr>
        <w:t xml:space="preserve">Note</w:t>
      </w:r>
      <w:r>
        <w:t xml:space="preserve">. The</w:t>
      </w:r>
      <w:r>
        <w:t xml:space="preserve"> </w:t>
      </w:r>
      <w:r>
        <w:rPr>
          <w:i/>
        </w:rPr>
        <w:t xml:space="preserve">Comunidad de Aprendizaje</w:t>
      </w:r>
      <w:r>
        <w:t xml:space="preserve"> </w:t>
      </w:r>
      <w:r>
        <w:t xml:space="preserve">program had different sections in the morning and afternoon, which is why the number of instructional episodes is higher than in the other programs.</w:t>
      </w:r>
    </w:p>
    <w:p>
      <w:pPr>
        <w:pStyle w:val="Heading3"/>
      </w:pPr>
      <w:bookmarkStart w:id="96" w:name="appendix-d-model-specifications-details"/>
      <w:bookmarkEnd w:id="96"/>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7" w:name="varying-means-equal-variances-and-covariances-fixed-to-0-model-1"/>
      <w:bookmarkEnd w:id="97"/>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8" w:name="varying-means-equal-variances-and-equal-covariances-model-2"/>
      <w:bookmarkEnd w:id="98"/>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9" w:name="varying-means-varying-variances-and-covariances-fixed-to-0-model-3"/>
      <w:bookmarkEnd w:id="99"/>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00" w:name="varying-means-varying-variances-and-equal-covariances-model-4"/>
      <w:bookmarkEnd w:id="100"/>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1" w:name="varying-means-equal-variances-and-varying-covariances-model-5"/>
      <w:bookmarkEnd w:id="101"/>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2" w:name="varying-means-varying-variances-and-varying-covariances-model-6"/>
      <w:bookmarkEnd w:id="102"/>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3" w:name="appendix-e-additional-details-on-the-model-selection-process"/>
      <w:bookmarkEnd w:id="103"/>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6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6 Fit statistics for model 1 solutions</w:t>
      </w:r>
    </w:p>
    <w:p>
      <w:pPr>
        <w:pStyle w:val="FigureWithCaption"/>
      </w:pPr>
      <w:r>
        <w:drawing>
          <wp:inline>
            <wp:extent cx="5334000" cy="3287447"/>
            <wp:effectExtent b="0" l="0" r="0" t="0"/>
            <wp:docPr descr="Figure 7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5"/>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7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6" w:name="appendix-f-alternate-model-selected-model-type-1-seven-profile-solution"/>
      <w:bookmarkEnd w:id="106"/>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7"/>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8"/>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64ee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471c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6df7a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hyperlink" Id="rId91" Target="doi:10.1007/s10648-016-9358-2" TargetMode="External" /><Relationship Type="http://schemas.openxmlformats.org/officeDocument/2006/relationships/hyperlink" Id="rId88" Target="doi:10.1080/00461520.2014.1002924" TargetMode="External" /><Relationship Type="http://schemas.openxmlformats.org/officeDocument/2006/relationships/hyperlink" Id="rId81" Target="http://doi.org/10.1002/j.2161-0045.2015.00097.x" TargetMode="External" /><Relationship Type="http://schemas.openxmlformats.org/officeDocument/2006/relationships/hyperlink" Id="rId89" Target="http://doi.org/10.1007/s10964-007-9241-z" TargetMode="External" /><Relationship Type="http://schemas.openxmlformats.org/officeDocument/2006/relationships/hyperlink" Id="rId85" Target="http://dx.doi.org/10.1016/j.learninstruc.2017.07.007" TargetMode="External" /><Relationship Type="http://schemas.openxmlformats.org/officeDocument/2006/relationships/hyperlink" Id="rId84" Target="http://dx.doi.org/10.1037/edu0000214" TargetMode="External" /><Relationship Type="http://schemas.openxmlformats.org/officeDocument/2006/relationships/hyperlink" Id="rId90" Target="http://faculty.sites.uci.edu/childcare/files/2013/07/SL-Outcomes-2011-Pilot_Edited_8.19.pdf" TargetMode="External" /><Relationship Type="http://schemas.openxmlformats.org/officeDocument/2006/relationships/hyperlink" Id="rId82" Target="https://doi.org/10.1007/978-1-4614-2018-7_37" TargetMode="External" /><Relationship Type="http://schemas.openxmlformats.org/officeDocument/2006/relationships/hyperlink" Id="rId87" Target="https://dx.doi.org/10.1002/tea.21409" TargetMode="External" /><Relationship Type="http://schemas.openxmlformats.org/officeDocument/2006/relationships/hyperlink" Id="rId86" Target="https://jrosen48.github.io/r-markdown/comparing-mplus-mclust.html" TargetMode="External" /><Relationship Type="http://schemas.openxmlformats.org/officeDocument/2006/relationships/hyperlink" Id="rId83"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1" Target="doi:10.1007/s10648-016-9358-2" TargetMode="External" /><Relationship Type="http://schemas.openxmlformats.org/officeDocument/2006/relationships/hyperlink" Id="rId88" Target="doi:10.1080/00461520.2014.1002924" TargetMode="External" /><Relationship Type="http://schemas.openxmlformats.org/officeDocument/2006/relationships/hyperlink" Id="rId81" Target="http://doi.org/10.1002/j.2161-0045.2015.00097.x" TargetMode="External" /><Relationship Type="http://schemas.openxmlformats.org/officeDocument/2006/relationships/hyperlink" Id="rId89" Target="http://doi.org/10.1007/s10964-007-9241-z" TargetMode="External" /><Relationship Type="http://schemas.openxmlformats.org/officeDocument/2006/relationships/hyperlink" Id="rId85" Target="http://dx.doi.org/10.1016/j.learninstruc.2017.07.007" TargetMode="External" /><Relationship Type="http://schemas.openxmlformats.org/officeDocument/2006/relationships/hyperlink" Id="rId84" Target="http://dx.doi.org/10.1037/edu0000214" TargetMode="External" /><Relationship Type="http://schemas.openxmlformats.org/officeDocument/2006/relationships/hyperlink" Id="rId90" Target="http://faculty.sites.uci.edu/childcare/files/2013/07/SL-Outcomes-2011-Pilot_Edited_8.19.pdf" TargetMode="External" /><Relationship Type="http://schemas.openxmlformats.org/officeDocument/2006/relationships/hyperlink" Id="rId82" Target="https://doi.org/10.1007/978-1-4614-2018-7_37" TargetMode="External" /><Relationship Type="http://schemas.openxmlformats.org/officeDocument/2006/relationships/hyperlink" Id="rId87" Target="https://dx.doi.org/10.1002/tea.21409" TargetMode="External" /><Relationship Type="http://schemas.openxmlformats.org/officeDocument/2006/relationships/hyperlink" Id="rId86" Target="https://jrosen48.github.io/r-markdown/comparing-mplus-mclust.html" TargetMode="External" /><Relationship Type="http://schemas.openxmlformats.org/officeDocument/2006/relationships/hyperlink" Id="rId83"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2018-06-04T16:40:14Z</dcterms:created>
  <dcterms:modified xsi:type="dcterms:W3CDTF">2018-06-04T16:40:14Z</dcterms:modified>
</cp:coreProperties>
</file>