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67DD9" w:rsidRDefault="00E6182D">
      <w:pPr>
        <w:pStyle w:val="Title"/>
      </w:pPr>
      <w:r>
        <w:t>Understanding Work With Data in Summer STEM Programs Through An Experience Sampling Method Approach</w:t>
      </w:r>
    </w:p>
    <w:p w:rsidR="00467DD9" w:rsidRDefault="00E6182D">
      <w:pPr>
        <w:pStyle w:val="Author"/>
      </w:pPr>
      <w:r>
        <w:t>Joshua M. Rosenberg</w:t>
      </w:r>
    </w:p>
    <w:p w:rsidR="00467DD9" w:rsidRDefault="00E6182D">
      <w:pPr>
        <w:pStyle w:val="Date"/>
      </w:pPr>
      <w:r>
        <w:t>2018-04-26</w:t>
      </w:r>
    </w:p>
    <w:p w:rsidR="00467DD9" w:rsidRDefault="00E6182D">
      <w:pPr>
        <w:pStyle w:val="Heading1"/>
      </w:pPr>
      <w:bookmarkStart w:id="0" w:name="intro-placemarker"/>
      <w:bookmarkEnd w:id="0"/>
      <w:r>
        <w:t>Introduction</w:t>
      </w:r>
    </w:p>
    <w:p w:rsidR="00467DD9" w:rsidRDefault="00E6182D">
      <w:pPr>
        <w:pStyle w:val="FirstParagraph"/>
      </w:pPr>
      <w:r>
        <w:t>Changes in how we plan our day-to-day lives, communicate, and learn are increasingly impacted by data. These sources of data–quantitative and qualitative–are created by us, for us, and about us, although at present opportunities for learners to analyze dat</w:t>
      </w:r>
      <w:r>
        <w:t>a in educational settings remain limited. Work with data more broadly includes processes of collecting, creating, modeling data, and asking questions that may be answered with data and making sense of findings.</w:t>
      </w:r>
    </w:p>
    <w:p w:rsidR="00467DD9" w:rsidRDefault="00E6182D">
      <w:pPr>
        <w:pStyle w:val="BodyText"/>
      </w:pPr>
      <w:r>
        <w:t>Work with data, then, is more than just crunc</w:t>
      </w:r>
      <w:r>
        <w:t>hing numbers or interpreting a figure created by someone else, but rather is about making sense of phenomena and problem solving, a point particularly relevant to work with data in educational contexts (Lee &amp; Wilkerson, 2018; Wild &amp; Pfannkuch, 1999). Aspec</w:t>
      </w:r>
      <w:r>
        <w:t xml:space="preserve">ts of work with data cut across STEM domains and are recognized as core competencies in both the Next Generation Science Standards and the Common Core State Standards (National Governors Association Center for Best Practices, Council of Chief State School </w:t>
      </w:r>
      <w:r>
        <w:t>Officers, 2010; NGSS Lead States, 2013). Scholars have pointed out the benefits of analyzing data for learners as young as two years old (Gopnik, &amp; Sobel, 2000).</w:t>
      </w:r>
    </w:p>
    <w:p w:rsidR="00467DD9" w:rsidRDefault="00E6182D">
      <w:pPr>
        <w:pStyle w:val="BodyText"/>
      </w:pPr>
      <w:r>
        <w:t xml:space="preserve">In supporting teachers and learners’ data analysis efforts, some scholars have focused on key </w:t>
      </w:r>
      <w:r>
        <w:t>data analytic processes, particularly those related to generating measures of phenomena and creating data models, using these as anchoring practices for other aspects of work with data, like posing questions (English, 2012; Lehrer &amp; Romberg, 1996; Lesh, Mi</w:t>
      </w:r>
      <w:r>
        <w:t>ddleton, Caylor, &amp; Gupta, 2008). Findings from this area of research suggest that engaging in these practices “has an exceptionally high payoff in terms of students’ scientific reasoning” (Lehrer &amp; Schauble, 2015, p. 696) and can highlight the utility of m</w:t>
      </w:r>
      <w:r>
        <w:t>athematics for students’ lives (Lesh, Middleton, Caylor, &amp; Gupta, 2008).</w:t>
      </w:r>
    </w:p>
    <w:p w:rsidR="00467DD9" w:rsidRDefault="00E6182D">
      <w:pPr>
        <w:pStyle w:val="BodyText"/>
      </w:pPr>
      <w:r>
        <w:t>Learners’ experiences, considered from the perspective of engagement theory, consist not only of cognitive processes, but also behavioral and even affective dimensions, too (Fredricks</w:t>
      </w:r>
      <w:r>
        <w:t>, Blumenfeld, &amp; Paris, 2004; Skinner &amp; Pitzer, 2012). When learners’ experiences are considered in terms of their engagement, we can hypothesize that learners who are engaged in high-quality activities related to work with data will be more or less cogniti</w:t>
      </w:r>
      <w:r>
        <w:t>vely, behaviorally, and affectively engaged. This engagement is a key outcome in its own right and may be an antecedent of changes in other outcomes, such as students’ intention to pursue an area of study or career in a STEM domain.</w:t>
      </w:r>
    </w:p>
    <w:p w:rsidR="00467DD9" w:rsidRDefault="00E6182D">
      <w:pPr>
        <w:pStyle w:val="BodyText"/>
      </w:pPr>
      <w:r>
        <w:lastRenderedPageBreak/>
        <w:t>While scholars have loo</w:t>
      </w:r>
      <w:r>
        <w:t>ked at cognitive outcomes and learners’ capability to participate in specific, learners’ experiences of working with data has not been the focus of past research. Thus, the present study sets out to understand to how learners’ experiences are impacted by w</w:t>
      </w:r>
      <w:r>
        <w:t xml:space="preserve">ork with data. In this study, I use contemporary engagement theory as a framework to understand learners’ experience. Past research has shown that how engaged learners and youth are is a predictor of key outcomes, such as their well-being, achievement and </w:t>
      </w:r>
      <w:r>
        <w:t>pursuit of an area of study or career (Sinatra, Heddy, &amp; Lombardi, 2015; Wang, Chow, Hofkens, &amp; Salmela-Aro, 2015; Wang &amp; Eccles, 2012).</w:t>
      </w:r>
    </w:p>
    <w:p w:rsidR="00467DD9" w:rsidRDefault="00E6182D">
      <w:pPr>
        <w:pStyle w:val="BodyText"/>
      </w:pPr>
      <w:r>
        <w:t>In this framework, engagement is considered to multi-dimensional and dynamic, or changing over time (Fredricks &amp; McCols</w:t>
      </w:r>
      <w:r>
        <w:t>key, 2012). Scholars commonly consider engagement in terms of three dimensions: cognitive (i.e., use of meta-cognitive learning strategies), behavioral (hard work on a task), and affective dimensions (enjoyment; Fredricks, Blumenfeld, &amp; Paris, 2004; Sinatr</w:t>
      </w:r>
      <w:r>
        <w:t>a, et al., 2015; Skinner &amp; Pitzer, 2012). In recognition of its dynamic nature, some engagement scholars have drawn upon flow theory (Csikszentmihalyi, 1990, 1997) to identify not only dimensions of engagement, but also other, subjective, characteristics t</w:t>
      </w:r>
      <w:r>
        <w:t>hat effect engagement. This past research, drawn upon in the present study, has considered two of learners’ subjective considerations, their perceived competence and challenge, act as key conditions of engagement (Shernoff, Kelly, Tonks, Anderson, Cavanagh</w:t>
      </w:r>
      <w:r>
        <w:t>, Sinha, &amp; Abdi, 2016).</w:t>
      </w:r>
    </w:p>
    <w:p w:rsidR="00467DD9" w:rsidRDefault="00E6182D">
      <w:pPr>
        <w:pStyle w:val="BodyText"/>
      </w:pPr>
      <w:r>
        <w:t>The purpose of this study, then, is to understand learners’ experience of working with data through the lens of engagement. Engagement is understood in terms of cognitive, behavioral, and affective dimensions, and the conditions tha</w:t>
      </w:r>
      <w:r>
        <w:t>t support engagement are understood in terms of two subjective components that past research and theory suggest influence engagement: perceived challenge and perceived competence. Work with data is considered in terms of specific aspects, such as asking qu</w:t>
      </w:r>
      <w:r>
        <w:t>estions and generating and modeling data, identified from past research. Engagement in work with data is explored in the context of outside-of-school STEM enrichment programs carried out during the summer.</w:t>
      </w:r>
    </w:p>
    <w:p w:rsidR="00467DD9" w:rsidRDefault="00E6182D">
      <w:pPr>
        <w:pStyle w:val="Heading1"/>
      </w:pPr>
      <w:bookmarkStart w:id="1" w:name="literature-review"/>
      <w:bookmarkEnd w:id="1"/>
      <w:r>
        <w:t>Literature Review</w:t>
      </w:r>
    </w:p>
    <w:p w:rsidR="00467DD9" w:rsidRDefault="00E6182D">
      <w:pPr>
        <w:pStyle w:val="FirstParagraph"/>
      </w:pPr>
      <w:r>
        <w:t>I define work with data as a key</w:t>
      </w:r>
      <w:r>
        <w:t xml:space="preserve"> practice across STEM domains. I also describe a multi-dimensional approach to understanding engagement that considers engagement and the two influencers of engagement (perceptions of competence and challenge) and an approach to analyzing data from such an</w:t>
      </w:r>
      <w:r>
        <w:t xml:space="preserve"> approach in order to establish the framework used in the present study.</w:t>
      </w:r>
    </w:p>
    <w:p w:rsidR="00467DD9" w:rsidRDefault="00E6182D">
      <w:pPr>
        <w:pStyle w:val="Heading2"/>
      </w:pPr>
      <w:bookmarkStart w:id="2" w:name="defining-work-with-data"/>
      <w:bookmarkEnd w:id="2"/>
      <w:r>
        <w:t>Defining Work With Data</w:t>
      </w:r>
    </w:p>
    <w:p w:rsidR="00467DD9" w:rsidRDefault="00E6182D">
      <w:pPr>
        <w:pStyle w:val="FirstParagraph"/>
      </w:pPr>
      <w:r>
        <w:t>Some scholars have focused on a few key pieces of data analysis connected through the use of “data to solve real problems and to answer authentic questions” (H</w:t>
      </w:r>
      <w:r>
        <w:t xml:space="preserve">ancock et al., 1992, p. 337). This approach has primarily been taken up by mathematics educators and is reflected in statistics curriculum documents (Franklin et al., 2007). In science settings, where answering questions about phenomena serve as the focus </w:t>
      </w:r>
      <w:r>
        <w:t xml:space="preserve">of activities, it shares </w:t>
      </w:r>
      <w:r>
        <w:lastRenderedPageBreak/>
        <w:t>features of the process of engaging in scientific and engineering practices, but has been less often studied.</w:t>
      </w:r>
    </w:p>
    <w:p w:rsidR="00467DD9" w:rsidRDefault="00E6182D">
      <w:pPr>
        <w:pStyle w:val="BodyText"/>
      </w:pPr>
      <w:r>
        <w:t>While work with data has been conceived in different ways (see Lee and Wikerson (in press) for a review and Wild and Pfan</w:t>
      </w:r>
      <w:r>
        <w:t>nkuch (1999), Franklin et al. (2007), Lehrer and Schauble (2004) for specific examples from past research), some core components have emerged. Different approaches to working with data are distilled into five key aspects (see Figure 1) that guide their con</w:t>
      </w:r>
      <w:r>
        <w:t>ceptualization in this study:</w:t>
      </w:r>
    </w:p>
    <w:p w:rsidR="00467DD9" w:rsidRDefault="00E6182D">
      <w:pPr>
        <w:pStyle w:val="Compact"/>
        <w:numPr>
          <w:ilvl w:val="0"/>
          <w:numId w:val="3"/>
        </w:numPr>
      </w:pPr>
      <w:r>
        <w:t>Asking questions: Generating questions that can be answered with empirical evidence</w:t>
      </w:r>
    </w:p>
    <w:p w:rsidR="00467DD9" w:rsidRDefault="00E6182D">
      <w:pPr>
        <w:pStyle w:val="Compact"/>
        <w:numPr>
          <w:ilvl w:val="0"/>
          <w:numId w:val="3"/>
        </w:numPr>
      </w:pPr>
      <w:r>
        <w:t>Making observations: Watching phenomena and noticing what is happening with respect to the phenomena or problem being investigated</w:t>
      </w:r>
    </w:p>
    <w:p w:rsidR="00467DD9" w:rsidRDefault="00E6182D">
      <w:pPr>
        <w:pStyle w:val="Compact"/>
        <w:numPr>
          <w:ilvl w:val="0"/>
          <w:numId w:val="3"/>
        </w:numPr>
      </w:pPr>
      <w:r>
        <w:t xml:space="preserve">Generating </w:t>
      </w:r>
      <w:r>
        <w:t>data: The process of figuring out how or why to inscribe an observation as data about a phenomena, as well as generating coding frames or tools for measuring</w:t>
      </w:r>
    </w:p>
    <w:p w:rsidR="00467DD9" w:rsidRDefault="00E6182D">
      <w:pPr>
        <w:pStyle w:val="Compact"/>
        <w:numPr>
          <w:ilvl w:val="0"/>
          <w:numId w:val="3"/>
        </w:numPr>
      </w:pPr>
      <w:r>
        <w:t>Data modeling: Activities involving use of simple statistics, such as the mean and variance, as we</w:t>
      </w:r>
      <w:r>
        <w:t>ll as more complicated models, such as linear models and extensions of the linear model</w:t>
      </w:r>
    </w:p>
    <w:p w:rsidR="00467DD9" w:rsidRDefault="00E6182D">
      <w:pPr>
        <w:pStyle w:val="Compact"/>
        <w:numPr>
          <w:ilvl w:val="0"/>
          <w:numId w:val="3"/>
        </w:numPr>
      </w:pPr>
      <w:r>
        <w:t>Interpreting and communicating findings: Activities related to identifying a driving question regarding the phenomena that the question is about</w:t>
      </w:r>
    </w:p>
    <w:p w:rsidR="00467DD9" w:rsidRDefault="00E6182D">
      <w:pPr>
        <w:pStyle w:val="FigurewithCaption"/>
      </w:pPr>
      <w:r>
        <w:rPr>
          <w:noProof/>
        </w:rPr>
        <w:lastRenderedPageBreak/>
        <w:drawing>
          <wp:inline distT="0" distB="0" distL="0" distR="0">
            <wp:extent cx="5334000" cy="4812672"/>
            <wp:effectExtent l="0" t="0" r="0" b="0"/>
            <wp:docPr id="1" name="Picture" descr="Figure 1 Work with data in STEM education settings"/>
            <wp:cNvGraphicFramePr/>
            <a:graphic xmlns:a="http://schemas.openxmlformats.org/drawingml/2006/main">
              <a:graphicData uri="http://schemas.openxmlformats.org/drawingml/2006/picture">
                <pic:pic xmlns:pic="http://schemas.openxmlformats.org/drawingml/2006/picture">
                  <pic:nvPicPr>
                    <pic:cNvPr id="0" name="Picture" descr="images/figure1.png"/>
                    <pic:cNvPicPr>
                      <a:picLocks noChangeAspect="1" noChangeArrowheads="1"/>
                    </pic:cNvPicPr>
                  </pic:nvPicPr>
                  <pic:blipFill>
                    <a:blip r:embed="rId7"/>
                    <a:stretch>
                      <a:fillRect/>
                    </a:stretch>
                  </pic:blipFill>
                  <pic:spPr bwMode="auto">
                    <a:xfrm>
                      <a:off x="0" y="0"/>
                      <a:ext cx="5334000" cy="4812672"/>
                    </a:xfrm>
                    <a:prstGeom prst="rect">
                      <a:avLst/>
                    </a:prstGeom>
                    <a:noFill/>
                    <a:ln w="9525">
                      <a:noFill/>
                      <a:headEnd/>
                      <a:tailEnd/>
                    </a:ln>
                  </pic:spPr>
                </pic:pic>
              </a:graphicData>
            </a:graphic>
          </wp:inline>
        </w:drawing>
      </w:r>
    </w:p>
    <w:p w:rsidR="00467DD9" w:rsidRDefault="00E6182D">
      <w:pPr>
        <w:pStyle w:val="ImageCaption"/>
      </w:pPr>
      <w:r>
        <w:t>Figure 1 Work with da</w:t>
      </w:r>
      <w:r>
        <w:t>ta in STEM education settings</w:t>
      </w:r>
    </w:p>
    <w:p w:rsidR="00467DD9" w:rsidRDefault="00E6182D">
      <w:pPr>
        <w:pStyle w:val="BodyText"/>
      </w:pPr>
      <w:r>
        <w:t>The five practices are a cycle because not only does each part follow that before it, but also because the overall process is iterative: interpreting findings commonly leads to new questions and subsequent engagement in work w</w:t>
      </w:r>
      <w:r>
        <w:t xml:space="preserve">ith data. Also, scholars have pointed out some key features of how work with data is carried out that impact their effectiveness as a pedagogical approach. These key features include an emphasis on making sense of real-world phenomena and iterative cycles </w:t>
      </w:r>
      <w:r>
        <w:t>of engaging in work with data and collaboration and dialogue, through which ideas and intermediate findings are critiqued and subject to critique, and revised over time (McNeill &amp; Berland, 2017).</w:t>
      </w:r>
    </w:p>
    <w:p w:rsidR="00467DD9" w:rsidRDefault="00E6182D">
      <w:pPr>
        <w:pStyle w:val="Heading2"/>
      </w:pPr>
      <w:bookmarkStart w:id="3" w:name="the-role-of-work-with-data-in-the-curric"/>
      <w:bookmarkEnd w:id="3"/>
      <w:r>
        <w:t>The role of work with data in the curriculum</w:t>
      </w:r>
    </w:p>
    <w:p w:rsidR="00467DD9" w:rsidRDefault="00E6182D">
      <w:pPr>
        <w:pStyle w:val="FirstParagraph"/>
      </w:pPr>
      <w:r>
        <w:t xml:space="preserve">Work with data </w:t>
      </w:r>
      <w:r>
        <w:t>can serve as an organizing set of practices for engaging in inquiry in STEM settings (Lehrer &amp; Schauble, 2015). Data are both encountered and generated by learners, and so opportunities for STEM students to work with data provide many opportunities to leve</w:t>
      </w:r>
      <w:r>
        <w:t xml:space="preserve">rage students’ curiosity because processes of inquiry can be grounded in phenomena that learners themselves can see and manipulate or phenomena that learners are interested in. Also important, becoming proficient in work with data can provide learners </w:t>
      </w:r>
      <w:r>
        <w:lastRenderedPageBreak/>
        <w:t>with</w:t>
      </w:r>
      <w:r>
        <w:t xml:space="preserve"> an in-demand capability in society, owing to the number of occupations, from education to entrepreneurship, that demand or involve taking action based on data (Wilkerson &amp; Fenwick, 2017). Furthermore, becoming proficient in work with data can be personall</w:t>
      </w:r>
      <w:r>
        <w:t>y empowering because of the parts of our lives—from paying energy bills to interpreting news articles—that use data.</w:t>
      </w:r>
    </w:p>
    <w:p w:rsidR="00467DD9" w:rsidRDefault="00E6182D">
      <w:pPr>
        <w:pStyle w:val="BodyText"/>
      </w:pPr>
      <w:r>
        <w:t>Recent reform efforts emphasize work with data (i.e., the scientific and engineering practices in the NGSS and the standards for mathematic</w:t>
      </w:r>
      <w:r>
        <w:t xml:space="preserve">al practice in the Common Core State Standards). However, work with data is uncommon in many classroom settings (McNeill &amp; Berland, 2017), and so learning environments suited to engaging in work with data, but not explicitly designed to support it, may be </w:t>
      </w:r>
      <w:r>
        <w:t>valuable to study because they may serve as incubators of these rare and challenging learning activities.</w:t>
      </w:r>
    </w:p>
    <w:p w:rsidR="00467DD9" w:rsidRDefault="00E6182D">
      <w:pPr>
        <w:pStyle w:val="BodyText"/>
      </w:pPr>
      <w:r>
        <w:t>Outside-of-school programs are a potentially valuable setting to explore engagement in work with data because of the combined pedagogical and technical expertise of their staff and the activities learners do during their participation in them. Staff for th</w:t>
      </w:r>
      <w:r>
        <w:t>ese programs includes educators and scientists, engineers, and others with the technical experience. Additionally, the programs were designed to involve learners in the types of real-world practices experienced by experts in STEM disciplines. Attendance in</w:t>
      </w:r>
      <w:r>
        <w:t xml:space="preserve"> such programs is associated with many benefits to learners (Green, Lee, Constance, &amp; Hynes, 2013; see Lauer, Akiba, Wilkerson, Apthorp, Snow, &amp; Martin-Glenn, 2006, for a comprehensive review). These programs are also selected because little research has e</w:t>
      </w:r>
      <w:r>
        <w:t>xamined how data are part of the experiences of youth in out-of-school-time programs, despite its place as one of a few core practices in STEM. While these reasons to study work with data focus on outside-of-school programs, they are also germane to more f</w:t>
      </w:r>
      <w:r>
        <w:t>ormal learning environments, such as classrooms, in which teachers want to design opportunities for their learners to work with data. This is important even for those teachers who themselves have technical expertise, but who have experienced limited traini</w:t>
      </w:r>
      <w:r>
        <w:t xml:space="preserve">ng and support for engaging learners in work with data. Therefore, these programs can provide insight into whether engaging in work with data is associated with more optimal forms of engagement in the conditions like those for classrooms in which engaging </w:t>
      </w:r>
      <w:r>
        <w:t>in work with data is a novel and potentially promising approach to doing and learning about STEM.</w:t>
      </w:r>
    </w:p>
    <w:p w:rsidR="00467DD9" w:rsidRDefault="00E6182D">
      <w:pPr>
        <w:pStyle w:val="Heading2"/>
      </w:pPr>
      <w:bookmarkStart w:id="4" w:name="what-we-know-and-do-not-know-about-how-y"/>
      <w:bookmarkEnd w:id="4"/>
      <w:r>
        <w:t>What We Know (And Do Not Know) About How Youth Work with Data</w:t>
      </w:r>
    </w:p>
    <w:p w:rsidR="00467DD9" w:rsidRDefault="00E6182D">
      <w:pPr>
        <w:pStyle w:val="FirstParagraph"/>
      </w:pPr>
      <w:r>
        <w:t>Scholars have researched cognitive capabilities related to work with data. Much of this laborato</w:t>
      </w:r>
      <w:r>
        <w:t xml:space="preserve">ry-based research has focused on how children develop the capability to inductively reason from observations (Gelman &amp; Markman, 1987). Other research has focused on the development of causal, or mechanistic, reasoning, among young children (Gopnik et al., </w:t>
      </w:r>
      <w:r>
        <w:t>2001; Gopnik &amp; Sobel, 2000), often from a Piagetian, individual-development focused tradition (i.e., Piaget &amp; Inhelder, 1969). A key outcome of engaging in work with data has to do with how learners account for variability (Lehrer, Kim, &amp; Schauble, 2007; P</w:t>
      </w:r>
      <w:r>
        <w:t xml:space="preserve">etrosino, Lehrer, &amp; Schauble, 2003; Lesh, Middleton, Caylor, &amp; Gupta, 2008; Lee, Angotti, &amp; Tarr, 2010), arguably the main goal of engaging in work with data (Konold &amp; Pollatsek, 2002). From this research, we know that learners can develop the capacity to </w:t>
      </w:r>
      <w:r>
        <w:t>reason about variability (and covariability).</w:t>
      </w:r>
    </w:p>
    <w:p w:rsidR="00467DD9" w:rsidRDefault="00E6182D">
      <w:pPr>
        <w:pStyle w:val="BodyText"/>
      </w:pPr>
      <w:r>
        <w:lastRenderedPageBreak/>
        <w:t>Past research has also shown that there are strategies that can support work with data. These include the design of technological and the development of curricula. From this research, we know about specific str</w:t>
      </w:r>
      <w:r>
        <w:t>ategies and learning progressions for learners to develop this capability, such as the role of measurement in exposing learners in a direct way to sources of variability (Petrosino et al., 2003), role of simulation to learn about sampling distributions (St</w:t>
      </w:r>
      <w:r>
        <w:t>ohl &amp; Tarr, 2002), and use of relevant phenomena, such as manufacturing processes, such as the size of metallic bolts, which can help learners to focus on “tracking a process by looking at its output” (Konold &amp; Pollatsek, 2002, p. 282).</w:t>
      </w:r>
    </w:p>
    <w:p w:rsidR="00467DD9" w:rsidRDefault="00E6182D">
      <w:pPr>
        <w:pStyle w:val="BodyText"/>
      </w:pPr>
      <w:r>
        <w:t>Finally, past resea</w:t>
      </w:r>
      <w:r>
        <w:t>rch has shown that different aspects of work with data pose unique opportunities and challenges. Asking empirical questions requires experience and ample time to ask a question that is both able to be answered with data and which is sustaining and worth in</w:t>
      </w:r>
      <w:r>
        <w:t>vestigating (Bielik, 2016; Hasson &amp; Yarden, 2012). Making observations and generating data, such as of the height of the school’s flagpole, requires negotiation not only of what to measure, but how and how many times to measure it (Lehrer, Kim, &amp; Schauble,</w:t>
      </w:r>
      <w:r>
        <w:t xml:space="preserve"> 2007). Regarding modeling, not only teaching students about models, such as that of the mean, but also asking them to create them, are valuable and practical (Lehrer &amp; Schauble, 2004; Lehrer, Kim, &amp; Jones, 2011), but also time-intensive. Interpreting find</w:t>
      </w:r>
      <w:r>
        <w:t xml:space="preserve">ings, especially in light of variability through models, and communicating answers to questions, means not only identifying error but understanding its sources, and can be supported through exploring models that deliberately represent the data poorly, but </w:t>
      </w:r>
      <w:r>
        <w:t>can be instructive for probing the benefits and weaknesses of models (Lee &amp; Hollebrands, 2008; Lehrer, Kim, &amp; Schauble, 2007).</w:t>
      </w:r>
    </w:p>
    <w:p w:rsidR="00467DD9" w:rsidRDefault="00E6182D">
      <w:pPr>
        <w:pStyle w:val="BodyText"/>
      </w:pPr>
      <w:r>
        <w:t>Despite this past research, how learners participate in different aspects of work with data in terms of engagement theory has not</w:t>
      </w:r>
      <w:r>
        <w:t xml:space="preserve"> been a focus of any past studies. Consider the process of structuring data, commonly described as a—or the—key part of many applied data analyses, that is also under-emphasized in students’ use of data in science settings in which students are provided al</w:t>
      </w:r>
      <w:r>
        <w:t>ready-processed, or plotted, data (McNeill &amp; Berland, 2017). How challenging do students perceive these activities to be? How to they perceive their competence regarding this activity? More importantly, how do they engage—cognitively, behaviorally, and aff</w:t>
      </w:r>
      <w:r>
        <w:t>ectively—during these experiences? Knowing more about these processes could help us to develop informed recommendations for teachers and designers intending to bring about opportunities for learners to engage in work with data in a better-supported way tha</w:t>
      </w:r>
      <w:r>
        <w:t>t is sustained over time.</w:t>
      </w:r>
    </w:p>
    <w:p w:rsidR="00467DD9" w:rsidRDefault="00E6182D">
      <w:pPr>
        <w:pStyle w:val="Heading2"/>
      </w:pPr>
      <w:bookmarkStart w:id="5" w:name="engagement-in-general-and-in-stem-domain"/>
      <w:bookmarkEnd w:id="5"/>
      <w:r>
        <w:t>Engagement in General and in STEM Domains</w:t>
      </w:r>
    </w:p>
    <w:p w:rsidR="00467DD9" w:rsidRDefault="00E6182D">
      <w:pPr>
        <w:pStyle w:val="FirstParagraph"/>
      </w:pPr>
      <w:r>
        <w:t>The nature of engagement is discussed in terms of general features that have been identified across content area domains, conditions that support engagement, and differences between engage</w:t>
      </w:r>
      <w:r>
        <w:t>ment in general and in STEM settings. This is followed by a discussion of two key features of engagement: its dynamic characteristics and what a person-oriented approach to its study can add to research about engagement and its impact on learning and other</w:t>
      </w:r>
      <w:r>
        <w:t xml:space="preserve"> outcomes.</w:t>
      </w:r>
    </w:p>
    <w:p w:rsidR="00467DD9" w:rsidRDefault="00E6182D">
      <w:pPr>
        <w:pStyle w:val="BodyText"/>
      </w:pPr>
      <w:r>
        <w:t xml:space="preserve">Engagement is defined in this study as active involvement, or investment, in activities (Blumenfeld et al., 2004). Explaining how learners are involved in activities and tasks is </w:t>
      </w:r>
      <w:r>
        <w:lastRenderedPageBreak/>
        <w:t>especially important if we want to know about what aspects of work</w:t>
      </w:r>
      <w:r>
        <w:t xml:space="preserve"> with data are most engaging (and in what ways), and therefore can serve as exemplary for others advancing work with data as well as those calling for greater support for engagement. Apart from being focused on involvement, engagement is often thought of a</w:t>
      </w:r>
      <w:r>
        <w:t>s a meta-construct, that is, one that is made up of other constructs (Skinner &amp; Pitzer, 2012; Skinner, Kindermann, &amp; Furrer, 2009). By defining engagement as a meta-construct, scholars characterize it in terms of cognitive, behavioral, and affective dimens</w:t>
      </w:r>
      <w:r>
        <w:t>ions that are distinct yet interrelated (Fredricks, 2016). We know from past research that the cognitive, behavioral, and affective dimensions of engagement can be distinguished (Wang &amp; Eccles, 2012; Wang &amp; Holcombe, 2012) and that while there are long-sta</w:t>
      </w:r>
      <w:r>
        <w:t>nding concerns about the conceptual breadth of engagement (Fredricks et al., 2016), careful justification and thoughtful use of multidimensional engagement constructs and measures is warranted based on past research. Engagement is also considered to be dyn</w:t>
      </w:r>
      <w:r>
        <w:t>amic and changing in response to individual, situation or moment, and broader contextual factors, such as the family, classroom, or outside-of-school programs.</w:t>
      </w:r>
    </w:p>
    <w:p w:rsidR="00467DD9" w:rsidRDefault="00E6182D">
      <w:pPr>
        <w:pStyle w:val="BodyText"/>
      </w:pPr>
      <w:r>
        <w:t>Engagement in STEM settings shares characteristics with engagement across disciplines, yet there</w:t>
      </w:r>
      <w:r>
        <w:t xml:space="preserve"> are some distinct aspects of it (Greene, 2015). While one type of engagement—behavioral—is associated with positive outcomes, many STEM practices call for engagement in additional ways (Sinatra et al., 2015), especially around epistemic and agency-related</w:t>
      </w:r>
      <w:r>
        <w:t xml:space="preserve"> dimensions. For example, many scholars have defined scientific and engineering practices as epistemic practices, which involve applying epistemic considerations around sources of evidence and the nature of explanatory processes (Berland et al., 2016; Stro</w:t>
      </w:r>
      <w:r>
        <w:t>upe, 2014). The emphasis on developing new knowledge and capabilities through engaging in STEM practices is a potentially important aspect. This is important because measures of engagement might need to be modified for use in STEM domains. Because of the i</w:t>
      </w:r>
      <w:r>
        <w:t>mportance of constructing knowledge to engagement in STEM practices, then, cognitive engagement is defined for this study in terms of learning something new or getting better at something. While sometimes defined in terms of extra-curricular involvement or</w:t>
      </w:r>
      <w:r>
        <w:t xml:space="preserve"> following directions, behavioral engagement is defined in this study as working hard at and concentrating on learning-related activities (Fredricks et al., 2004; Singh, Granville, &amp; Dika, 2002). Finally, affective engagement is defined as affective respon</w:t>
      </w:r>
      <w:r>
        <w:t>ses to activities, such as being excited, angry, or relaxed (Pekrun &amp; Linnenbrink-Garcia, 2012).</w:t>
      </w:r>
    </w:p>
    <w:p w:rsidR="00467DD9" w:rsidRDefault="00E6182D">
      <w:pPr>
        <w:pStyle w:val="Heading2"/>
      </w:pPr>
      <w:bookmarkStart w:id="6" w:name="what-conditions-and-youth-characteristic"/>
      <w:bookmarkEnd w:id="6"/>
      <w:r>
        <w:t>What conditions and youth characteristics impact engagement</w:t>
      </w:r>
    </w:p>
    <w:p w:rsidR="00467DD9" w:rsidRDefault="00E6182D">
      <w:pPr>
        <w:pStyle w:val="FirstParagraph"/>
      </w:pPr>
      <w:r>
        <w:t xml:space="preserve">Past research has shown that ESM can help us to find out what conditions support it. Past research </w:t>
      </w:r>
      <w:r>
        <w:t>suggests that not only learner-level characteristics, such as learners’ interest in the domain of study, but also dynamic, changing moment-to-moment conditions are also important (Shernoff et al., 2003; Shernoff et al., 2016; Shumow, Schmidt, &amp; Zaleski, 20</w:t>
      </w:r>
      <w:r>
        <w:t>13). Focusing on dynamic conditions, Emergent Motivation Theory (EMT; Csikszentmihalyi, 1990), provides a useful lens. From EMT, a key momentary influencer of engagement is how difficult individuals perceive an activity to be, or its perceived challenge. A</w:t>
      </w:r>
      <w:r>
        <w:t xml:space="preserve">nother key influencer is how good at an activity individuals perceive themselves to be, or their perceived competence. Most important, from the perspective of EMT, being challenged by </w:t>
      </w:r>
      <w:r>
        <w:lastRenderedPageBreak/>
        <w:t>and good at an activity are especially engaging experienced when togethe</w:t>
      </w:r>
      <w:r>
        <w:t>r. Past research has supported this contention. Shernoff et al. (2016), for example, demonstrated that while challenge and skill with high levels of one but low levels on the other (i.e., high challenge and low skill) were not broadly associated with posit</w:t>
      </w:r>
      <w:r>
        <w:t>ive forms of engagement, their interaction was, suggesting that learners’ perceptions of the challenge of the activity, and their perceptions of how skillful they are, are important for explaining why learners engage.</w:t>
      </w:r>
    </w:p>
    <w:p w:rsidR="00467DD9" w:rsidRDefault="00E6182D">
      <w:pPr>
        <w:pStyle w:val="BodyText"/>
      </w:pPr>
      <w:r>
        <w:t>Other key conditions that support enga</w:t>
      </w:r>
      <w:r>
        <w:t>gement concern teacher support (Strati, Schmidt, &amp; Maier, 2017). Particularly concerning work with data, which is demanding not only for learners but also teachers, sustained support from teachers is an essential component of learners being able to work wi</w:t>
      </w:r>
      <w:r>
        <w:t>th data (Lehrer &amp; Schauble, 2015; Wilkerson, Andrews, Shaban, Laina, &amp; Gravel, 2016). Consequently, this study considers not only engagement, but also the conditions of engagement as part in terms of both learners’ subjective experiences. The conditions in</w:t>
      </w:r>
      <w:r>
        <w:t>cluded in the PECs relate to learners’ subjective perceptions of two key factors suggested by past research and theory, in particular, how challenging they perceive the activity to be and how good at it they perceive themselves to be (Csikszentmihalyi, 199</w:t>
      </w:r>
      <w:r>
        <w:t>0).</w:t>
      </w:r>
    </w:p>
    <w:p w:rsidR="00467DD9" w:rsidRDefault="00E6182D">
      <w:pPr>
        <w:pStyle w:val="BodyText"/>
      </w:pPr>
      <w:r>
        <w:t>I review a few other youth characteristics that impact engagement. In recognition of differences among learners in their tendency to engage in different (higher or lower) ways in specific activities based in part on individual differences (Hidi &amp; Renni</w:t>
      </w:r>
      <w:r>
        <w:t>nger, 2006), learners’ interest in STEM before the start of the programs is also considered as a factor that can impact engagement. Finally, gender and the racial and ethnic group of students is added, as past research has indicated these as factors that i</w:t>
      </w:r>
      <w:r>
        <w:t xml:space="preserve">nfluence engagement in STEM (Bystydzienski, Eisenhart, &amp; Bruning; Shernoff &amp; Schmidt, 2008). These conditions are different from those discussed in the section on the five aspects of work with data in that they are teacher-related factors (with respect to </w:t>
      </w:r>
      <w:r>
        <w:t>instructional support), subjective factors (with respect to perceptions of challenge and competence), and demographic characteristics, whereas a focus on real-world phenomena, iterative cycles, and collaboration and dialogue may potentially impact engageme</w:t>
      </w:r>
      <w:r>
        <w:t>nt through learners’ perceiving the activity to be supported by the subjective contextual conditions of challenge and competence.</w:t>
      </w:r>
    </w:p>
    <w:p w:rsidR="00467DD9" w:rsidRDefault="00E6182D">
      <w:pPr>
        <w:pStyle w:val="Heading2"/>
      </w:pPr>
      <w:bookmarkStart w:id="7" w:name="using-esm-to-study-the-dynamics-of-engag"/>
      <w:bookmarkEnd w:id="7"/>
      <w:r>
        <w:t>Using ESM to Study the Dynamics of Engagement</w:t>
      </w:r>
    </w:p>
    <w:p w:rsidR="00467DD9" w:rsidRDefault="00E6182D">
      <w:pPr>
        <w:pStyle w:val="FirstParagraph"/>
      </w:pPr>
      <w:r>
        <w:t>A number of scholars, in recognition of the dynamic nature of engagement, have e</w:t>
      </w:r>
      <w:r>
        <w:t>xplored the use of Experience Sampling Method (ESM) to understand engagement (e.g., Strati et al., 2017)—or have recommended it is as a valuable approach for doing so (Turner &amp; Meyer, 2000; Sinatra et al., 2015). ESM involves asking—usually using a digital</w:t>
      </w:r>
      <w:r>
        <w:t xml:space="preserve"> tool and occasionally a diary—to ask participants short questions about their experiences. ESM is particularly well-suited to understanding the dynamic nature of engagement because students answered brief surveys about their experience when they were sign</w:t>
      </w:r>
      <w:r>
        <w:t>aled, minimally interrupting them from the activity they are engaged in and also seeking to collect measures about learners’ experience when signaled (Hektner, et al., 2007).</w:t>
      </w:r>
    </w:p>
    <w:p w:rsidR="00467DD9" w:rsidRDefault="00E6182D">
      <w:pPr>
        <w:pStyle w:val="BodyText"/>
      </w:pPr>
      <w:r>
        <w:lastRenderedPageBreak/>
        <w:t>Research has shown us how the use of ESM can lead to distinct research contributi</w:t>
      </w:r>
      <w:r>
        <w:t>ons. Shernoff, Csikszentmihalyi, Schneider, and Shernoff (2003) examined engagement through the use of measures aligned with flow theory, namely, using measures of concentration, interest, and enjoyment (Csikszentmihalyi, 1997). In a study using the same m</w:t>
      </w:r>
      <w:r>
        <w:t>easures of engagement (concentration, interest, and enjoyment) Shernoff et al. (2016) used an observational measure of challenge and control (or environmental complexity) and found that it significantly predicted engagement, as well as self-esteem, intrins</w:t>
      </w:r>
      <w:r>
        <w:t>ic motivation, and academic intensity. Schneider et al. (2016) and Linnansaari et al. (2015) examined features of optimal learning moments or moments in which students report high levels of interest, skill, and challenge, as well as their antecedents and c</w:t>
      </w:r>
      <w:r>
        <w:t>onsequences. Similar to ESM in that through its use engagement can be studied in a more context-sensitive, still other scholars have used daily diary studies to examine engagement as a function of autonomy-supportive classroom practices (Patall, Vasquez, S</w:t>
      </w:r>
      <w:r>
        <w:t>teingut, Trimble, &amp; Pituch, 2015; Patall, Steingut, Vasquez, Trimble, &amp; Freeman, 2017). This past research that used ESM (or daily diary studies) to study engagement has shown us that the methodological approach can be used to answer questions that were ha</w:t>
      </w:r>
      <w:r>
        <w:t>rd to answer using the more-traditional pre- or post-survey measures.</w:t>
      </w:r>
    </w:p>
    <w:p w:rsidR="00467DD9" w:rsidRDefault="00E6182D">
      <w:pPr>
        <w:pStyle w:val="BodyText"/>
      </w:pPr>
      <w:r>
        <w:t>Other research shows us that there are newer approaches to analyzing ESM data that can contribute insights into the dynamics of engagement in a more fine-grained way. For example, Strati</w:t>
      </w:r>
      <w:r>
        <w:t xml:space="preserve"> et al. (2017) explored the relations between engagement to measures of teacher support, finding associations between instrumental support and engagement and powerfully demonstrating the capacity of ESM to understand some of the dynamics of engagement. Sim</w:t>
      </w:r>
      <w:r>
        <w:t>ilarly, Poysa et al. (2017) used a similar data analytic approach as Strati et al. (2017), that is, use of crossed effects models for variation within both students and time points, both within and between days. These studies establish the value of the use</w:t>
      </w:r>
      <w:r>
        <w:t xml:space="preserve"> of ESM to understand the dynamics of engagement and that such an approach may be able to be used to understand engaging in work with data. Additionally, these studies show that how effects at different levels are treated, namely, how variability at these </w:t>
      </w:r>
      <w:r>
        <w:t>levels is accounted for through random effects as part of mixed effects models, is a key practical consideration for analysts of ESM data.</w:t>
      </w:r>
    </w:p>
    <w:p w:rsidR="00467DD9" w:rsidRDefault="00E6182D">
      <w:pPr>
        <w:pStyle w:val="Heading2"/>
      </w:pPr>
      <w:bookmarkStart w:id="8" w:name="the-benefit-of-profiles-of-engagement-an"/>
      <w:bookmarkEnd w:id="8"/>
      <w:r>
        <w:t>The benefit of profiles of engagement and the conditions of engagement (perceptions of challenge and competence)</w:t>
      </w:r>
    </w:p>
    <w:p w:rsidR="00467DD9" w:rsidRDefault="00E6182D">
      <w:pPr>
        <w:pStyle w:val="FirstParagraph"/>
      </w:pPr>
      <w:r>
        <w:t xml:space="preserve">One </w:t>
      </w:r>
      <w:r>
        <w:t>powerful and increasingly widely used way to examine dynamic constructs holistically is a person-oriented approach, which can be used to consider the way in which psychological constructs are experienced together and at once in the experiences of learners.</w:t>
      </w:r>
      <w:r>
        <w:t xml:space="preserve"> In the context of the present study, this approach can help us to identify naturally occurring profiles of momentary engagement, or engagement as reported by youth via ESM during particular moments. Note that ESM involves asking youth about to report on t</w:t>
      </w:r>
      <w:r>
        <w:t>heir experience at the time they were signaled.</w:t>
      </w:r>
    </w:p>
    <w:p w:rsidR="00467DD9" w:rsidRDefault="00E6182D">
      <w:pPr>
        <w:pStyle w:val="BodyText"/>
      </w:pPr>
      <w:r>
        <w:t>Profiles seek to capture both the cognitive, behavioral, and affective dimensions of engagement and the subjective conditions of challenge and competence to understand how students experience engagement and i</w:t>
      </w:r>
      <w:r>
        <w:t xml:space="preserve">ts conditions in a more holistic way. There are some </w:t>
      </w:r>
      <w:r>
        <w:lastRenderedPageBreak/>
        <w:t>recent studies taking a person-oriented approach to the study of engagement (i.e., Salmela-Aro, Moeller, Schneider, Spicer, &amp; Lavonen, 2016a; Salmela-Aro, Muotka, Alho, Hakkarainen, &amp; Lonka, 2016b; Van R</w:t>
      </w:r>
      <w:r>
        <w:t>ooij, Jansen, &amp; van de Grift, 2017; Schmidt, Rosenberg, &amp; Beymer, 2018), though none have done so to study youths’ engagement in work with data.</w:t>
      </w:r>
    </w:p>
    <w:p w:rsidR="00467DD9" w:rsidRDefault="00E6182D">
      <w:pPr>
        <w:pStyle w:val="BodyText"/>
      </w:pPr>
      <w:r>
        <w:t xml:space="preserve">The person-oriented approach has an important implication for how we analyze data collected from ESM about youths’ engagement, in particular when we consider how to understand engagement as a meta-construct (Skinner, Kindermann, &amp; Furrer, 2009) and how to </w:t>
      </w:r>
      <w:r>
        <w:t xml:space="preserve">account for its dynamic nature (Csikszentmihalyi, 1990). We know from past research that engagement can be explained in terms of different patterns among its individual components (Bergman &amp; Magnusson, 1997), in the present case its cognitive, behavioral, </w:t>
      </w:r>
      <w:r>
        <w:t>and affective components. Because learners’ engagement includes cognitive, behavioral, and affective aspects experienced together at the same time, it can be experienced as a combined effect that is categorically distinct from the effects of the individual</w:t>
      </w:r>
      <w:r>
        <w:t xml:space="preserve"> dimensions of engagement. This combined effect can be considered as profiles of engagement. Past studies have considered profiles of cognitive, behavioral, and affective aspects of engagement.</w:t>
      </w:r>
    </w:p>
    <w:p w:rsidR="00467DD9" w:rsidRDefault="00E6182D">
      <w:pPr>
        <w:pStyle w:val="BodyText"/>
      </w:pPr>
      <w:r>
        <w:t>To account for the dynamic nature of engagement, some past stu</w:t>
      </w:r>
      <w:r>
        <w:t>dies have used other measures to predict engagement, such as use of in-the-moment resources and demands (Salmela-Aro et al., 2016b) or, in the case of the study reviewed in the previous section, use of instructional activities and choice (Schmidt et al., 2</w:t>
      </w:r>
      <w:r>
        <w:t>018). Different from this past research, another potential way to account for the dynamics of engagement is to consider both engagement and its conditions at once. Since a person-oriented approach emphasizes the dynamic nature of development and the impact</w:t>
      </w:r>
      <w:r>
        <w:t xml:space="preserve"> of not only external but also intra-individual factors. As in the present study, youths’ perceptions of challenge and competence, also collected via ESM, are used along with the measures of engagement to construct momentary profiles. Thus, the profiles of</w:t>
      </w:r>
      <w:r>
        <w:t xml:space="preserve"> engagement can be considered to be profiles of engagement and its conditions, as they include youths’ responses to five ESM items for their cognitive, behavioral, and affective engagement and their perceptions of how challenging the activity they were doi</w:t>
      </w:r>
      <w:r>
        <w:t>ng is and of how competent at the activity they are.</w:t>
      </w:r>
    </w:p>
    <w:p w:rsidR="00467DD9" w:rsidRDefault="00E6182D">
      <w:pPr>
        <w:pStyle w:val="Heading2"/>
      </w:pPr>
      <w:bookmarkStart w:id="9" w:name="need-for-the-present-study"/>
      <w:bookmarkEnd w:id="9"/>
      <w:r>
        <w:t>Need for the Present Study</w:t>
      </w:r>
    </w:p>
    <w:p w:rsidR="00467DD9" w:rsidRDefault="00E6182D">
      <w:pPr>
        <w:pStyle w:val="FirstParagraph"/>
      </w:pPr>
      <w:r>
        <w:t xml:space="preserve">While many scholars have argued that work with data can be understood in terms of the capabilities learners develop and the outcome learners achieve, there is a need to better </w:t>
      </w:r>
      <w:r>
        <w:t>understand learners’ experiences working with data. The present study does this through the use of contemporary engagement theory and innovative methodological and analytic approaches. Doing this can help us to understand work with data in terms of learner</w:t>
      </w:r>
      <w:r>
        <w:t xml:space="preserve">’s experience, which we know from past research impacts what and how students learn (Sinatra et al., 2015). Knowing more about students’ engagement can help us to design activities and interventions focused around work with data that are more engaging and </w:t>
      </w:r>
      <w:r>
        <w:t>which provide more support to learners in terms of their perceptions of challenge and their own competence. In addition to this general need to study engagement in work with data through the lens of engagement, no research that I am aware of has examined w</w:t>
      </w:r>
      <w:r>
        <w:t xml:space="preserve">ork with </w:t>
      </w:r>
      <w:r>
        <w:lastRenderedPageBreak/>
        <w:t>data or data analysis more generally in the context of outside-of-school programs. These settings are potentially rich with opportunities for highly engaged learners to analyze authentic data sources. Finally, little research has examined how data</w:t>
      </w:r>
      <w:r>
        <w:t xml:space="preserve"> is part of the experiences of youth in out-of-school-time programs, despite its place as one of a few core practices in STEM.</w:t>
      </w:r>
    </w:p>
    <w:p w:rsidR="00467DD9" w:rsidRDefault="00E6182D">
      <w:pPr>
        <w:pStyle w:val="Heading2"/>
      </w:pPr>
      <w:bookmarkStart w:id="10" w:name="conceptual-framework-and-research-questi"/>
      <w:bookmarkEnd w:id="10"/>
      <w:r>
        <w:t>Conceptual Framework and Research Questions</w:t>
      </w:r>
    </w:p>
    <w:p w:rsidR="00467DD9" w:rsidRDefault="00E6182D">
      <w:pPr>
        <w:pStyle w:val="FirstParagraph"/>
      </w:pPr>
      <w:r>
        <w:t xml:space="preserve">The present study is about how engagement can be used to understand how learners are </w:t>
      </w:r>
      <w:r>
        <w:t>involved in work with data and how characteristics of activities and learners impact the relationships between work with data and engagement. Its context is out-of-school-time STEM enrichment programs designed to meet guidelines for best practices. The con</w:t>
      </w:r>
      <w:r>
        <w:t>ceptual framework in the present study is presented in Figure 2 and is unpacked in the remainder of this section.</w:t>
      </w:r>
    </w:p>
    <w:p w:rsidR="00467DD9" w:rsidRDefault="00E6182D">
      <w:pPr>
        <w:pStyle w:val="FigurewithCaption"/>
      </w:pPr>
      <w:r>
        <w:rPr>
          <w:noProof/>
        </w:rPr>
        <w:drawing>
          <wp:inline distT="0" distB="0" distL="0" distR="0">
            <wp:extent cx="5334000" cy="3473685"/>
            <wp:effectExtent l="0" t="0" r="0" b="0"/>
            <wp:docPr id="2" name="Picture" descr="Figure 2 A conceptual framework for this study with research questions labeled"/>
            <wp:cNvGraphicFramePr/>
            <a:graphic xmlns:a="http://schemas.openxmlformats.org/drawingml/2006/main">
              <a:graphicData uri="http://schemas.openxmlformats.org/drawingml/2006/picture">
                <pic:pic xmlns:pic="http://schemas.openxmlformats.org/drawingml/2006/picture">
                  <pic:nvPicPr>
                    <pic:cNvPr id="0" name="Picture" descr="images/figure2.png"/>
                    <pic:cNvPicPr>
                      <a:picLocks noChangeAspect="1" noChangeArrowheads="1"/>
                    </pic:cNvPicPr>
                  </pic:nvPicPr>
                  <pic:blipFill>
                    <a:blip r:embed="rId8"/>
                    <a:stretch>
                      <a:fillRect/>
                    </a:stretch>
                  </pic:blipFill>
                  <pic:spPr bwMode="auto">
                    <a:xfrm>
                      <a:off x="0" y="0"/>
                      <a:ext cx="5334000" cy="3473685"/>
                    </a:xfrm>
                    <a:prstGeom prst="rect">
                      <a:avLst/>
                    </a:prstGeom>
                    <a:noFill/>
                    <a:ln w="9525">
                      <a:noFill/>
                      <a:headEnd/>
                      <a:tailEnd/>
                    </a:ln>
                  </pic:spPr>
                </pic:pic>
              </a:graphicData>
            </a:graphic>
          </wp:inline>
        </w:drawing>
      </w:r>
    </w:p>
    <w:p w:rsidR="00467DD9" w:rsidRDefault="00E6182D">
      <w:pPr>
        <w:pStyle w:val="ImageCaption"/>
      </w:pPr>
      <w:r>
        <w:t>Figure 2 A conceptual framework for this study with research questions labeled</w:t>
      </w:r>
    </w:p>
    <w:p w:rsidR="00467DD9" w:rsidRDefault="00E6182D">
      <w:pPr>
        <w:pStyle w:val="BodyText"/>
      </w:pPr>
      <w:r>
        <w:t>There are five aspects of work with data synthesized from past research (i.e., Hancock et al., 1992; Lehrer &amp; Romberg, 1996; Wild &amp; Pfannkuch, 1999):</w:t>
      </w:r>
    </w:p>
    <w:p w:rsidR="00467DD9" w:rsidRDefault="00E6182D">
      <w:pPr>
        <w:pStyle w:val="Compact"/>
        <w:numPr>
          <w:ilvl w:val="0"/>
          <w:numId w:val="4"/>
        </w:numPr>
      </w:pPr>
      <w:r>
        <w:t>Asking questions or identifying problems</w:t>
      </w:r>
    </w:p>
    <w:p w:rsidR="00467DD9" w:rsidRDefault="00E6182D">
      <w:pPr>
        <w:pStyle w:val="Compact"/>
        <w:numPr>
          <w:ilvl w:val="0"/>
          <w:numId w:val="4"/>
        </w:numPr>
      </w:pPr>
      <w:r>
        <w:t>Making observations</w:t>
      </w:r>
    </w:p>
    <w:p w:rsidR="00467DD9" w:rsidRDefault="00E6182D">
      <w:pPr>
        <w:pStyle w:val="Compact"/>
        <w:numPr>
          <w:ilvl w:val="0"/>
          <w:numId w:val="4"/>
        </w:numPr>
      </w:pPr>
      <w:r>
        <w:t>Generating data</w:t>
      </w:r>
    </w:p>
    <w:p w:rsidR="00467DD9" w:rsidRDefault="00E6182D">
      <w:pPr>
        <w:pStyle w:val="Compact"/>
        <w:numPr>
          <w:ilvl w:val="0"/>
          <w:numId w:val="4"/>
        </w:numPr>
      </w:pPr>
      <w:r>
        <w:t>Data modeling</w:t>
      </w:r>
    </w:p>
    <w:p w:rsidR="00467DD9" w:rsidRDefault="00E6182D">
      <w:pPr>
        <w:pStyle w:val="Compact"/>
        <w:numPr>
          <w:ilvl w:val="0"/>
          <w:numId w:val="4"/>
        </w:numPr>
      </w:pPr>
      <w:r>
        <w:t>Interpreting an</w:t>
      </w:r>
      <w:r>
        <w:t>d communicating findings</w:t>
      </w:r>
    </w:p>
    <w:p w:rsidR="00467DD9" w:rsidRDefault="00E6182D">
      <w:pPr>
        <w:pStyle w:val="FirstParagraph"/>
      </w:pPr>
      <w:r>
        <w:lastRenderedPageBreak/>
        <w:t xml:space="preserve">In Figure 2, engagement in work with data is associated with different profiles of engagement and its conditions, referred to as either profiles of engagement and its conditions or profiles in the remainder of this manuscript. The </w:t>
      </w:r>
      <w:r>
        <w:t>theoretical framework for the person-oriented approach suggests that while the dynamics among the individual aspects of engagement emerge in complex and situation-specific ways, it is possible to consider engagement in terms of patterns among its component</w:t>
      </w:r>
      <w:r>
        <w:t>s. In addition, a pre-program measure of learners’ individual interest in STEM is hypothesized to be associated with the profiles and the relations of work with data and the profiles. The ESM responses that make up the profiles are associated with students</w:t>
      </w:r>
      <w:r>
        <w:t>, moments, and program effects that must be accounted for (Strati et al., 2017).</w:t>
      </w:r>
    </w:p>
    <w:p w:rsidR="00467DD9" w:rsidRDefault="00E6182D">
      <w:pPr>
        <w:pStyle w:val="BodyText"/>
      </w:pPr>
      <w:r>
        <w:t>As depicted in the Figure 2, the four research questions are formalized as follows:</w:t>
      </w:r>
    </w:p>
    <w:p w:rsidR="00467DD9" w:rsidRDefault="00E6182D">
      <w:pPr>
        <w:pStyle w:val="Compact"/>
        <w:numPr>
          <w:ilvl w:val="0"/>
          <w:numId w:val="5"/>
        </w:numPr>
      </w:pPr>
      <w:r>
        <w:t>What is the frequency and nature of opportunities for youth to engage in each of the five a</w:t>
      </w:r>
      <w:r>
        <w:t>spects of work with data in summer STEM programs?</w:t>
      </w:r>
    </w:p>
    <w:p w:rsidR="00467DD9" w:rsidRDefault="00E6182D">
      <w:pPr>
        <w:pStyle w:val="Compact"/>
        <w:numPr>
          <w:ilvl w:val="0"/>
          <w:numId w:val="5"/>
        </w:numPr>
      </w:pPr>
      <w:r>
        <w:t>What profiles of youth engagement and its conditions emerge from experiential data collected in the programs?</w:t>
      </w:r>
    </w:p>
    <w:p w:rsidR="00467DD9" w:rsidRDefault="00E6182D">
      <w:pPr>
        <w:pStyle w:val="Compact"/>
        <w:numPr>
          <w:ilvl w:val="0"/>
          <w:numId w:val="5"/>
        </w:numPr>
      </w:pPr>
      <w:r>
        <w:t>How do data practices relate to youth engagement in the programs?</w:t>
      </w:r>
    </w:p>
    <w:p w:rsidR="00467DD9" w:rsidRDefault="00E6182D">
      <w:pPr>
        <w:pStyle w:val="Compact"/>
        <w:numPr>
          <w:ilvl w:val="0"/>
          <w:numId w:val="5"/>
        </w:numPr>
      </w:pPr>
      <w:r>
        <w:t>How do youth characteristics r</w:t>
      </w:r>
      <w:r>
        <w:t>elate to their engagement?</w:t>
      </w:r>
    </w:p>
    <w:p w:rsidR="00467DD9" w:rsidRDefault="00E6182D">
      <w:pPr>
        <w:pStyle w:val="Heading1"/>
      </w:pPr>
      <w:bookmarkStart w:id="11" w:name="method"/>
      <w:bookmarkEnd w:id="11"/>
      <w:r>
        <w:t>Method</w:t>
      </w:r>
    </w:p>
    <w:p w:rsidR="00467DD9" w:rsidRDefault="00E6182D">
      <w:pPr>
        <w:pStyle w:val="FirstParagraph"/>
      </w:pPr>
      <w:r>
        <w:t>In recognition of the challenge of studying engagement in learning environments where factors related to activities, learners, and each of the nine programs all interact at the same time, this study uses a methodological a</w:t>
      </w:r>
      <w:r>
        <w:t>pproach suited to studying engagement as a dynamic, multi-faceted experience. Specifically, this study employs the Experience Sampling Method (ESM; Hektner, Schmidt, &amp; Csikszentmihalyi, 2007) where learners answer short questions about their experience whe</w:t>
      </w:r>
      <w:r>
        <w:t>n signaled. This approach is both sensitive to changes in engagement over time, as well as between learners and allows us to understand engagement and how factors impact it in more nuanced and complex ways (Turner &amp; Meyer, 2000).</w:t>
      </w:r>
    </w:p>
    <w:p w:rsidR="00467DD9" w:rsidRDefault="00E6182D">
      <w:pPr>
        <w:pStyle w:val="Heading2"/>
      </w:pPr>
      <w:bookmarkStart w:id="12" w:name="participants"/>
      <w:bookmarkEnd w:id="12"/>
      <w:r>
        <w:t>Participants</w:t>
      </w:r>
    </w:p>
    <w:p w:rsidR="00467DD9" w:rsidRDefault="00E6182D">
      <w:pPr>
        <w:pStyle w:val="FirstParagraph"/>
      </w:pPr>
      <w:r>
        <w:t xml:space="preserve">Participants </w:t>
      </w:r>
      <w:r>
        <w:t xml:space="preserve">consist of 203 youth. Youth in these programs are from diverse racial and ethnic backgrounds (see Table 1). Most participants are around 13 years old (from youth whose age was available: </w:t>
      </w:r>
      <w:r>
        <w:rPr>
          <w:i/>
        </w:rPr>
        <w:t>M</w:t>
      </w:r>
      <w:r>
        <w:t xml:space="preserve"> = 12.71, </w:t>
      </w:r>
      <w:r>
        <w:rPr>
          <w:i/>
        </w:rPr>
        <w:t>SD</w:t>
      </w:r>
      <w:r>
        <w:t xml:space="preserve"> = 1.70, </w:t>
      </w:r>
      <w:r>
        <w:rPr>
          <w:i/>
        </w:rPr>
        <w:t>min.</w:t>
      </w:r>
      <w:r>
        <w:t xml:space="preserve"> = 10.75, </w:t>
      </w:r>
      <w:r>
        <w:rPr>
          <w:i/>
        </w:rPr>
        <w:t>max.</w:t>
      </w:r>
      <w:r>
        <w:t xml:space="preserve"> = 16.36). Detailed demograph</w:t>
      </w:r>
      <w:r>
        <w:t>ic characteristics of learners are presented in the table.</w:t>
      </w:r>
    </w:p>
    <w:p w:rsidR="00467DD9" w:rsidRDefault="00E6182D">
      <w:pPr>
        <w:pStyle w:val="TableCaption"/>
      </w:pPr>
      <w:r>
        <w:t>Table 1 Demographic characteristics of youth</w:t>
      </w:r>
    </w:p>
    <w:tbl>
      <w:tblPr>
        <w:tblW w:w="0" w:type="pct"/>
        <w:tblLook w:val="07E0" w:firstRow="1" w:lastRow="1" w:firstColumn="1" w:lastColumn="1" w:noHBand="1" w:noVBand="1"/>
        <w:tblCaption w:val="Table 1 Demographic characteristics of youth"/>
      </w:tblPr>
      <w:tblGrid>
        <w:gridCol w:w="3971"/>
        <w:gridCol w:w="1360"/>
      </w:tblGrid>
      <w:tr w:rsidR="00467DD9">
        <w:tc>
          <w:tcPr>
            <w:tcW w:w="0" w:type="auto"/>
            <w:tcBorders>
              <w:bottom w:val="single" w:sz="0" w:space="0" w:color="auto"/>
            </w:tcBorders>
            <w:vAlign w:val="bottom"/>
          </w:tcPr>
          <w:p w:rsidR="00467DD9" w:rsidRDefault="00E6182D">
            <w:pPr>
              <w:pStyle w:val="Compact"/>
            </w:pPr>
            <w:r>
              <w:t>Youth</w:t>
            </w:r>
          </w:p>
        </w:tc>
        <w:tc>
          <w:tcPr>
            <w:tcW w:w="0" w:type="auto"/>
            <w:tcBorders>
              <w:bottom w:val="single" w:sz="0" w:space="0" w:color="auto"/>
            </w:tcBorders>
            <w:vAlign w:val="bottom"/>
          </w:tcPr>
          <w:p w:rsidR="00467DD9" w:rsidRDefault="00E6182D">
            <w:pPr>
              <w:pStyle w:val="Compact"/>
              <w:jc w:val="right"/>
            </w:pPr>
            <w:r>
              <w:t>Percentage</w:t>
            </w:r>
          </w:p>
        </w:tc>
      </w:tr>
      <w:tr w:rsidR="00467DD9">
        <w:tc>
          <w:tcPr>
            <w:tcW w:w="0" w:type="auto"/>
          </w:tcPr>
          <w:p w:rsidR="00467DD9" w:rsidRDefault="00E6182D">
            <w:pPr>
              <w:pStyle w:val="Compact"/>
            </w:pPr>
            <w:r>
              <w:t>Sex</w:t>
            </w:r>
          </w:p>
        </w:tc>
        <w:tc>
          <w:tcPr>
            <w:tcW w:w="0" w:type="auto"/>
          </w:tcPr>
          <w:p w:rsidR="00467DD9" w:rsidRDefault="00467DD9">
            <w:pPr>
              <w:pStyle w:val="Compact"/>
            </w:pPr>
          </w:p>
        </w:tc>
      </w:tr>
      <w:tr w:rsidR="00467DD9">
        <w:tc>
          <w:tcPr>
            <w:tcW w:w="0" w:type="auto"/>
          </w:tcPr>
          <w:p w:rsidR="00467DD9" w:rsidRDefault="00E6182D">
            <w:pPr>
              <w:pStyle w:val="Compact"/>
            </w:pPr>
            <w:r>
              <w:t>Male</w:t>
            </w:r>
          </w:p>
        </w:tc>
        <w:tc>
          <w:tcPr>
            <w:tcW w:w="0" w:type="auto"/>
          </w:tcPr>
          <w:p w:rsidR="00467DD9" w:rsidRDefault="00E6182D">
            <w:pPr>
              <w:pStyle w:val="Compact"/>
              <w:jc w:val="right"/>
            </w:pPr>
            <w:r>
              <w:t>50</w:t>
            </w:r>
          </w:p>
        </w:tc>
      </w:tr>
      <w:tr w:rsidR="00467DD9">
        <w:tc>
          <w:tcPr>
            <w:tcW w:w="0" w:type="auto"/>
          </w:tcPr>
          <w:p w:rsidR="00467DD9" w:rsidRDefault="00E6182D">
            <w:pPr>
              <w:pStyle w:val="Compact"/>
            </w:pPr>
            <w:r>
              <w:t>Female</w:t>
            </w:r>
          </w:p>
        </w:tc>
        <w:tc>
          <w:tcPr>
            <w:tcW w:w="0" w:type="auto"/>
          </w:tcPr>
          <w:p w:rsidR="00467DD9" w:rsidRDefault="00E6182D">
            <w:pPr>
              <w:pStyle w:val="Compact"/>
              <w:jc w:val="right"/>
            </w:pPr>
            <w:r>
              <w:t>50</w:t>
            </w:r>
          </w:p>
        </w:tc>
      </w:tr>
      <w:tr w:rsidR="00467DD9">
        <w:tc>
          <w:tcPr>
            <w:tcW w:w="0" w:type="auto"/>
          </w:tcPr>
          <w:p w:rsidR="00467DD9" w:rsidRDefault="00E6182D">
            <w:pPr>
              <w:pStyle w:val="Compact"/>
            </w:pPr>
            <w:r>
              <w:lastRenderedPageBreak/>
              <w:t>Race/Ethnicity</w:t>
            </w:r>
          </w:p>
        </w:tc>
        <w:tc>
          <w:tcPr>
            <w:tcW w:w="0" w:type="auto"/>
          </w:tcPr>
          <w:p w:rsidR="00467DD9" w:rsidRDefault="00467DD9">
            <w:pPr>
              <w:pStyle w:val="Compact"/>
            </w:pPr>
          </w:p>
        </w:tc>
      </w:tr>
      <w:tr w:rsidR="00467DD9">
        <w:tc>
          <w:tcPr>
            <w:tcW w:w="0" w:type="auto"/>
          </w:tcPr>
          <w:p w:rsidR="00467DD9" w:rsidRDefault="00E6182D">
            <w:pPr>
              <w:pStyle w:val="Compact"/>
            </w:pPr>
            <w:r>
              <w:t>Hispanic</w:t>
            </w:r>
          </w:p>
        </w:tc>
        <w:tc>
          <w:tcPr>
            <w:tcW w:w="0" w:type="auto"/>
          </w:tcPr>
          <w:p w:rsidR="00467DD9" w:rsidRDefault="00E6182D">
            <w:pPr>
              <w:pStyle w:val="Compact"/>
              <w:jc w:val="right"/>
            </w:pPr>
            <w:r>
              <w:t>48</w:t>
            </w:r>
          </w:p>
        </w:tc>
      </w:tr>
      <w:tr w:rsidR="00467DD9">
        <w:tc>
          <w:tcPr>
            <w:tcW w:w="0" w:type="auto"/>
          </w:tcPr>
          <w:p w:rsidR="00467DD9" w:rsidRDefault="00E6182D">
            <w:pPr>
              <w:pStyle w:val="Compact"/>
            </w:pPr>
            <w:r>
              <w:t>White</w:t>
            </w:r>
          </w:p>
        </w:tc>
        <w:tc>
          <w:tcPr>
            <w:tcW w:w="0" w:type="auto"/>
          </w:tcPr>
          <w:p w:rsidR="00467DD9" w:rsidRDefault="00E6182D">
            <w:pPr>
              <w:pStyle w:val="Compact"/>
              <w:jc w:val="right"/>
            </w:pPr>
            <w:r>
              <w:t>6</w:t>
            </w:r>
          </w:p>
        </w:tc>
      </w:tr>
      <w:tr w:rsidR="00467DD9">
        <w:tc>
          <w:tcPr>
            <w:tcW w:w="0" w:type="auto"/>
          </w:tcPr>
          <w:p w:rsidR="00467DD9" w:rsidRDefault="00E6182D">
            <w:pPr>
              <w:pStyle w:val="Compact"/>
            </w:pPr>
            <w:r>
              <w:t>Black</w:t>
            </w:r>
          </w:p>
        </w:tc>
        <w:tc>
          <w:tcPr>
            <w:tcW w:w="0" w:type="auto"/>
          </w:tcPr>
          <w:p w:rsidR="00467DD9" w:rsidRDefault="00E6182D">
            <w:pPr>
              <w:pStyle w:val="Compact"/>
              <w:jc w:val="right"/>
            </w:pPr>
            <w:r>
              <w:t>36</w:t>
            </w:r>
          </w:p>
        </w:tc>
      </w:tr>
      <w:tr w:rsidR="00467DD9">
        <w:tc>
          <w:tcPr>
            <w:tcW w:w="0" w:type="auto"/>
          </w:tcPr>
          <w:p w:rsidR="00467DD9" w:rsidRDefault="00E6182D">
            <w:pPr>
              <w:pStyle w:val="Compact"/>
            </w:pPr>
            <w:r>
              <w:t>Multi-racial</w:t>
            </w:r>
          </w:p>
        </w:tc>
        <w:tc>
          <w:tcPr>
            <w:tcW w:w="0" w:type="auto"/>
          </w:tcPr>
          <w:p w:rsidR="00467DD9" w:rsidRDefault="00E6182D">
            <w:pPr>
              <w:pStyle w:val="Compact"/>
              <w:jc w:val="right"/>
            </w:pPr>
            <w:r>
              <w:t>3</w:t>
            </w:r>
          </w:p>
        </w:tc>
      </w:tr>
      <w:tr w:rsidR="00467DD9">
        <w:tc>
          <w:tcPr>
            <w:tcW w:w="0" w:type="auto"/>
          </w:tcPr>
          <w:p w:rsidR="00467DD9" w:rsidRDefault="00E6182D">
            <w:pPr>
              <w:pStyle w:val="Compact"/>
            </w:pPr>
            <w:r>
              <w:t>Asian/Pacific Islander</w:t>
            </w:r>
          </w:p>
        </w:tc>
        <w:tc>
          <w:tcPr>
            <w:tcW w:w="0" w:type="auto"/>
          </w:tcPr>
          <w:p w:rsidR="00467DD9" w:rsidRDefault="00E6182D">
            <w:pPr>
              <w:pStyle w:val="Compact"/>
              <w:jc w:val="right"/>
            </w:pPr>
            <w:r>
              <w:t>7</w:t>
            </w:r>
          </w:p>
        </w:tc>
      </w:tr>
      <w:tr w:rsidR="00467DD9">
        <w:tc>
          <w:tcPr>
            <w:tcW w:w="0" w:type="auto"/>
          </w:tcPr>
          <w:p w:rsidR="00467DD9" w:rsidRDefault="00E6182D">
            <w:pPr>
              <w:pStyle w:val="Compact"/>
            </w:pPr>
            <w:r>
              <w:t>Parent Education</w:t>
            </w:r>
          </w:p>
        </w:tc>
        <w:tc>
          <w:tcPr>
            <w:tcW w:w="0" w:type="auto"/>
          </w:tcPr>
          <w:p w:rsidR="00467DD9" w:rsidRDefault="00467DD9">
            <w:pPr>
              <w:pStyle w:val="Compact"/>
            </w:pPr>
          </w:p>
        </w:tc>
      </w:tr>
      <w:tr w:rsidR="00467DD9">
        <w:tc>
          <w:tcPr>
            <w:tcW w:w="0" w:type="auto"/>
          </w:tcPr>
          <w:p w:rsidR="00467DD9" w:rsidRDefault="00E6182D">
            <w:pPr>
              <w:pStyle w:val="Compact"/>
            </w:pPr>
            <w:r>
              <w:t>High School or Below</w:t>
            </w:r>
          </w:p>
        </w:tc>
        <w:tc>
          <w:tcPr>
            <w:tcW w:w="0" w:type="auto"/>
          </w:tcPr>
          <w:p w:rsidR="00467DD9" w:rsidRDefault="00E6182D">
            <w:pPr>
              <w:pStyle w:val="Compact"/>
              <w:jc w:val="right"/>
            </w:pPr>
            <w:r>
              <w:t>79</w:t>
            </w:r>
          </w:p>
        </w:tc>
      </w:tr>
      <w:tr w:rsidR="00467DD9">
        <w:tc>
          <w:tcPr>
            <w:tcW w:w="0" w:type="auto"/>
          </w:tcPr>
          <w:p w:rsidR="00467DD9" w:rsidRDefault="00E6182D">
            <w:pPr>
              <w:pStyle w:val="Compact"/>
            </w:pPr>
            <w:r>
              <w:t>Graduated from College (B.A. or B.S.)</w:t>
            </w:r>
          </w:p>
        </w:tc>
        <w:tc>
          <w:tcPr>
            <w:tcW w:w="0" w:type="auto"/>
          </w:tcPr>
          <w:p w:rsidR="00467DD9" w:rsidRDefault="00E6182D">
            <w:pPr>
              <w:pStyle w:val="Compact"/>
              <w:jc w:val="right"/>
            </w:pPr>
            <w:r>
              <w:t>21</w:t>
            </w:r>
          </w:p>
        </w:tc>
      </w:tr>
    </w:tbl>
    <w:p w:rsidR="00467DD9" w:rsidRDefault="00E6182D">
      <w:pPr>
        <w:pStyle w:val="Heading2"/>
      </w:pPr>
      <w:bookmarkStart w:id="13" w:name="context"/>
      <w:bookmarkEnd w:id="13"/>
      <w:r>
        <w:t>Context</w:t>
      </w:r>
    </w:p>
    <w:p w:rsidR="00467DD9" w:rsidRDefault="00E6182D">
      <w:pPr>
        <w:pStyle w:val="FirstParagraph"/>
      </w:pPr>
      <w:r>
        <w:t>The setting for this study is nine out-of-school STEM programs designed around best practices in urban areas in the Northeast United States during the summer of 2015. These are de</w:t>
      </w:r>
      <w:r>
        <w:t>scribed in the appendix with pseudonyms for the program names. Two intermediary organizations contracted by the urban area school districts to administer the summer programs. The two intermediaries were responsible for soliciting and enrolling youth; estab</w:t>
      </w:r>
      <w:r>
        <w:t>lishing guidelines for the design of the programs, and the goals of the programs; and provide training and professional development for the program’s staff. A key difference between the intermediary organizations was that one separated academic and enrichm</w:t>
      </w:r>
      <w:r>
        <w:t xml:space="preserve">ent-related activities, whereas, in another, which was more closely involved in the day-to-day activities of the program, the academic and enrichment components were more integrated, which may have program-specific effects on learners’ engagement. Many of </w:t>
      </w:r>
      <w:r>
        <w:t xml:space="preserve">the programs aim to involve learners in work with data. These learning environments bring together youth activity leaders, educators, and those with technical expertise in STEM domains. Youth spent around three hours per day for four days per week for the </w:t>
      </w:r>
      <w:r>
        <w:t>approximately four-week programs, which were taught by youth activity leaders and scientists, engineers, and other community members with technical expertise.</w:t>
      </w:r>
    </w:p>
    <w:p w:rsidR="00467DD9" w:rsidRDefault="00E6182D">
      <w:pPr>
        <w:pStyle w:val="Heading2"/>
      </w:pPr>
      <w:bookmarkStart w:id="14" w:name="procedure"/>
      <w:bookmarkEnd w:id="14"/>
      <w:r>
        <w:t>Procedure</w:t>
      </w:r>
    </w:p>
    <w:p w:rsidR="00467DD9" w:rsidRDefault="00E6182D">
      <w:pPr>
        <w:pStyle w:val="FirstParagraph"/>
      </w:pPr>
      <w:r>
        <w:t>Youth completed a pre-survey before the program. Youth also completed pre-course surveys of their experience in STEM, intention to pursue a STEM major or career, and questions for other motivation and engagement-related measures. At the beginning of the pr</w:t>
      </w:r>
      <w:r>
        <w:t>ograms, youth were introduced to the study and the phones used for data collection related to the ESM. ESM data were collected two days each week, for three weeks (weeks 2-4 of the program). In all of the programs, about equal video-recording time was dedi</w:t>
      </w:r>
      <w:r>
        <w:t>cated to classroom and field experiences. This detail is important because programs associated with one of the intermediaries rotated between classroom and field experience days, while the other used the first half of each day for one (i.e., classroom acti</w:t>
      </w:r>
      <w:r>
        <w:t>vities) or the other (i.e., field experience days).</w:t>
      </w:r>
    </w:p>
    <w:p w:rsidR="00467DD9" w:rsidRDefault="00E6182D">
      <w:pPr>
        <w:pStyle w:val="BodyText"/>
      </w:pPr>
      <w:r>
        <w:t xml:space="preserve">Each day, youth were signaled four times. These signals were at the same time for all of the youth within their program, but at different times between programs and between days </w:t>
      </w:r>
      <w:r>
        <w:lastRenderedPageBreak/>
        <w:t xml:space="preserve">within programs (with the </w:t>
      </w:r>
      <w:r>
        <w:t>constraint that no two signals could occur less than ten minutes apart). All of the programs were video-recorded by research team members and on three occasions research team members also recorded detailed field notes on the nature of program activities. S</w:t>
      </w:r>
      <w:r>
        <w:t>o that measures corresponding to the video and ESM data can be matched, videos include a signal from the video-recorder identifying the ESM signal to which youth responded at that point in the video.</w:t>
      </w:r>
    </w:p>
    <w:p w:rsidR="00467DD9" w:rsidRDefault="00E6182D">
      <w:pPr>
        <w:pStyle w:val="BodyText"/>
      </w:pPr>
      <w:r>
        <w:t>In a reflection of the dynamic conceptualization of enga</w:t>
      </w:r>
      <w:r>
        <w:t>gement, this study uses data collected from ESM. As such, learners are prompted at regular intervals to respond to short questions about their perceptions of their engagement and its influencers. Though time-consuming to carry out, ESM can be a powerful me</w:t>
      </w:r>
      <w:r>
        <w:t>asure that leverages the benefits of both observational and self-report measures, allowing for some ecological validity and the use of closed-form questionnaires amenable to quantitative analysis (Csikszentmihalyi &amp; Larson, 1987). Despite the logistic chal</w:t>
      </w:r>
      <w:r>
        <w:t xml:space="preserve">lenge of carrying out ESM in large studies, some scholars have referred to it as the “gold standard” for understanding individual’s subjective experience (Schwarz, Kahneman, &amp; Xu, 2009). This approach has the benefit of measuring learners’ engagement at a </w:t>
      </w:r>
      <w:r>
        <w:t>fine grain-size: Changes in the activity on learners’ engagement, even within the same session of the program, and changes in how influencers of engagement impact engagement and how the activity may relate to engagement, can be measured.</w:t>
      </w:r>
    </w:p>
    <w:p w:rsidR="00467DD9" w:rsidRDefault="00E6182D">
      <w:pPr>
        <w:pStyle w:val="Heading2"/>
      </w:pPr>
      <w:bookmarkStart w:id="15" w:name="data-sources-and-measures"/>
      <w:bookmarkEnd w:id="15"/>
      <w:r>
        <w:t>Data Sources and M</w:t>
      </w:r>
      <w:r>
        <w:t>easures</w:t>
      </w:r>
    </w:p>
    <w:p w:rsidR="00467DD9" w:rsidRDefault="00E6182D">
      <w:pPr>
        <w:pStyle w:val="FirstParagraph"/>
      </w:pPr>
      <w:r>
        <w:t>Data sources consist of self-reported ESM measures of engagement and learners’ perceptions of themselves and the activity, pre-survey measures of youths’ interest, youths’ demographic information, and video-recordings of programs.</w:t>
      </w:r>
    </w:p>
    <w:p w:rsidR="00467DD9" w:rsidRDefault="00E6182D">
      <w:pPr>
        <w:pStyle w:val="Heading3"/>
      </w:pPr>
      <w:bookmarkStart w:id="16" w:name="esm-measures-of-learners-engagement-and-"/>
      <w:bookmarkEnd w:id="16"/>
      <w:r>
        <w:t>ESM measures of l</w:t>
      </w:r>
      <w:r>
        <w:t>earners’ engagement and its conditions for the profiles</w:t>
      </w:r>
    </w:p>
    <w:p w:rsidR="00467DD9" w:rsidRDefault="00E6182D">
      <w:pPr>
        <w:pStyle w:val="FirstParagraph"/>
      </w:pPr>
      <w:r>
        <w:t>Measures for engagement and its conditions were constructed from three ESM responses for engagement and two ESM responses for the conditions of engagement. The three variables for engagement are for l</w:t>
      </w:r>
      <w:r>
        <w:t>earning (for the cognitive engagement construct), working hard (for behavioral engagement), and enjoying (for affective engagement). The variables for the conditions are for perceived challenge and perceived competence. All five items are used to construct</w:t>
      </w:r>
      <w:r>
        <w:t xml:space="preserve"> profiles. Each of the ESM items consisted of the item text and the following four item response options, of which youth were directed to select one: Not at all (associated with the number 1 on the survey), A little (2), Somewhat (3), and Very Much (4), as</w:t>
      </w:r>
      <w:r>
        <w:t xml:space="preserve"> presented in Table 3.</w:t>
      </w:r>
    </w:p>
    <w:p w:rsidR="00467DD9" w:rsidRDefault="00E6182D">
      <w:pPr>
        <w:pStyle w:val="TableCaption"/>
      </w:pPr>
      <w:r>
        <w:t>Table 2 ESM measures for profiles of engagement and its conditions</w:t>
      </w:r>
    </w:p>
    <w:tbl>
      <w:tblPr>
        <w:tblW w:w="0" w:type="pct"/>
        <w:tblLook w:val="07E0" w:firstRow="1" w:lastRow="1" w:firstColumn="1" w:lastColumn="1" w:noHBand="1" w:noVBand="1"/>
        <w:tblCaption w:val="Table 2 ESM measures for profiles of engagement and its conditions"/>
      </w:tblPr>
      <w:tblGrid>
        <w:gridCol w:w="2413"/>
        <w:gridCol w:w="7163"/>
      </w:tblGrid>
      <w:tr w:rsidR="00467DD9">
        <w:tc>
          <w:tcPr>
            <w:tcW w:w="0" w:type="auto"/>
            <w:tcBorders>
              <w:bottom w:val="single" w:sz="0" w:space="0" w:color="auto"/>
            </w:tcBorders>
            <w:vAlign w:val="bottom"/>
          </w:tcPr>
          <w:p w:rsidR="00467DD9" w:rsidRDefault="00E6182D">
            <w:pPr>
              <w:pStyle w:val="Compact"/>
            </w:pPr>
            <w:r>
              <w:t>Construct</w:t>
            </w:r>
          </w:p>
        </w:tc>
        <w:tc>
          <w:tcPr>
            <w:tcW w:w="0" w:type="auto"/>
            <w:tcBorders>
              <w:bottom w:val="single" w:sz="0" w:space="0" w:color="auto"/>
            </w:tcBorders>
            <w:vAlign w:val="bottom"/>
          </w:tcPr>
          <w:p w:rsidR="00467DD9" w:rsidRDefault="00E6182D">
            <w:pPr>
              <w:pStyle w:val="Compact"/>
            </w:pPr>
            <w:r>
              <w:t>Item.text</w:t>
            </w:r>
          </w:p>
        </w:tc>
      </w:tr>
      <w:tr w:rsidR="00467DD9">
        <w:tc>
          <w:tcPr>
            <w:tcW w:w="0" w:type="auto"/>
          </w:tcPr>
          <w:p w:rsidR="00467DD9" w:rsidRDefault="00E6182D">
            <w:pPr>
              <w:pStyle w:val="Compact"/>
            </w:pPr>
            <w:r>
              <w:t>Cognitive engagement</w:t>
            </w:r>
          </w:p>
        </w:tc>
        <w:tc>
          <w:tcPr>
            <w:tcW w:w="0" w:type="auto"/>
          </w:tcPr>
          <w:p w:rsidR="00467DD9" w:rsidRDefault="00E6182D">
            <w:pPr>
              <w:pStyle w:val="Compact"/>
            </w:pPr>
            <w:r>
              <w:t>As you were signaled, were you learning anything or getting better at something?</w:t>
            </w:r>
          </w:p>
        </w:tc>
      </w:tr>
      <w:tr w:rsidR="00467DD9">
        <w:tc>
          <w:tcPr>
            <w:tcW w:w="0" w:type="auto"/>
          </w:tcPr>
          <w:p w:rsidR="00467DD9" w:rsidRDefault="00E6182D">
            <w:pPr>
              <w:pStyle w:val="Compact"/>
            </w:pPr>
            <w:r>
              <w:t>Behavioral engagement</w:t>
            </w:r>
          </w:p>
        </w:tc>
        <w:tc>
          <w:tcPr>
            <w:tcW w:w="0" w:type="auto"/>
          </w:tcPr>
          <w:p w:rsidR="00467DD9" w:rsidRDefault="00E6182D">
            <w:pPr>
              <w:pStyle w:val="Compact"/>
            </w:pPr>
            <w:r>
              <w:t>As you were signaled</w:t>
            </w:r>
            <w:r>
              <w:t>, how hard were you working?</w:t>
            </w:r>
          </w:p>
        </w:tc>
      </w:tr>
      <w:tr w:rsidR="00467DD9">
        <w:tc>
          <w:tcPr>
            <w:tcW w:w="0" w:type="auto"/>
          </w:tcPr>
          <w:p w:rsidR="00467DD9" w:rsidRDefault="00E6182D">
            <w:pPr>
              <w:pStyle w:val="Compact"/>
            </w:pPr>
            <w:r>
              <w:t xml:space="preserve">Affective </w:t>
            </w:r>
            <w:r>
              <w:lastRenderedPageBreak/>
              <w:t>engagement</w:t>
            </w:r>
          </w:p>
        </w:tc>
        <w:tc>
          <w:tcPr>
            <w:tcW w:w="0" w:type="auto"/>
          </w:tcPr>
          <w:p w:rsidR="00467DD9" w:rsidRDefault="00E6182D">
            <w:pPr>
              <w:pStyle w:val="Compact"/>
            </w:pPr>
            <w:r>
              <w:lastRenderedPageBreak/>
              <w:t>As you were signaled, did you enjoy what you are doing?</w:t>
            </w:r>
          </w:p>
        </w:tc>
      </w:tr>
      <w:tr w:rsidR="00467DD9">
        <w:tc>
          <w:tcPr>
            <w:tcW w:w="0" w:type="auto"/>
          </w:tcPr>
          <w:p w:rsidR="00467DD9" w:rsidRDefault="00E6182D">
            <w:pPr>
              <w:pStyle w:val="Compact"/>
            </w:pPr>
            <w:r>
              <w:t>Perceived challenge</w:t>
            </w:r>
          </w:p>
        </w:tc>
        <w:tc>
          <w:tcPr>
            <w:tcW w:w="0" w:type="auto"/>
          </w:tcPr>
          <w:p w:rsidR="00467DD9" w:rsidRDefault="00E6182D">
            <w:pPr>
              <w:pStyle w:val="Compact"/>
            </w:pPr>
            <w:r>
              <w:t>As you were signaled, how challenging was the main activity?</w:t>
            </w:r>
          </w:p>
        </w:tc>
      </w:tr>
      <w:tr w:rsidR="00467DD9">
        <w:tc>
          <w:tcPr>
            <w:tcW w:w="0" w:type="auto"/>
          </w:tcPr>
          <w:p w:rsidR="00467DD9" w:rsidRDefault="00E6182D">
            <w:pPr>
              <w:pStyle w:val="Compact"/>
            </w:pPr>
            <w:r>
              <w:t>Perceived competence</w:t>
            </w:r>
          </w:p>
        </w:tc>
        <w:tc>
          <w:tcPr>
            <w:tcW w:w="0" w:type="auto"/>
          </w:tcPr>
          <w:p w:rsidR="00467DD9" w:rsidRDefault="00E6182D">
            <w:pPr>
              <w:pStyle w:val="Compact"/>
            </w:pPr>
            <w:r>
              <w:t>As you were signaled, were you good at the main activity?</w:t>
            </w:r>
          </w:p>
        </w:tc>
      </w:tr>
    </w:tbl>
    <w:p w:rsidR="00467DD9" w:rsidRDefault="00E6182D">
      <w:pPr>
        <w:pStyle w:val="Heading3"/>
      </w:pPr>
      <w:bookmarkStart w:id="17" w:name="survey-measures-of-pre-interest"/>
      <w:bookmarkEnd w:id="17"/>
      <w:r>
        <w:t>Survey measures of pre-interest</w:t>
      </w:r>
    </w:p>
    <w:p w:rsidR="00467DD9" w:rsidRDefault="00E6182D">
      <w:pPr>
        <w:pStyle w:val="FirstParagraph"/>
      </w:pPr>
      <w:r>
        <w:t>Measures of youths’ pre-interest are used as youth-level influencers of the profiles. In particular, three items adapted from Vandell, Hall, O’Cadiz, and Karsh (2012</w:t>
      </w:r>
      <w:r>
        <w:t>) were used, with directions for youth to rate their agreement with the items’ text using the same scale as the ESM items: Not at all (associated with the number 1 on the survey), A little (2), Somewhat (3), and Very Much (4). The measure was constructed b</w:t>
      </w:r>
      <w:r>
        <w:t>y taking the maximum value for the scales for the different content areas (science, mathematics, and engineering), so that the value for a youth whose response for the science scale was 2.5 and for the mathematics scale was 2.75 would be 2.5. The items are</w:t>
      </w:r>
      <w:r>
        <w:t xml:space="preserve"> presented in Table 4.</w:t>
      </w:r>
    </w:p>
    <w:p w:rsidR="00467DD9" w:rsidRDefault="00E6182D">
      <w:pPr>
        <w:pStyle w:val="TableCaption"/>
      </w:pPr>
      <w:r>
        <w:t>Table 3 Measure for pre-program interest in STEM</w:t>
      </w:r>
    </w:p>
    <w:tbl>
      <w:tblPr>
        <w:tblW w:w="0" w:type="pct"/>
        <w:tblLook w:val="07E0" w:firstRow="1" w:lastRow="1" w:firstColumn="1" w:lastColumn="1" w:noHBand="1" w:noVBand="1"/>
        <w:tblCaption w:val="Table 3 Measure for pre-program interest in STEM"/>
      </w:tblPr>
      <w:tblGrid>
        <w:gridCol w:w="2816"/>
        <w:gridCol w:w="6760"/>
      </w:tblGrid>
      <w:tr w:rsidR="00467DD9">
        <w:tc>
          <w:tcPr>
            <w:tcW w:w="0" w:type="auto"/>
            <w:tcBorders>
              <w:bottom w:val="single" w:sz="0" w:space="0" w:color="auto"/>
            </w:tcBorders>
            <w:vAlign w:val="bottom"/>
          </w:tcPr>
          <w:p w:rsidR="00467DD9" w:rsidRDefault="00E6182D">
            <w:pPr>
              <w:pStyle w:val="Compact"/>
            </w:pPr>
            <w:r>
              <w:t>Construct</w:t>
            </w:r>
          </w:p>
        </w:tc>
        <w:tc>
          <w:tcPr>
            <w:tcW w:w="0" w:type="auto"/>
            <w:tcBorders>
              <w:bottom w:val="single" w:sz="0" w:space="0" w:color="auto"/>
            </w:tcBorders>
            <w:vAlign w:val="bottom"/>
          </w:tcPr>
          <w:p w:rsidR="00467DD9" w:rsidRDefault="00E6182D">
            <w:pPr>
              <w:pStyle w:val="Compact"/>
            </w:pPr>
            <w:r>
              <w:t>Items.text</w:t>
            </w:r>
          </w:p>
        </w:tc>
      </w:tr>
      <w:tr w:rsidR="00467DD9">
        <w:tc>
          <w:tcPr>
            <w:tcW w:w="0" w:type="auto"/>
          </w:tcPr>
          <w:p w:rsidR="00467DD9" w:rsidRDefault="00E6182D">
            <w:pPr>
              <w:pStyle w:val="Compact"/>
            </w:pPr>
            <w:r>
              <w:t>Individual interest in STEM</w:t>
            </w:r>
          </w:p>
        </w:tc>
        <w:tc>
          <w:tcPr>
            <w:tcW w:w="0" w:type="auto"/>
          </w:tcPr>
          <w:p w:rsidR="00467DD9" w:rsidRDefault="00E6182D">
            <w:pPr>
              <w:pStyle w:val="Compact"/>
            </w:pPr>
            <w:r>
              <w:t>I am interested in science / mathematics / engineering.</w:t>
            </w:r>
          </w:p>
        </w:tc>
      </w:tr>
      <w:tr w:rsidR="00467DD9">
        <w:tc>
          <w:tcPr>
            <w:tcW w:w="0" w:type="auto"/>
          </w:tcPr>
          <w:p w:rsidR="00467DD9" w:rsidRDefault="00467DD9">
            <w:pPr>
              <w:pStyle w:val="Compact"/>
            </w:pPr>
          </w:p>
        </w:tc>
        <w:tc>
          <w:tcPr>
            <w:tcW w:w="0" w:type="auto"/>
          </w:tcPr>
          <w:p w:rsidR="00467DD9" w:rsidRDefault="00E6182D">
            <w:pPr>
              <w:pStyle w:val="Compact"/>
            </w:pPr>
            <w:r>
              <w:t>At school, science / mathematics / engineering is fun</w:t>
            </w:r>
          </w:p>
        </w:tc>
      </w:tr>
      <w:tr w:rsidR="00467DD9">
        <w:tc>
          <w:tcPr>
            <w:tcW w:w="0" w:type="auto"/>
          </w:tcPr>
          <w:p w:rsidR="00467DD9" w:rsidRDefault="00467DD9">
            <w:pPr>
              <w:pStyle w:val="Compact"/>
            </w:pPr>
          </w:p>
        </w:tc>
        <w:tc>
          <w:tcPr>
            <w:tcW w:w="0" w:type="auto"/>
          </w:tcPr>
          <w:p w:rsidR="00467DD9" w:rsidRDefault="00E6182D">
            <w:pPr>
              <w:pStyle w:val="Compact"/>
            </w:pPr>
            <w:r>
              <w:t>I have always been fascinated by science / mathematics / engineering)</w:t>
            </w:r>
          </w:p>
        </w:tc>
      </w:tr>
    </w:tbl>
    <w:p w:rsidR="00467DD9" w:rsidRDefault="00E6182D">
      <w:pPr>
        <w:pStyle w:val="Heading3"/>
      </w:pPr>
      <w:bookmarkStart w:id="18" w:name="codes-from-video-recordings-for-work-wit"/>
      <w:bookmarkEnd w:id="18"/>
      <w:r>
        <w:t>Codes from video-recordings for work with data</w:t>
      </w:r>
    </w:p>
    <w:p w:rsidR="00467DD9" w:rsidRDefault="00E6182D">
      <w:pPr>
        <w:pStyle w:val="FirstParagraph"/>
      </w:pPr>
      <w:r>
        <w:t xml:space="preserve">Different aspects of work with data are identified from video-recordings with the use of a coding frame with five for each of the aspects </w:t>
      </w:r>
      <w:r>
        <w:t>of work with data. These codes are developed from the STEM-Program Quality Assessment (STEM-PQA; Forum for Youth Investment, 2012), an assessment of quality programming in after school programs. For the PQA, raters contracted by American Institute of Resea</w:t>
      </w:r>
      <w:r>
        <w:t>rch (AIR) were trained in the use of the PQA measure during February, 2017. Raters completed a four-hour online training module on the overall PQA tool and then attended an in-person two-day training led by a trainer from the David P. Weikart Center for Yo</w:t>
      </w:r>
      <w:r>
        <w:t>uth Program Quality, the tool’s publisher, where they learned about the instrument, trained on its use, and then established inter-rater reliability with a master coder. For the STEM-PQA, three of the same raters contracted by AIR to overall PQA measure us</w:t>
      </w:r>
      <w:r>
        <w:t xml:space="preserve">ed the STEM-PQA scored one video segment, for which there were no disagreements on scoring across the four raters on any items. If any of the raters encountered into a situation that was difficult to score, they would all discuss the issue by telephone or </w:t>
      </w:r>
      <w:r>
        <w:t>more often by email after viewing the video in question and reach a consensus on how to score the specific item. Programs were divided up among all of the raters, so raters coded some of the videos for all of the programs.</w:t>
      </w:r>
    </w:p>
    <w:p w:rsidR="00467DD9" w:rsidRDefault="00E6182D">
      <w:pPr>
        <w:pStyle w:val="BodyText"/>
      </w:pPr>
      <w:r>
        <w:t>Specific details on how the measu</w:t>
      </w:r>
      <w:r>
        <w:t>re aligns with the original STEM-PQA on which this measure is based are presented in the appendix.</w:t>
      </w:r>
    </w:p>
    <w:p w:rsidR="00467DD9" w:rsidRDefault="00E6182D">
      <w:pPr>
        <w:pStyle w:val="TableCaption"/>
      </w:pPr>
      <w:r>
        <w:lastRenderedPageBreak/>
        <w:t>Table 4 Coding Frame for Work With Data</w:t>
      </w:r>
    </w:p>
    <w:tbl>
      <w:tblPr>
        <w:tblW w:w="0" w:type="pct"/>
        <w:tblLook w:val="07E0" w:firstRow="1" w:lastRow="1" w:firstColumn="1" w:lastColumn="1" w:noHBand="1" w:noVBand="1"/>
        <w:tblCaption w:val="Table 4 Coding Frame for Work With Data"/>
      </w:tblPr>
      <w:tblGrid>
        <w:gridCol w:w="2868"/>
        <w:gridCol w:w="6708"/>
      </w:tblGrid>
      <w:tr w:rsidR="00467DD9">
        <w:tc>
          <w:tcPr>
            <w:tcW w:w="0" w:type="auto"/>
            <w:tcBorders>
              <w:bottom w:val="single" w:sz="0" w:space="0" w:color="auto"/>
            </w:tcBorders>
            <w:vAlign w:val="bottom"/>
          </w:tcPr>
          <w:p w:rsidR="00467DD9" w:rsidRDefault="00E6182D">
            <w:pPr>
              <w:pStyle w:val="Compact"/>
            </w:pPr>
            <w:r>
              <w:t>Code</w:t>
            </w:r>
          </w:p>
        </w:tc>
        <w:tc>
          <w:tcPr>
            <w:tcW w:w="0" w:type="auto"/>
            <w:tcBorders>
              <w:bottom w:val="single" w:sz="0" w:space="0" w:color="auto"/>
            </w:tcBorders>
            <w:vAlign w:val="bottom"/>
          </w:tcPr>
          <w:p w:rsidR="00467DD9" w:rsidRDefault="00E6182D">
            <w:pPr>
              <w:pStyle w:val="Compact"/>
            </w:pPr>
            <w:r>
              <w:t>Description</w:t>
            </w:r>
          </w:p>
        </w:tc>
      </w:tr>
      <w:tr w:rsidR="00467DD9">
        <w:tc>
          <w:tcPr>
            <w:tcW w:w="0" w:type="auto"/>
          </w:tcPr>
          <w:p w:rsidR="00467DD9" w:rsidRDefault="00E6182D">
            <w:pPr>
              <w:pStyle w:val="Compact"/>
            </w:pPr>
            <w:r>
              <w:t>Asking questions or defining problems</w:t>
            </w:r>
          </w:p>
        </w:tc>
        <w:tc>
          <w:tcPr>
            <w:tcW w:w="0" w:type="auto"/>
          </w:tcPr>
          <w:p w:rsidR="00467DD9" w:rsidRDefault="00E6182D">
            <w:pPr>
              <w:pStyle w:val="Compact"/>
            </w:pPr>
            <w:r>
              <w:t>Discussing and exploring topics to investigate and pose quest</w:t>
            </w:r>
            <w:r>
              <w:t>ions.</w:t>
            </w:r>
          </w:p>
        </w:tc>
      </w:tr>
      <w:tr w:rsidR="00467DD9">
        <w:tc>
          <w:tcPr>
            <w:tcW w:w="0" w:type="auto"/>
          </w:tcPr>
          <w:p w:rsidR="00467DD9" w:rsidRDefault="00E6182D">
            <w:pPr>
              <w:pStyle w:val="Compact"/>
            </w:pPr>
            <w:r>
              <w:t>Making observations</w:t>
            </w:r>
          </w:p>
        </w:tc>
        <w:tc>
          <w:tcPr>
            <w:tcW w:w="0" w:type="auto"/>
          </w:tcPr>
          <w:p w:rsidR="00467DD9" w:rsidRDefault="00E6182D">
            <w:pPr>
              <w:pStyle w:val="Compact"/>
            </w:pPr>
            <w:r>
              <w:t>Watching and noticing what is happening with respect to the phenomena or problem being investigated.</w:t>
            </w:r>
          </w:p>
        </w:tc>
      </w:tr>
      <w:tr w:rsidR="00467DD9">
        <w:tc>
          <w:tcPr>
            <w:tcW w:w="0" w:type="auto"/>
          </w:tcPr>
          <w:p w:rsidR="00467DD9" w:rsidRDefault="00E6182D">
            <w:pPr>
              <w:pStyle w:val="Compact"/>
            </w:pPr>
            <w:r>
              <w:t>Generating data</w:t>
            </w:r>
          </w:p>
        </w:tc>
        <w:tc>
          <w:tcPr>
            <w:tcW w:w="0" w:type="auto"/>
          </w:tcPr>
          <w:p w:rsidR="00467DD9" w:rsidRDefault="00E6182D">
            <w:pPr>
              <w:pStyle w:val="Compact"/>
            </w:pPr>
            <w:r>
              <w:t>Figuring out how or why to inscribe an observation as data and generating coding frames or measurement tools.</w:t>
            </w:r>
          </w:p>
        </w:tc>
      </w:tr>
    </w:tbl>
    <w:p w:rsidR="00467DD9" w:rsidRDefault="00E6182D">
      <w:pPr>
        <w:pStyle w:val="BodyText"/>
      </w:pPr>
      <w:r>
        <w:t>Data modeling Understanding and explaining phenomena using models of the data that account for variability or uncertainty.</w:t>
      </w:r>
      <w:r>
        <w:br/>
        <w:t>Interpreting and communicating findings Discussing and sharing and presenting findings.</w:t>
      </w:r>
    </w:p>
    <w:p w:rsidR="00467DD9" w:rsidRDefault="00E6182D">
      <w:pPr>
        <w:pStyle w:val="Heading3"/>
      </w:pPr>
      <w:bookmarkStart w:id="19" w:name="demographic-variables-used"/>
      <w:bookmarkEnd w:id="19"/>
      <w:r>
        <w:t>Demographic variables used</w:t>
      </w:r>
    </w:p>
    <w:p w:rsidR="00467DD9" w:rsidRDefault="00E6182D">
      <w:pPr>
        <w:pStyle w:val="FirstParagraph"/>
      </w:pPr>
      <w:r>
        <w:t>In addition to the measures described in this section, demographic information for youths’ gender and their racial and ethnic group are used to construct demographic variables for gender and membership in an under-represented (in STEM) group; membership in</w:t>
      </w:r>
      <w:r>
        <w:t xml:space="preserve"> an under-represented group are identified on the basis of youths’ racial and ethnic group being Hispanic, African American, Asian or Pacific Islanders, or native American.</w:t>
      </w:r>
    </w:p>
    <w:p w:rsidR="00467DD9" w:rsidRDefault="00E6182D">
      <w:pPr>
        <w:pStyle w:val="Heading2"/>
      </w:pPr>
      <w:bookmarkStart w:id="20" w:name="data-analysis"/>
      <w:bookmarkEnd w:id="20"/>
      <w:r>
        <w:t>Data Analysis</w:t>
      </w:r>
    </w:p>
    <w:p w:rsidR="00467DD9" w:rsidRDefault="00E6182D">
      <w:pPr>
        <w:pStyle w:val="FirstParagraph"/>
      </w:pPr>
      <w:r>
        <w:t>The steps for both preliminary and the primary analyses are described</w:t>
      </w:r>
      <w:r>
        <w:t xml:space="preserve"> in this section.</w:t>
      </w:r>
    </w:p>
    <w:p w:rsidR="00467DD9" w:rsidRDefault="00E6182D">
      <w:pPr>
        <w:pStyle w:val="Heading3"/>
      </w:pPr>
      <w:bookmarkStart w:id="21" w:name="preliminary-analyses"/>
      <w:bookmarkEnd w:id="21"/>
      <w:r>
        <w:t>Preliminary analyses</w:t>
      </w:r>
    </w:p>
    <w:p w:rsidR="00467DD9" w:rsidRDefault="00E6182D">
      <w:pPr>
        <w:pStyle w:val="FirstParagraph"/>
      </w:pPr>
      <w:r>
        <w:t xml:space="preserve">First-order Pearson correlations and the frequency, range, mean, and standard deviations are first examined for all variables. In addition, the frequency of the codes for aspects of work with data, and the numbers of </w:t>
      </w:r>
      <w:r>
        <w:t>responses by youth, program, and moment are examined.</w:t>
      </w:r>
    </w:p>
    <w:p w:rsidR="00467DD9" w:rsidRDefault="00E6182D">
      <w:pPr>
        <w:pStyle w:val="Heading3"/>
      </w:pPr>
      <w:bookmarkStart w:id="22" w:name="analysis-for-research-question-1-on-the-"/>
      <w:bookmarkEnd w:id="22"/>
      <w:r>
        <w:t>Analysis for Research Question #1 (on the frequency and nature of work with data)</w:t>
      </w:r>
    </w:p>
    <w:p w:rsidR="00467DD9" w:rsidRDefault="00E6182D">
      <w:pPr>
        <w:pStyle w:val="FirstParagraph"/>
      </w:pPr>
      <w:r>
        <w:t>First, the frequency of the codes for the individual aspects of work with data from the PQA measure of work with data (d</w:t>
      </w:r>
      <w:r>
        <w:t>escribed above), and the composite for work with data, which was simply the sum of the codes for the individual aspects of work with data, are calculated. Then, to present a qualitative description, all of the segments were coded, moments associated with s</w:t>
      </w:r>
      <w:r>
        <w:t>pecific codes were identified and used to provide examples for each of the aspects of work with data.</w:t>
      </w:r>
    </w:p>
    <w:p w:rsidR="00467DD9" w:rsidRDefault="00E6182D">
      <w:pPr>
        <w:pStyle w:val="BodyText"/>
      </w:pPr>
      <w:r>
        <w:t xml:space="preserve">To code the data, three research assistants were trained for approximately eight hours over four meetings. Then, each research assistant coded all of the </w:t>
      </w:r>
      <w:r>
        <w:t>segments associated with one of the videos. The guiding questions for the qualitative coding were as follows:</w:t>
      </w:r>
    </w:p>
    <w:p w:rsidR="00467DD9" w:rsidRDefault="00E6182D">
      <w:pPr>
        <w:pStyle w:val="Compact"/>
        <w:numPr>
          <w:ilvl w:val="0"/>
          <w:numId w:val="6"/>
        </w:numPr>
      </w:pPr>
      <w:r>
        <w:t>What are youth doing?</w:t>
      </w:r>
    </w:p>
    <w:p w:rsidR="00467DD9" w:rsidRDefault="00E6182D">
      <w:pPr>
        <w:pStyle w:val="Compact"/>
        <w:numPr>
          <w:ilvl w:val="0"/>
          <w:numId w:val="6"/>
        </w:numPr>
      </w:pPr>
      <w:r>
        <w:lastRenderedPageBreak/>
        <w:t xml:space="preserve">When asking questions or defining problems is coded, what, if any are the questions or problems? Who is asking the question </w:t>
      </w:r>
      <w:r>
        <w:t>(i.e teacher or student)</w:t>
      </w:r>
    </w:p>
    <w:p w:rsidR="00467DD9" w:rsidRDefault="00E6182D">
      <w:pPr>
        <w:pStyle w:val="Compact"/>
        <w:numPr>
          <w:ilvl w:val="0"/>
          <w:numId w:val="6"/>
        </w:numPr>
      </w:pPr>
      <w:r>
        <w:t>When making observations is coded, what are youth doing?</w:t>
      </w:r>
    </w:p>
    <w:p w:rsidR="00467DD9" w:rsidRDefault="00E6182D">
      <w:pPr>
        <w:pStyle w:val="Compact"/>
        <w:numPr>
          <w:ilvl w:val="0"/>
          <w:numId w:val="6"/>
        </w:numPr>
      </w:pPr>
      <w:r>
        <w:t>When generating data is coded, how, if they are, are youth collecting or recording data?</w:t>
      </w:r>
    </w:p>
    <w:p w:rsidR="00467DD9" w:rsidRDefault="00E6182D">
      <w:pPr>
        <w:pStyle w:val="Compact"/>
        <w:numPr>
          <w:ilvl w:val="0"/>
          <w:numId w:val="6"/>
        </w:numPr>
      </w:pPr>
      <w:r>
        <w:t>When analyzing or modeling data is coded, what analysis are they doing, or what model</w:t>
      </w:r>
      <w:r>
        <w:t>s are they using? Are they talking about variability or uncertainty? If so, how?</w:t>
      </w:r>
    </w:p>
    <w:p w:rsidR="00467DD9" w:rsidRDefault="00E6182D">
      <w:pPr>
        <w:pStyle w:val="Compact"/>
        <w:numPr>
          <w:ilvl w:val="0"/>
          <w:numId w:val="6"/>
        </w:numPr>
      </w:pPr>
      <w:r>
        <w:t>When interpreting and communicating findings is coded, what are youth interpreting or how are they communicating?</w:t>
      </w:r>
    </w:p>
    <w:p w:rsidR="00467DD9" w:rsidRDefault="00E6182D">
      <w:pPr>
        <w:pStyle w:val="Compact"/>
        <w:numPr>
          <w:ilvl w:val="0"/>
          <w:numId w:val="6"/>
        </w:numPr>
      </w:pPr>
      <w:r>
        <w:t>Is there a phenomena being studied or a problem being investi</w:t>
      </w:r>
      <w:r>
        <w:t>gated? If so, what is the phenomena being studied or problem being investigated?</w:t>
      </w:r>
    </w:p>
    <w:p w:rsidR="00467DD9" w:rsidRDefault="00E6182D">
      <w:pPr>
        <w:pStyle w:val="Compact"/>
        <w:numPr>
          <w:ilvl w:val="0"/>
          <w:numId w:val="6"/>
        </w:numPr>
      </w:pPr>
      <w:r>
        <w:t>Is the activity related to something youth have previously done or learned about? If so, how?</w:t>
      </w:r>
    </w:p>
    <w:p w:rsidR="00467DD9" w:rsidRDefault="00E6182D">
      <w:pPr>
        <w:pStyle w:val="Compact"/>
        <w:numPr>
          <w:ilvl w:val="0"/>
          <w:numId w:val="6"/>
        </w:numPr>
      </w:pPr>
      <w:r>
        <w:t>Is the activity related to something youth will do or will learn about? If so, how?</w:t>
      </w:r>
    </w:p>
    <w:p w:rsidR="00467DD9" w:rsidRDefault="00E6182D">
      <w:pPr>
        <w:pStyle w:val="Compact"/>
        <w:numPr>
          <w:ilvl w:val="0"/>
          <w:numId w:val="6"/>
        </w:numPr>
      </w:pPr>
      <w:r>
        <w:t>Is the activity collaborative? If so, what is happening?</w:t>
      </w:r>
    </w:p>
    <w:p w:rsidR="00467DD9" w:rsidRDefault="00E6182D">
      <w:pPr>
        <w:pStyle w:val="Compact"/>
        <w:numPr>
          <w:ilvl w:val="0"/>
          <w:numId w:val="6"/>
        </w:numPr>
      </w:pPr>
      <w:r>
        <w:t>Is anything else of interest or that is noteworthy going on?</w:t>
      </w:r>
    </w:p>
    <w:p w:rsidR="00467DD9" w:rsidRDefault="00E6182D">
      <w:pPr>
        <w:pStyle w:val="FirstParagraph"/>
      </w:pPr>
      <w:r>
        <w:t>After the coding was complete, the three research assi</w:t>
      </w:r>
      <w:r>
        <w:t>stants and I met to discuss how well the coding frame and potential sources of disagreement. Then, two coders coded every segment that was coded for at least one of the aspects of work with data. This coding took around 75 hours of coding by the research a</w:t>
      </w:r>
      <w:r>
        <w:t>ssistants. After coding all of the segments associated with each program, the coders met to discuss potential issues that emerged throughout the coding, and to clarify how they applied the coding frame.</w:t>
      </w:r>
    </w:p>
    <w:p w:rsidR="00467DD9" w:rsidRDefault="00E6182D">
      <w:pPr>
        <w:pStyle w:val="BodyText"/>
      </w:pPr>
      <w:r>
        <w:t>I then read through all of the codes for all of the s</w:t>
      </w:r>
      <w:r>
        <w:t>egments, and made notes associated with each of the five aspects of work with data (i.e., asking questions, making observations, and the other aspects). These notes focused on whether and in what ways there appeared to be alignment between the codes for wo</w:t>
      </w:r>
      <w:r>
        <w:t>rk with data (from the PQA) and the conceptual framework for work with data. I used these notes to write detailed descriptions of each of the aspects of work with data. I also calculated how many time these aligned (i.e., how many times both the PQA code f</w:t>
      </w:r>
      <w:r>
        <w:t>or an aspect of work with data was supported by the qualitative code) for each aspect of work with data.</w:t>
      </w:r>
    </w:p>
    <w:p w:rsidR="00467DD9" w:rsidRDefault="00E6182D">
      <w:pPr>
        <w:pStyle w:val="Heading3"/>
      </w:pPr>
      <w:bookmarkStart w:id="23" w:name="analysis-for-research-question-2-what-pr"/>
      <w:bookmarkEnd w:id="23"/>
      <w:r>
        <w:t>Analysis for Research Question #2 (what profiles of engagement emerge)</w:t>
      </w:r>
    </w:p>
    <w:p w:rsidR="00467DD9" w:rsidRDefault="00E6182D">
      <w:pPr>
        <w:pStyle w:val="Heading4"/>
      </w:pPr>
      <w:bookmarkStart w:id="24" w:name="background-information-on-latent-profile"/>
      <w:bookmarkEnd w:id="24"/>
      <w:r>
        <w:t>Background information on Latent Profile Analysis (LPA)</w:t>
      </w:r>
    </w:p>
    <w:p w:rsidR="00467DD9" w:rsidRDefault="00E6182D">
      <w:pPr>
        <w:pStyle w:val="FirstParagraph"/>
      </w:pPr>
      <w:r>
        <w:t>LPA can be used to ident</w:t>
      </w:r>
      <w:r>
        <w:t xml:space="preserve">ify common patterns in learners’ ESM responses as part of a person-oriented analysis to construct the profiles. These profiles make it possible to analyze the multivariate data collected on engagement in a way that balances the parsimony of a single model </w:t>
      </w:r>
      <w:r>
        <w:t>for all learners with a recognition of individual differences in how learners’ experience each of the dimensions of engagement together at the same time. A key benefit of the use of LPA, in addition to likelihood estimation-based fit indices, is probabilit</w:t>
      </w:r>
      <w:r>
        <w:t xml:space="preserve">ies of an observation being a member of a cluster (unlike in cluster analysis). LPA also provides </w:t>
      </w:r>
      <w:r>
        <w:rPr>
          <w:i/>
        </w:rPr>
        <w:t>probabilities</w:t>
      </w:r>
      <w:r>
        <w:t xml:space="preserve"> of an observation being in a particular profile, unlike cluster analysis, which involves exclusively classifying an observation into one profile</w:t>
      </w:r>
      <w:r>
        <w:t>.</w:t>
      </w:r>
    </w:p>
    <w:p w:rsidR="00467DD9" w:rsidRDefault="00E6182D">
      <w:pPr>
        <w:pStyle w:val="BodyText"/>
      </w:pPr>
      <w:r>
        <w:lastRenderedPageBreak/>
        <w:t>This question addresses what profiles emerged from the ESM responses for cognitive, behavioral, and affective engagement, and perceptions of challenge and competence. To answer this question, profiles are constructed with the five self-reported ESM measu</w:t>
      </w:r>
      <w:r>
        <w:t>res for cognitive, behavioral, and affective engagement and perceptions of challenge and competence. Once this step is carried out, the probability of a response being associated with a profile of engagement and its conditions are used as the dependent var</w:t>
      </w:r>
      <w:r>
        <w:t>iable for subsequent analyses. Answers to this question will help to understand how the aspects of engagement relate to both one another and to key conditions that influence engagement.</w:t>
      </w:r>
    </w:p>
    <w:p w:rsidR="00467DD9" w:rsidRDefault="00E6182D">
      <w:pPr>
        <w:pStyle w:val="BodyText"/>
      </w:pPr>
      <w:r>
        <w:t>To create the profiles, a mixture modeling approach is carried out. Mi</w:t>
      </w:r>
      <w:r>
        <w:t xml:space="preserve">xture modeling is an approach for identifying distinct distributions, or mixtures of distributions, of measured variables. A type of mixture modeling within a latent variable modeling framework, Latent Profile Analysis (LPA; Harring &amp; Hodis, 2016; Muthen, </w:t>
      </w:r>
      <w:r>
        <w:t>2004) is used in this study. LPA allows for capturing the multidimensional nature of engagement and its conditions, as is the goal of the analysis for the present study.</w:t>
      </w:r>
    </w:p>
    <w:p w:rsidR="00467DD9" w:rsidRDefault="00E6182D">
      <w:pPr>
        <w:pStyle w:val="Heading4"/>
      </w:pPr>
      <w:bookmarkStart w:id="25" w:name="selecting-a-model-on-the-basis-of-fit-in"/>
      <w:bookmarkEnd w:id="25"/>
      <w:r>
        <w:t>Selecting a model on the basis of fit indices and other techniques</w:t>
      </w:r>
    </w:p>
    <w:p w:rsidR="00467DD9" w:rsidRDefault="00E6182D">
      <w:pPr>
        <w:pStyle w:val="FirstParagraph"/>
      </w:pPr>
      <w:r>
        <w:t>As part of LPA, dif</w:t>
      </w:r>
      <w:r>
        <w:t>ferent models that determine whether and how different parameters (i.e., means, variances, and covariances) are estimated. In addition, the number of profiles to estimate must be provided by the analyst. Determining the number of profiles depends on fit st</w:t>
      </w:r>
      <w:r>
        <w:t>atistics (such as information criteria and the entropy statistic) as well as concerns of parsimony and interpretability. In general, the approach to choosing the model is similar to choosing the number of profiles, requiring deciding on the basis of eviden</w:t>
      </w:r>
      <w:r>
        <w:t>ce from multiple sources. The models are described in-depth in the appendix. The number of profiles are determined on the basis of the log-likelihood and bootstrapped likelihood ratio test, entropy, Akaike Information Criteria, and Bayesian Information Cri</w:t>
      </w:r>
      <w:r>
        <w:t>teria statistics, as well as concerns of parsimony and interpretability.</w:t>
      </w:r>
    </w:p>
    <w:p w:rsidR="00467DD9" w:rsidRDefault="00E6182D">
      <w:pPr>
        <w:pStyle w:val="BodyText"/>
      </w:pPr>
      <w:r>
        <w:t>First, I examined a wide range of model types (i.e., the parameterization of the model, with the six options described in the appendix as candidates) and the numbers of profiles. Thes</w:t>
      </w:r>
      <w:r>
        <w:t>e roughly became more complex, with additional parameters estimated, as the number for the model type increases from one to six. This step is taken to select candidate solutions to investigate in more detail. In order to carry out this analysis, I followed</w:t>
      </w:r>
      <w:r>
        <w:t xml:space="preserve"> guidelines recommended by the developers of the MPlus software (Asparouhov &amp; Muthen, 2012; Muthen &amp; Muthen, 2017) as well as those making recommendations about its use (Geiser, 2012).</w:t>
      </w:r>
    </w:p>
    <w:p w:rsidR="00467DD9" w:rsidRDefault="00E6182D">
      <w:pPr>
        <w:pStyle w:val="BodyText"/>
      </w:pPr>
      <w:r>
        <w:t>To select a model for use in subsequent analyses, the log-likelihood (L</w:t>
      </w:r>
      <w:r>
        <w:t>L), a range of information criteria (AIC, BIC, sample adjusted BIC [SABIC], consistent AIC [CAIC]), statistics about the quality of the profile assignments (entropy, which represents the mean posterior probability), statistical tests (Vu-Lo-Mendell-Rubin L</w:t>
      </w:r>
      <w:r>
        <w:t xml:space="preserve">RT [VLMR], Lo-Mendell-Rubin LRT [LMR], and the bootstrapped LRT [BLRT]), and concerns of interpretability and parsimony are used. Past research suggests that BIC, CAIC, SABIC, and BLRT are most helpful for selecting the correct number of profiles (Nylund, </w:t>
      </w:r>
      <w:r>
        <w:t xml:space="preserve">Asparouhov, &amp; Muthen, 2007). For the entropy statistic, higher values are considered better, though scholars have suggested that the entropy statistic not be used for model selection (Lubke &amp; Muthen, </w:t>
      </w:r>
      <w:r>
        <w:lastRenderedPageBreak/>
        <w:t xml:space="preserve">2007). Of the three statistical tests, the bootstrapped </w:t>
      </w:r>
      <w:r>
        <w:t>is considered to be the best indicator of which of two models, one nested (with certain parameters fixed to 0) within the other, fits better, but it is also the most computationally-intensive to carry out (Asparouhov &amp; Muthen, 2012).</w:t>
      </w:r>
    </w:p>
    <w:p w:rsidR="00467DD9" w:rsidRDefault="00E6182D">
      <w:pPr>
        <w:pStyle w:val="Heading3"/>
      </w:pPr>
      <w:bookmarkStart w:id="26" w:name="statistical-software-developed"/>
      <w:bookmarkEnd w:id="26"/>
      <w:r>
        <w:t>Statistical software d</w:t>
      </w:r>
      <w:r>
        <w:t>eveloped</w:t>
      </w:r>
    </w:p>
    <w:p w:rsidR="00467DD9" w:rsidRDefault="00E6182D">
      <w:pPr>
        <w:pStyle w:val="FirstParagraph"/>
      </w:pPr>
      <w:r>
        <w:t xml:space="preserve">The MPlus software is used to carry out LPA as part of this study. In order to more flexibly carry out LPA, an open-source tool, tidyLPA (Rosenberg, Schmidt, &amp; Beymer, ), was developed. This tool provides interfaces to both the MPlus software and </w:t>
      </w:r>
      <w:r>
        <w:t xml:space="preserve">to the open-source mclust software. In addition to being used as part of this study, this package is provided free of use to other analysts as the first tool dedicated to carrying out LPA as part of the R software. More details on the statistical software </w:t>
      </w:r>
      <w:r>
        <w:t>developed and included in the Appendix.</w:t>
      </w:r>
    </w:p>
    <w:p w:rsidR="00467DD9" w:rsidRDefault="00E6182D">
      <w:pPr>
        <w:pStyle w:val="Heading3"/>
      </w:pPr>
      <w:bookmarkStart w:id="27" w:name="analysis-for-research-question-3-how-wor"/>
      <w:bookmarkEnd w:id="27"/>
      <w:r>
        <w:t>Analysis for Research Question #3 (how work with data relates to engagement)</w:t>
      </w:r>
    </w:p>
    <w:p w:rsidR="00467DD9" w:rsidRDefault="00E6182D">
      <w:pPr>
        <w:pStyle w:val="FirstParagraph"/>
      </w:pPr>
      <w:r>
        <w:t>Broadly, this question is focused on how work with data, as coded from video-recordings of the programs, relates to the profiles. For the p</w:t>
      </w:r>
      <w:r>
        <w:t>rimary results for this question, linear models that account for the cross-classification of the moment and youth are used and for the “nesting” of both within each of the nine programs are used. For the outcome (</w:t>
      </w:r>
      <w:r>
        <w:rPr>
          <w:i/>
        </w:rPr>
        <w:t>y</w:t>
      </w:r>
      <w:r>
        <w:t xml:space="preserve"> variable), the probability of a response </w:t>
      </w:r>
      <w:r>
        <w:t>belonging to the profile is used; thus, there are six models, for each of the six profiles, for each specification of the predictor (</w:t>
      </w:r>
      <w:r>
        <w:rPr>
          <w:i/>
        </w:rPr>
        <w:t>x</w:t>
      </w:r>
      <w:r>
        <w:t>) variables.</w:t>
      </w:r>
    </w:p>
    <w:p w:rsidR="00467DD9" w:rsidRDefault="00E6182D">
      <w:pPr>
        <w:pStyle w:val="BodyText"/>
      </w:pPr>
      <w:r>
        <w:t>To answer this question, on how well the aspects of work with data predict the profiles, first, indicators fo</w:t>
      </w:r>
      <w:r>
        <w:t xml:space="preserve">r activities coded for any of the five aspects of work with data and either of the other two activities are used to predict each PEC. The </w:t>
      </w:r>
      <w:r>
        <w:rPr>
          <w:i/>
        </w:rPr>
        <w:t>lme4</w:t>
      </w:r>
      <w:r>
        <w:t xml:space="preserve"> R package (Bates, Martin, Bolker, &amp; Walker, 2015) is used. All of the models for this and research question #4 us</w:t>
      </w:r>
      <w:r>
        <w:t>e random effects for learner, momentary, and program effects. Learner and moment can be considered to be crossed with both nested within the program. Because the outcome from LPA is not a hard classification (i.e., an observation is in a profile—or not) bu</w:t>
      </w:r>
      <w:r>
        <w:t>t a probability, the outcome is treated as a continuous variable. First, null models with only the random parts (i.e., random learner, momentary, and program effects) are specified. Then, the predictors are added to the model with the main effects of the v</w:t>
      </w:r>
      <w:r>
        <w:t>ariables added. Lastly, a model with the work with data composite (constructed as a sum of the values of the variables for the aspects of work with data) is specified.</w:t>
      </w:r>
    </w:p>
    <w:p w:rsidR="00467DD9" w:rsidRDefault="00E6182D">
      <w:pPr>
        <w:pStyle w:val="Heading3"/>
      </w:pPr>
      <w:bookmarkStart w:id="28" w:name="analysis-for-research-question-4-how-you"/>
      <w:bookmarkEnd w:id="28"/>
      <w:r>
        <w:t>Analysis for Research Question #4 (how youth characteristics relate to engagement)</w:t>
      </w:r>
    </w:p>
    <w:p w:rsidR="00467DD9" w:rsidRDefault="00E6182D">
      <w:pPr>
        <w:pStyle w:val="FirstParagraph"/>
      </w:pPr>
      <w:r>
        <w:t>Resea</w:t>
      </w:r>
      <w:r>
        <w:t>rch question #4 is focused on how the relationships of work with data differ on the basis of pre-program interest and other youth characteristics–their gender and URM status. Like for the previous two research questions, models that account for the cross-c</w:t>
      </w:r>
      <w:r>
        <w:t xml:space="preserve">lassification of the moment and the youth are used. Findings from models with pre interest, gender, and URM status are first carried out. Then, models with these variable and the individual aspects and composite of work with data are added and then models </w:t>
      </w:r>
      <w:r>
        <w:t>with the interaction between these characteristics and the composite.</w:t>
      </w:r>
    </w:p>
    <w:p w:rsidR="00467DD9" w:rsidRDefault="00E6182D">
      <w:pPr>
        <w:pStyle w:val="Heading2"/>
      </w:pPr>
      <w:bookmarkStart w:id="29" w:name="sensitivity-analysis"/>
      <w:bookmarkEnd w:id="29"/>
      <w:r>
        <w:lastRenderedPageBreak/>
        <w:t>Sensitivity Analysis</w:t>
      </w:r>
    </w:p>
    <w:p w:rsidR="00467DD9" w:rsidRDefault="00E6182D">
      <w:pPr>
        <w:pStyle w:val="FirstParagraph"/>
      </w:pPr>
      <w:r>
        <w:t>For observational studies, such as the present study, it can be important to determine how robust an inference is to alternative explanations. One approach to addres</w:t>
      </w:r>
      <w:r>
        <w:t>sing this is sensitivity analysis, which involves quantifying the amount of bias that would be needed to invalidate an inference (hypothetically, this bias might be due to omitted or confounding variables, measurement, missing data, etc.). Using the approa</w:t>
      </w:r>
      <w:r>
        <w:t>ch described in Frank, Maroulis, Duong, and Kelcey (2013), I carried out sensitivity analysis for inferences we made relative to our key findings. I used the R package konfound (Rosenberg, Xu, &amp; Frank, 2018). The result, and what is used to interpret and c</w:t>
      </w:r>
      <w:r>
        <w:t xml:space="preserve">ontextualize findings, is a numeric value for each effect that indicates the proportion of the estimate that would have to be biased in order to invalidate the inference: higher values indicate more robust estimates in that the inferences would still hold </w:t>
      </w:r>
      <w:r>
        <w:t>even if there were substantial bias in the estimate.</w:t>
      </w:r>
    </w:p>
    <w:p w:rsidR="00467DD9" w:rsidRDefault="00E6182D">
      <w:pPr>
        <w:pStyle w:val="Heading1"/>
      </w:pPr>
      <w:bookmarkStart w:id="30" w:name="results"/>
      <w:bookmarkEnd w:id="30"/>
      <w:r>
        <w:t>Results</w:t>
      </w:r>
    </w:p>
    <w:p w:rsidR="00467DD9" w:rsidRDefault="00E6182D">
      <w:pPr>
        <w:pStyle w:val="FirstParagraph"/>
      </w:pPr>
      <w:r>
        <w:t>In this section, I present the results associated with the preliminary analysis and the four research questions.</w:t>
      </w:r>
    </w:p>
    <w:p w:rsidR="00467DD9" w:rsidRDefault="00E6182D">
      <w:pPr>
        <w:pStyle w:val="Heading2"/>
      </w:pPr>
      <w:bookmarkStart w:id="31" w:name="results-from-the-preliminary-analysis"/>
      <w:bookmarkEnd w:id="31"/>
      <w:r>
        <w:t>Results from the preliminary analysis</w:t>
      </w:r>
    </w:p>
    <w:p w:rsidR="00467DD9" w:rsidRDefault="00E6182D">
      <w:pPr>
        <w:pStyle w:val="Heading3"/>
      </w:pPr>
      <w:bookmarkStart w:id="32" w:name="descriptive-statistics-for-study-variabl"/>
      <w:bookmarkEnd w:id="32"/>
      <w:r>
        <w:t>Descriptive statistics for study variables</w:t>
      </w:r>
    </w:p>
    <w:p w:rsidR="00467DD9" w:rsidRDefault="00E6182D">
      <w:pPr>
        <w:pStyle w:val="FirstParagraph"/>
      </w:pPr>
      <w:r>
        <w:t>First, descriptive statistics for all of the study variables–overall pre-interest, the five variables that are used to estimate the profiles, are presented. Overall pre-interest and the variables used to estimate the profiles are presented first.</w:t>
      </w:r>
    </w:p>
    <w:p w:rsidR="00467DD9" w:rsidRDefault="00E6182D">
      <w:pPr>
        <w:pStyle w:val="Heading3"/>
      </w:pPr>
      <w:bookmarkStart w:id="33" w:name="correlations-among-study-variables"/>
      <w:bookmarkEnd w:id="33"/>
      <w:r>
        <w:t>Correlations among study variables</w:t>
      </w:r>
    </w:p>
    <w:p w:rsidR="00467DD9" w:rsidRDefault="00E6182D">
      <w:pPr>
        <w:pStyle w:val="FirstParagraph"/>
      </w:pPr>
      <w:r>
        <w:t>Next, correlations between individual aspects of work with data (and the composite) and the variables that are used to create the profiles are presented. These correlations suggest that the aspects of work with data are n</w:t>
      </w:r>
      <w:r>
        <w:t>ot related to the aspects of work with data to a large degree, which is not surprising given the small ICC values for the momentary level, as the aspects of work with data are associated with this level.</w:t>
      </w:r>
    </w:p>
    <w:p w:rsidR="00467DD9" w:rsidRDefault="00E6182D">
      <w:pPr>
        <w:pStyle w:val="BodyText"/>
      </w:pPr>
      <w:r>
        <w:t>Most noteworthy is the very small correlations betwe</w:t>
      </w:r>
      <w:r>
        <w:t>en the aspects of work with data and the profiles; these correlations range (in absolute values) from .00 to .05. Only the relations between communicating and profile six are statistically significant. The composite variable was correlated with the profile</w:t>
      </w:r>
      <w:r>
        <w:t>s from (in absolute values) 0.002 to 0.035, none statistically significant. The aspects of work with data are modestly correlated with one another, with correlations ranging from .16 to .46; all were significant.</w:t>
      </w:r>
    </w:p>
    <w:p w:rsidR="00467DD9" w:rsidRDefault="00E6182D">
      <w:pPr>
        <w:pStyle w:val="Heading2"/>
      </w:pPr>
      <w:bookmarkStart w:id="34" w:name="results-for-research-question-1"/>
      <w:bookmarkEnd w:id="34"/>
      <w:r>
        <w:lastRenderedPageBreak/>
        <w:t>Results for Research Question #1</w:t>
      </w:r>
    </w:p>
    <w:p w:rsidR="00467DD9" w:rsidRDefault="00E6182D">
      <w:pPr>
        <w:pStyle w:val="Heading3"/>
      </w:pPr>
      <w:bookmarkStart w:id="35" w:name="frequency-of-work-with-data"/>
      <w:bookmarkEnd w:id="35"/>
      <w:r>
        <w:t xml:space="preserve">Frequency </w:t>
      </w:r>
      <w:r>
        <w:t>of work with data</w:t>
      </w:r>
    </w:p>
    <w:p w:rsidR="00467DD9" w:rsidRDefault="00E6182D">
      <w:pPr>
        <w:pStyle w:val="FirstParagraph"/>
      </w:pPr>
      <w:r>
        <w:t>From the coding with the STEM-PQA, work with data appears common. Out of the 248 segments, 236 were coded for work with data; for the other, not-coded segments, issues with the video-recordings were the primary source of the missing data;</w:t>
      </w:r>
      <w:r>
        <w:t xml:space="preserve"> in these cases, youth may have still replied to signals, but it was not possible to code for work with data associated with these responses.</w:t>
      </w:r>
    </w:p>
    <w:p w:rsidR="00467DD9" w:rsidRDefault="00E6182D">
      <w:pPr>
        <w:pStyle w:val="BodyText"/>
      </w:pPr>
      <w:r>
        <w:t>The composite measure, created on the basis of summing the codes for the five aspects of work with data, has a min</w:t>
      </w:r>
      <w:r>
        <w:t>imum value of 0 and a maximum of 5. Its mean is 1.86 (</w:t>
      </w:r>
      <w:r>
        <w:rPr>
          <w:i/>
        </w:rPr>
        <w:t>SD</w:t>
      </w:r>
      <w:r>
        <w:t xml:space="preserve"> = 1.61). This indicates that, on average, youth were engaged in 1.86 aspects of the work with data during the program.</w:t>
      </w:r>
    </w:p>
    <w:p w:rsidR="00467DD9" w:rsidRDefault="00E6182D">
      <w:pPr>
        <w:pStyle w:val="BodyText"/>
      </w:pPr>
      <w:r>
        <w:t>We can also examine the breakdown by program, which shows that, descriptively, t</w:t>
      </w:r>
      <w:r>
        <w:t>here exists substantial variability.</w:t>
      </w:r>
    </w:p>
    <w:p w:rsidR="00467DD9" w:rsidRDefault="00E6182D">
      <w:pPr>
        <w:pStyle w:val="TableCaption"/>
      </w:pPr>
      <w:r>
        <w:t>Table 5 Proportion of signals for which each of the aspects of work with data was present</w:t>
      </w:r>
    </w:p>
    <w:tbl>
      <w:tblPr>
        <w:tblW w:w="0" w:type="pct"/>
        <w:tblLook w:val="07E0" w:firstRow="1" w:lastRow="1" w:firstColumn="1" w:lastColumn="1" w:noHBand="1" w:noVBand="1"/>
        <w:tblCaption w:val="Table 5 Proportion of signals for which each of the aspects of work with data was present"/>
      </w:tblPr>
      <w:tblGrid>
        <w:gridCol w:w="2868"/>
        <w:gridCol w:w="1349"/>
        <w:gridCol w:w="615"/>
      </w:tblGrid>
      <w:tr w:rsidR="00467DD9">
        <w:tc>
          <w:tcPr>
            <w:tcW w:w="0" w:type="auto"/>
            <w:tcBorders>
              <w:bottom w:val="single" w:sz="0" w:space="0" w:color="auto"/>
            </w:tcBorders>
            <w:vAlign w:val="bottom"/>
          </w:tcPr>
          <w:p w:rsidR="00467DD9" w:rsidRDefault="00E6182D">
            <w:pPr>
              <w:pStyle w:val="Compact"/>
            </w:pPr>
            <w:r>
              <w:t>Aspect of Work With Data</w:t>
            </w:r>
          </w:p>
        </w:tc>
        <w:tc>
          <w:tcPr>
            <w:tcW w:w="0" w:type="auto"/>
            <w:tcBorders>
              <w:bottom w:val="single" w:sz="0" w:space="0" w:color="auto"/>
            </w:tcBorders>
            <w:vAlign w:val="bottom"/>
          </w:tcPr>
          <w:p w:rsidR="00467DD9" w:rsidRDefault="00E6182D">
            <w:pPr>
              <w:pStyle w:val="Compact"/>
              <w:jc w:val="right"/>
            </w:pPr>
            <w:r>
              <w:t>Proportion</w:t>
            </w:r>
          </w:p>
        </w:tc>
        <w:tc>
          <w:tcPr>
            <w:tcW w:w="0" w:type="auto"/>
            <w:tcBorders>
              <w:bottom w:val="single" w:sz="0" w:space="0" w:color="auto"/>
            </w:tcBorders>
            <w:vAlign w:val="bottom"/>
          </w:tcPr>
          <w:p w:rsidR="00467DD9" w:rsidRDefault="00E6182D">
            <w:pPr>
              <w:pStyle w:val="Compact"/>
              <w:jc w:val="right"/>
            </w:pPr>
            <w:r>
              <w:t>N</w:t>
            </w:r>
          </w:p>
        </w:tc>
      </w:tr>
      <w:tr w:rsidR="00467DD9">
        <w:tc>
          <w:tcPr>
            <w:tcW w:w="0" w:type="auto"/>
          </w:tcPr>
          <w:p w:rsidR="00467DD9" w:rsidRDefault="00E6182D">
            <w:pPr>
              <w:pStyle w:val="Compact"/>
            </w:pPr>
            <w:r>
              <w:t>Asking Questions</w:t>
            </w:r>
          </w:p>
        </w:tc>
        <w:tc>
          <w:tcPr>
            <w:tcW w:w="0" w:type="auto"/>
          </w:tcPr>
          <w:p w:rsidR="00467DD9" w:rsidRDefault="00E6182D">
            <w:pPr>
              <w:pStyle w:val="Compact"/>
              <w:jc w:val="right"/>
            </w:pPr>
            <w:r>
              <w:t>0.389</w:t>
            </w:r>
          </w:p>
        </w:tc>
        <w:tc>
          <w:tcPr>
            <w:tcW w:w="0" w:type="auto"/>
          </w:tcPr>
          <w:p w:rsidR="00467DD9" w:rsidRDefault="00E6182D">
            <w:pPr>
              <w:pStyle w:val="Compact"/>
              <w:jc w:val="right"/>
            </w:pPr>
            <w:r>
              <w:t>92</w:t>
            </w:r>
          </w:p>
        </w:tc>
      </w:tr>
      <w:tr w:rsidR="00467DD9">
        <w:tc>
          <w:tcPr>
            <w:tcW w:w="0" w:type="auto"/>
          </w:tcPr>
          <w:p w:rsidR="00467DD9" w:rsidRDefault="00E6182D">
            <w:pPr>
              <w:pStyle w:val="Compact"/>
            </w:pPr>
            <w:r>
              <w:t>Making Observations</w:t>
            </w:r>
          </w:p>
        </w:tc>
        <w:tc>
          <w:tcPr>
            <w:tcW w:w="0" w:type="auto"/>
          </w:tcPr>
          <w:p w:rsidR="00467DD9" w:rsidRDefault="00E6182D">
            <w:pPr>
              <w:pStyle w:val="Compact"/>
              <w:jc w:val="right"/>
            </w:pPr>
            <w:r>
              <w:t>0.258</w:t>
            </w:r>
          </w:p>
        </w:tc>
        <w:tc>
          <w:tcPr>
            <w:tcW w:w="0" w:type="auto"/>
          </w:tcPr>
          <w:p w:rsidR="00467DD9" w:rsidRDefault="00E6182D">
            <w:pPr>
              <w:pStyle w:val="Compact"/>
              <w:jc w:val="right"/>
            </w:pPr>
            <w:r>
              <w:t>61</w:t>
            </w:r>
          </w:p>
        </w:tc>
      </w:tr>
      <w:tr w:rsidR="00467DD9">
        <w:tc>
          <w:tcPr>
            <w:tcW w:w="0" w:type="auto"/>
          </w:tcPr>
          <w:p w:rsidR="00467DD9" w:rsidRDefault="00E6182D">
            <w:pPr>
              <w:pStyle w:val="Compact"/>
            </w:pPr>
            <w:r>
              <w:t>Generating Data</w:t>
            </w:r>
          </w:p>
        </w:tc>
        <w:tc>
          <w:tcPr>
            <w:tcW w:w="0" w:type="auto"/>
          </w:tcPr>
          <w:p w:rsidR="00467DD9" w:rsidRDefault="00E6182D">
            <w:pPr>
              <w:pStyle w:val="Compact"/>
              <w:jc w:val="right"/>
            </w:pPr>
            <w:r>
              <w:t>0.453</w:t>
            </w:r>
          </w:p>
        </w:tc>
        <w:tc>
          <w:tcPr>
            <w:tcW w:w="0" w:type="auto"/>
          </w:tcPr>
          <w:p w:rsidR="00467DD9" w:rsidRDefault="00E6182D">
            <w:pPr>
              <w:pStyle w:val="Compact"/>
              <w:jc w:val="right"/>
            </w:pPr>
            <w:r>
              <w:t>107</w:t>
            </w:r>
          </w:p>
        </w:tc>
      </w:tr>
      <w:tr w:rsidR="00467DD9">
        <w:tc>
          <w:tcPr>
            <w:tcW w:w="0" w:type="auto"/>
          </w:tcPr>
          <w:p w:rsidR="00467DD9" w:rsidRDefault="00E6182D">
            <w:pPr>
              <w:pStyle w:val="Compact"/>
            </w:pPr>
            <w:r>
              <w:t>Data Modeling</w:t>
            </w:r>
          </w:p>
        </w:tc>
        <w:tc>
          <w:tcPr>
            <w:tcW w:w="0" w:type="auto"/>
          </w:tcPr>
          <w:p w:rsidR="00467DD9" w:rsidRDefault="00E6182D">
            <w:pPr>
              <w:pStyle w:val="Compact"/>
              <w:jc w:val="right"/>
            </w:pPr>
            <w:r>
              <w:t>0.288</w:t>
            </w:r>
          </w:p>
        </w:tc>
        <w:tc>
          <w:tcPr>
            <w:tcW w:w="0" w:type="auto"/>
          </w:tcPr>
          <w:p w:rsidR="00467DD9" w:rsidRDefault="00E6182D">
            <w:pPr>
              <w:pStyle w:val="Compact"/>
              <w:jc w:val="right"/>
            </w:pPr>
            <w:r>
              <w:t>68</w:t>
            </w:r>
          </w:p>
        </w:tc>
      </w:tr>
      <w:tr w:rsidR="00467DD9">
        <w:tc>
          <w:tcPr>
            <w:tcW w:w="0" w:type="auto"/>
          </w:tcPr>
          <w:p w:rsidR="00467DD9" w:rsidRDefault="00E6182D">
            <w:pPr>
              <w:pStyle w:val="Compact"/>
            </w:pPr>
            <w:r>
              <w:t>Communicating Findings</w:t>
            </w:r>
          </w:p>
        </w:tc>
        <w:tc>
          <w:tcPr>
            <w:tcW w:w="0" w:type="auto"/>
          </w:tcPr>
          <w:p w:rsidR="00467DD9" w:rsidRDefault="00E6182D">
            <w:pPr>
              <w:pStyle w:val="Compact"/>
              <w:jc w:val="right"/>
            </w:pPr>
            <w:r>
              <w:t>0.470</w:t>
            </w:r>
          </w:p>
        </w:tc>
        <w:tc>
          <w:tcPr>
            <w:tcW w:w="0" w:type="auto"/>
          </w:tcPr>
          <w:p w:rsidR="00467DD9" w:rsidRDefault="00E6182D">
            <w:pPr>
              <w:pStyle w:val="Compact"/>
              <w:jc w:val="right"/>
            </w:pPr>
            <w:r>
              <w:t>111</w:t>
            </w:r>
          </w:p>
        </w:tc>
      </w:tr>
    </w:tbl>
    <w:p w:rsidR="00467DD9" w:rsidRDefault="00E6182D">
      <w:pPr>
        <w:pStyle w:val="TableCaption"/>
      </w:pPr>
      <w:r>
        <w:t>Table 5 Proportion of signals for which each of the aspects of work with data was present by program</w:t>
      </w:r>
    </w:p>
    <w:tbl>
      <w:tblPr>
        <w:tblW w:w="0" w:type="pct"/>
        <w:tblLook w:val="07E0" w:firstRow="1" w:lastRow="1" w:firstColumn="1" w:lastColumn="1" w:noHBand="1" w:noVBand="1"/>
        <w:tblCaption w:val="Table 5 Proportion of signals for which each of the aspects of work with data was present by program"/>
      </w:tblPr>
      <w:tblGrid>
        <w:gridCol w:w="1758"/>
        <w:gridCol w:w="914"/>
        <w:gridCol w:w="1264"/>
        <w:gridCol w:w="1348"/>
        <w:gridCol w:w="1174"/>
        <w:gridCol w:w="1835"/>
        <w:gridCol w:w="1283"/>
      </w:tblGrid>
      <w:tr w:rsidR="00467DD9">
        <w:tc>
          <w:tcPr>
            <w:tcW w:w="0" w:type="auto"/>
            <w:tcBorders>
              <w:bottom w:val="single" w:sz="0" w:space="0" w:color="auto"/>
            </w:tcBorders>
            <w:vAlign w:val="bottom"/>
          </w:tcPr>
          <w:p w:rsidR="00467DD9" w:rsidRDefault="00E6182D">
            <w:pPr>
              <w:pStyle w:val="Compact"/>
            </w:pPr>
            <w:r>
              <w:t>Variable</w:t>
            </w:r>
          </w:p>
        </w:tc>
        <w:tc>
          <w:tcPr>
            <w:tcW w:w="0" w:type="auto"/>
            <w:tcBorders>
              <w:bottom w:val="single" w:sz="0" w:space="0" w:color="auto"/>
            </w:tcBorders>
            <w:vAlign w:val="bottom"/>
          </w:tcPr>
          <w:p w:rsidR="00467DD9" w:rsidRDefault="00E6182D">
            <w:pPr>
              <w:pStyle w:val="Compact"/>
              <w:jc w:val="right"/>
            </w:pPr>
            <w:r>
              <w:t>Asking</w:t>
            </w:r>
          </w:p>
        </w:tc>
        <w:tc>
          <w:tcPr>
            <w:tcW w:w="0" w:type="auto"/>
            <w:tcBorders>
              <w:bottom w:val="single" w:sz="0" w:space="0" w:color="auto"/>
            </w:tcBorders>
            <w:vAlign w:val="bottom"/>
          </w:tcPr>
          <w:p w:rsidR="00467DD9" w:rsidRDefault="00E6182D">
            <w:pPr>
              <w:pStyle w:val="Compact"/>
              <w:jc w:val="right"/>
            </w:pPr>
            <w:r>
              <w:t>Observing</w:t>
            </w:r>
          </w:p>
        </w:tc>
        <w:tc>
          <w:tcPr>
            <w:tcW w:w="0" w:type="auto"/>
            <w:tcBorders>
              <w:bottom w:val="single" w:sz="0" w:space="0" w:color="auto"/>
            </w:tcBorders>
            <w:vAlign w:val="bottom"/>
          </w:tcPr>
          <w:p w:rsidR="00467DD9" w:rsidRDefault="00E6182D">
            <w:pPr>
              <w:pStyle w:val="Compact"/>
              <w:jc w:val="right"/>
            </w:pPr>
            <w:r>
              <w:t>Generating</w:t>
            </w:r>
          </w:p>
        </w:tc>
        <w:tc>
          <w:tcPr>
            <w:tcW w:w="0" w:type="auto"/>
            <w:tcBorders>
              <w:bottom w:val="single" w:sz="0" w:space="0" w:color="auto"/>
            </w:tcBorders>
            <w:vAlign w:val="bottom"/>
          </w:tcPr>
          <w:p w:rsidR="00467DD9" w:rsidRDefault="00E6182D">
            <w:pPr>
              <w:pStyle w:val="Compact"/>
              <w:jc w:val="right"/>
            </w:pPr>
            <w:r>
              <w:t>Modeling</w:t>
            </w:r>
          </w:p>
        </w:tc>
        <w:tc>
          <w:tcPr>
            <w:tcW w:w="0" w:type="auto"/>
            <w:tcBorders>
              <w:bottom w:val="single" w:sz="0" w:space="0" w:color="auto"/>
            </w:tcBorders>
            <w:vAlign w:val="bottom"/>
          </w:tcPr>
          <w:p w:rsidR="00467DD9" w:rsidRDefault="00E6182D">
            <w:pPr>
              <w:pStyle w:val="Compact"/>
              <w:jc w:val="right"/>
            </w:pPr>
            <w:r>
              <w:t>Communicating</w:t>
            </w:r>
          </w:p>
        </w:tc>
        <w:tc>
          <w:tcPr>
            <w:tcW w:w="0" w:type="auto"/>
            <w:tcBorders>
              <w:bottom w:val="single" w:sz="0" w:space="0" w:color="auto"/>
            </w:tcBorders>
            <w:vAlign w:val="bottom"/>
          </w:tcPr>
          <w:p w:rsidR="00467DD9" w:rsidRDefault="00E6182D">
            <w:pPr>
              <w:pStyle w:val="Compact"/>
              <w:jc w:val="right"/>
            </w:pPr>
            <w:r>
              <w:t>Total Segments</w:t>
            </w:r>
          </w:p>
        </w:tc>
      </w:tr>
      <w:tr w:rsidR="00467DD9">
        <w:tc>
          <w:tcPr>
            <w:tcW w:w="0" w:type="auto"/>
          </w:tcPr>
          <w:p w:rsidR="00467DD9" w:rsidRDefault="00E6182D">
            <w:pPr>
              <w:pStyle w:val="Compact"/>
            </w:pPr>
            <w:r>
              <w:t>Island Explorers</w:t>
            </w:r>
          </w:p>
        </w:tc>
        <w:tc>
          <w:tcPr>
            <w:tcW w:w="0" w:type="auto"/>
          </w:tcPr>
          <w:p w:rsidR="00467DD9" w:rsidRDefault="00E6182D">
            <w:pPr>
              <w:pStyle w:val="Compact"/>
              <w:jc w:val="right"/>
            </w:pPr>
            <w:r>
              <w:t>0.312</w:t>
            </w:r>
          </w:p>
        </w:tc>
        <w:tc>
          <w:tcPr>
            <w:tcW w:w="0" w:type="auto"/>
          </w:tcPr>
          <w:p w:rsidR="00467DD9" w:rsidRDefault="00E6182D">
            <w:pPr>
              <w:pStyle w:val="Compact"/>
              <w:jc w:val="right"/>
            </w:pPr>
            <w:r>
              <w:t>0.375</w:t>
            </w:r>
          </w:p>
        </w:tc>
        <w:tc>
          <w:tcPr>
            <w:tcW w:w="0" w:type="auto"/>
          </w:tcPr>
          <w:p w:rsidR="00467DD9" w:rsidRDefault="00E6182D">
            <w:pPr>
              <w:pStyle w:val="Compact"/>
              <w:jc w:val="right"/>
            </w:pPr>
            <w:r>
              <w:t>0.438</w:t>
            </w:r>
          </w:p>
        </w:tc>
        <w:tc>
          <w:tcPr>
            <w:tcW w:w="0" w:type="auto"/>
          </w:tcPr>
          <w:p w:rsidR="00467DD9" w:rsidRDefault="00E6182D">
            <w:pPr>
              <w:pStyle w:val="Compact"/>
              <w:jc w:val="right"/>
            </w:pPr>
            <w:r>
              <w:t>0.250</w:t>
            </w:r>
          </w:p>
        </w:tc>
        <w:tc>
          <w:tcPr>
            <w:tcW w:w="0" w:type="auto"/>
          </w:tcPr>
          <w:p w:rsidR="00467DD9" w:rsidRDefault="00E6182D">
            <w:pPr>
              <w:pStyle w:val="Compact"/>
              <w:jc w:val="right"/>
            </w:pPr>
            <w:r>
              <w:t>0.375</w:t>
            </w:r>
          </w:p>
        </w:tc>
        <w:tc>
          <w:tcPr>
            <w:tcW w:w="0" w:type="auto"/>
          </w:tcPr>
          <w:p w:rsidR="00467DD9" w:rsidRDefault="00E6182D">
            <w:pPr>
              <w:pStyle w:val="Compact"/>
              <w:jc w:val="right"/>
            </w:pPr>
            <w:r>
              <w:t>16</w:t>
            </w:r>
          </w:p>
        </w:tc>
      </w:tr>
      <w:tr w:rsidR="00467DD9">
        <w:tc>
          <w:tcPr>
            <w:tcW w:w="0" w:type="auto"/>
          </w:tcPr>
          <w:p w:rsidR="00467DD9" w:rsidRDefault="00E6182D">
            <w:pPr>
              <w:pStyle w:val="Compact"/>
            </w:pPr>
            <w:r>
              <w:t>The Ecosphere</w:t>
            </w:r>
          </w:p>
        </w:tc>
        <w:tc>
          <w:tcPr>
            <w:tcW w:w="0" w:type="auto"/>
          </w:tcPr>
          <w:p w:rsidR="00467DD9" w:rsidRDefault="00E6182D">
            <w:pPr>
              <w:pStyle w:val="Compact"/>
              <w:jc w:val="right"/>
            </w:pPr>
            <w:r>
              <w:t>0.625</w:t>
            </w:r>
          </w:p>
        </w:tc>
        <w:tc>
          <w:tcPr>
            <w:tcW w:w="0" w:type="auto"/>
          </w:tcPr>
          <w:p w:rsidR="00467DD9" w:rsidRDefault="00E6182D">
            <w:pPr>
              <w:pStyle w:val="Compact"/>
              <w:jc w:val="right"/>
            </w:pPr>
            <w:r>
              <w:t>0.417</w:t>
            </w:r>
          </w:p>
        </w:tc>
        <w:tc>
          <w:tcPr>
            <w:tcW w:w="0" w:type="auto"/>
          </w:tcPr>
          <w:p w:rsidR="00467DD9" w:rsidRDefault="00E6182D">
            <w:pPr>
              <w:pStyle w:val="Compact"/>
              <w:jc w:val="right"/>
            </w:pPr>
            <w:r>
              <w:t>0.500</w:t>
            </w:r>
          </w:p>
        </w:tc>
        <w:tc>
          <w:tcPr>
            <w:tcW w:w="0" w:type="auto"/>
          </w:tcPr>
          <w:p w:rsidR="00467DD9" w:rsidRDefault="00E6182D">
            <w:pPr>
              <w:pStyle w:val="Compact"/>
              <w:jc w:val="right"/>
            </w:pPr>
            <w:r>
              <w:t>0.292</w:t>
            </w:r>
          </w:p>
        </w:tc>
        <w:tc>
          <w:tcPr>
            <w:tcW w:w="0" w:type="auto"/>
          </w:tcPr>
          <w:p w:rsidR="00467DD9" w:rsidRDefault="00E6182D">
            <w:pPr>
              <w:pStyle w:val="Compact"/>
              <w:jc w:val="right"/>
            </w:pPr>
            <w:r>
              <w:t>0.500</w:t>
            </w:r>
          </w:p>
        </w:tc>
        <w:tc>
          <w:tcPr>
            <w:tcW w:w="0" w:type="auto"/>
          </w:tcPr>
          <w:p w:rsidR="00467DD9" w:rsidRDefault="00E6182D">
            <w:pPr>
              <w:pStyle w:val="Compact"/>
              <w:jc w:val="right"/>
            </w:pPr>
            <w:r>
              <w:t>24</w:t>
            </w:r>
          </w:p>
        </w:tc>
      </w:tr>
      <w:tr w:rsidR="00467DD9">
        <w:tc>
          <w:tcPr>
            <w:tcW w:w="0" w:type="auto"/>
          </w:tcPr>
          <w:p w:rsidR="00467DD9" w:rsidRDefault="00E6182D">
            <w:pPr>
              <w:pStyle w:val="Compact"/>
            </w:pPr>
            <w:r>
              <w:t>Zoology Partners</w:t>
            </w:r>
          </w:p>
        </w:tc>
        <w:tc>
          <w:tcPr>
            <w:tcW w:w="0" w:type="auto"/>
          </w:tcPr>
          <w:p w:rsidR="00467DD9" w:rsidRDefault="00E6182D">
            <w:pPr>
              <w:pStyle w:val="Compact"/>
              <w:jc w:val="right"/>
            </w:pPr>
            <w:r>
              <w:t>0.250</w:t>
            </w:r>
          </w:p>
        </w:tc>
        <w:tc>
          <w:tcPr>
            <w:tcW w:w="0" w:type="auto"/>
          </w:tcPr>
          <w:p w:rsidR="00467DD9" w:rsidRDefault="00E6182D">
            <w:pPr>
              <w:pStyle w:val="Compact"/>
              <w:jc w:val="right"/>
            </w:pPr>
            <w:r>
              <w:t>0.167</w:t>
            </w:r>
          </w:p>
        </w:tc>
        <w:tc>
          <w:tcPr>
            <w:tcW w:w="0" w:type="auto"/>
          </w:tcPr>
          <w:p w:rsidR="00467DD9" w:rsidRDefault="00E6182D">
            <w:pPr>
              <w:pStyle w:val="Compact"/>
              <w:jc w:val="right"/>
            </w:pPr>
            <w:r>
              <w:t>0.125</w:t>
            </w:r>
          </w:p>
        </w:tc>
        <w:tc>
          <w:tcPr>
            <w:tcW w:w="0" w:type="auto"/>
          </w:tcPr>
          <w:p w:rsidR="00467DD9" w:rsidRDefault="00E6182D">
            <w:pPr>
              <w:pStyle w:val="Compact"/>
              <w:jc w:val="right"/>
            </w:pPr>
            <w:r>
              <w:t>0.167</w:t>
            </w:r>
          </w:p>
        </w:tc>
        <w:tc>
          <w:tcPr>
            <w:tcW w:w="0" w:type="auto"/>
          </w:tcPr>
          <w:p w:rsidR="00467DD9" w:rsidRDefault="00E6182D">
            <w:pPr>
              <w:pStyle w:val="Compact"/>
              <w:jc w:val="right"/>
            </w:pPr>
            <w:r>
              <w:t>0.208</w:t>
            </w:r>
          </w:p>
        </w:tc>
        <w:tc>
          <w:tcPr>
            <w:tcW w:w="0" w:type="auto"/>
          </w:tcPr>
          <w:p w:rsidR="00467DD9" w:rsidRDefault="00E6182D">
            <w:pPr>
              <w:pStyle w:val="Compact"/>
              <w:jc w:val="right"/>
            </w:pPr>
            <w:r>
              <w:t>24</w:t>
            </w:r>
          </w:p>
        </w:tc>
      </w:tr>
      <w:tr w:rsidR="00467DD9">
        <w:tc>
          <w:tcPr>
            <w:tcW w:w="0" w:type="auto"/>
          </w:tcPr>
          <w:p w:rsidR="00467DD9" w:rsidRDefault="00E6182D">
            <w:pPr>
              <w:pStyle w:val="Compact"/>
            </w:pPr>
            <w:r>
              <w:t>Marine Investigators</w:t>
            </w:r>
          </w:p>
        </w:tc>
        <w:tc>
          <w:tcPr>
            <w:tcW w:w="0" w:type="auto"/>
          </w:tcPr>
          <w:p w:rsidR="00467DD9" w:rsidRDefault="00E6182D">
            <w:pPr>
              <w:pStyle w:val="Compact"/>
              <w:jc w:val="right"/>
            </w:pPr>
            <w:r>
              <w:t>0.458</w:t>
            </w:r>
          </w:p>
        </w:tc>
        <w:tc>
          <w:tcPr>
            <w:tcW w:w="0" w:type="auto"/>
          </w:tcPr>
          <w:p w:rsidR="00467DD9" w:rsidRDefault="00E6182D">
            <w:pPr>
              <w:pStyle w:val="Compact"/>
              <w:jc w:val="right"/>
            </w:pPr>
            <w:r>
              <w:t>0.333</w:t>
            </w:r>
          </w:p>
        </w:tc>
        <w:tc>
          <w:tcPr>
            <w:tcW w:w="0" w:type="auto"/>
          </w:tcPr>
          <w:p w:rsidR="00467DD9" w:rsidRDefault="00E6182D">
            <w:pPr>
              <w:pStyle w:val="Compact"/>
              <w:jc w:val="right"/>
            </w:pPr>
            <w:r>
              <w:t>0.250</w:t>
            </w:r>
          </w:p>
        </w:tc>
        <w:tc>
          <w:tcPr>
            <w:tcW w:w="0" w:type="auto"/>
          </w:tcPr>
          <w:p w:rsidR="00467DD9" w:rsidRDefault="00E6182D">
            <w:pPr>
              <w:pStyle w:val="Compact"/>
              <w:jc w:val="right"/>
            </w:pPr>
            <w:r>
              <w:t>0.375</w:t>
            </w:r>
          </w:p>
        </w:tc>
        <w:tc>
          <w:tcPr>
            <w:tcW w:w="0" w:type="auto"/>
          </w:tcPr>
          <w:p w:rsidR="00467DD9" w:rsidRDefault="00E6182D">
            <w:pPr>
              <w:pStyle w:val="Compact"/>
              <w:jc w:val="right"/>
            </w:pPr>
            <w:r>
              <w:t>0.542</w:t>
            </w:r>
          </w:p>
        </w:tc>
        <w:tc>
          <w:tcPr>
            <w:tcW w:w="0" w:type="auto"/>
          </w:tcPr>
          <w:p w:rsidR="00467DD9" w:rsidRDefault="00E6182D">
            <w:pPr>
              <w:pStyle w:val="Compact"/>
              <w:jc w:val="right"/>
            </w:pPr>
            <w:r>
              <w:t>24</w:t>
            </w:r>
          </w:p>
        </w:tc>
      </w:tr>
      <w:tr w:rsidR="00467DD9">
        <w:tc>
          <w:tcPr>
            <w:tcW w:w="0" w:type="auto"/>
          </w:tcPr>
          <w:p w:rsidR="00467DD9" w:rsidRDefault="00E6182D">
            <w:pPr>
              <w:pStyle w:val="Compact"/>
            </w:pPr>
            <w:r>
              <w:t>Comunidad de Aprendizaje</w:t>
            </w:r>
          </w:p>
        </w:tc>
        <w:tc>
          <w:tcPr>
            <w:tcW w:w="0" w:type="auto"/>
          </w:tcPr>
          <w:p w:rsidR="00467DD9" w:rsidRDefault="00E6182D">
            <w:pPr>
              <w:pStyle w:val="Compact"/>
              <w:jc w:val="right"/>
            </w:pPr>
            <w:r>
              <w:t>0.327</w:t>
            </w:r>
          </w:p>
        </w:tc>
        <w:tc>
          <w:tcPr>
            <w:tcW w:w="0" w:type="auto"/>
          </w:tcPr>
          <w:p w:rsidR="00467DD9" w:rsidRDefault="00E6182D">
            <w:pPr>
              <w:pStyle w:val="Compact"/>
              <w:jc w:val="right"/>
            </w:pPr>
            <w:r>
              <w:t>0.182</w:t>
            </w:r>
          </w:p>
        </w:tc>
        <w:tc>
          <w:tcPr>
            <w:tcW w:w="0" w:type="auto"/>
          </w:tcPr>
          <w:p w:rsidR="00467DD9" w:rsidRDefault="00E6182D">
            <w:pPr>
              <w:pStyle w:val="Compact"/>
              <w:jc w:val="right"/>
            </w:pPr>
            <w:r>
              <w:t>0.400</w:t>
            </w:r>
          </w:p>
        </w:tc>
        <w:tc>
          <w:tcPr>
            <w:tcW w:w="0" w:type="auto"/>
          </w:tcPr>
          <w:p w:rsidR="00467DD9" w:rsidRDefault="00E6182D">
            <w:pPr>
              <w:pStyle w:val="Compact"/>
              <w:jc w:val="right"/>
            </w:pPr>
            <w:r>
              <w:t>0.273</w:t>
            </w:r>
          </w:p>
        </w:tc>
        <w:tc>
          <w:tcPr>
            <w:tcW w:w="0" w:type="auto"/>
          </w:tcPr>
          <w:p w:rsidR="00467DD9" w:rsidRDefault="00E6182D">
            <w:pPr>
              <w:pStyle w:val="Compact"/>
              <w:jc w:val="right"/>
            </w:pPr>
            <w:r>
              <w:t>0.327</w:t>
            </w:r>
          </w:p>
        </w:tc>
        <w:tc>
          <w:tcPr>
            <w:tcW w:w="0" w:type="auto"/>
          </w:tcPr>
          <w:p w:rsidR="00467DD9" w:rsidRDefault="00E6182D">
            <w:pPr>
              <w:pStyle w:val="Compact"/>
              <w:jc w:val="right"/>
            </w:pPr>
            <w:r>
              <w:t>55</w:t>
            </w:r>
          </w:p>
        </w:tc>
      </w:tr>
      <w:tr w:rsidR="00467DD9">
        <w:tc>
          <w:tcPr>
            <w:tcW w:w="0" w:type="auto"/>
          </w:tcPr>
          <w:p w:rsidR="00467DD9" w:rsidRDefault="00E6182D">
            <w:pPr>
              <w:pStyle w:val="Compact"/>
            </w:pPr>
            <w:r>
              <w:t>Jefferson House</w:t>
            </w:r>
          </w:p>
        </w:tc>
        <w:tc>
          <w:tcPr>
            <w:tcW w:w="0" w:type="auto"/>
          </w:tcPr>
          <w:p w:rsidR="00467DD9" w:rsidRDefault="00E6182D">
            <w:pPr>
              <w:pStyle w:val="Compact"/>
              <w:jc w:val="right"/>
            </w:pPr>
            <w:r>
              <w:t>0.167</w:t>
            </w:r>
          </w:p>
        </w:tc>
        <w:tc>
          <w:tcPr>
            <w:tcW w:w="0" w:type="auto"/>
          </w:tcPr>
          <w:p w:rsidR="00467DD9" w:rsidRDefault="00E6182D">
            <w:pPr>
              <w:pStyle w:val="Compact"/>
              <w:jc w:val="right"/>
            </w:pPr>
            <w:r>
              <w:t>0.083</w:t>
            </w:r>
          </w:p>
        </w:tc>
        <w:tc>
          <w:tcPr>
            <w:tcW w:w="0" w:type="auto"/>
          </w:tcPr>
          <w:p w:rsidR="00467DD9" w:rsidRDefault="00E6182D">
            <w:pPr>
              <w:pStyle w:val="Compact"/>
              <w:jc w:val="right"/>
            </w:pPr>
            <w:r>
              <w:t>0.542</w:t>
            </w:r>
          </w:p>
        </w:tc>
        <w:tc>
          <w:tcPr>
            <w:tcW w:w="0" w:type="auto"/>
          </w:tcPr>
          <w:p w:rsidR="00467DD9" w:rsidRDefault="00E6182D">
            <w:pPr>
              <w:pStyle w:val="Compact"/>
              <w:jc w:val="right"/>
            </w:pPr>
            <w:r>
              <w:t>0.458</w:t>
            </w:r>
          </w:p>
        </w:tc>
        <w:tc>
          <w:tcPr>
            <w:tcW w:w="0" w:type="auto"/>
          </w:tcPr>
          <w:p w:rsidR="00467DD9" w:rsidRDefault="00E6182D">
            <w:pPr>
              <w:pStyle w:val="Compact"/>
              <w:jc w:val="right"/>
            </w:pPr>
            <w:r>
              <w:t>0.750</w:t>
            </w:r>
          </w:p>
        </w:tc>
        <w:tc>
          <w:tcPr>
            <w:tcW w:w="0" w:type="auto"/>
          </w:tcPr>
          <w:p w:rsidR="00467DD9" w:rsidRDefault="00E6182D">
            <w:pPr>
              <w:pStyle w:val="Compact"/>
              <w:jc w:val="right"/>
            </w:pPr>
            <w:r>
              <w:t>24</w:t>
            </w:r>
          </w:p>
        </w:tc>
      </w:tr>
      <w:tr w:rsidR="00467DD9">
        <w:tc>
          <w:tcPr>
            <w:tcW w:w="0" w:type="auto"/>
          </w:tcPr>
          <w:p w:rsidR="00467DD9" w:rsidRDefault="00E6182D">
            <w:pPr>
              <w:pStyle w:val="Compact"/>
            </w:pPr>
            <w:r>
              <w:t>Uptown Architecture</w:t>
            </w:r>
          </w:p>
        </w:tc>
        <w:tc>
          <w:tcPr>
            <w:tcW w:w="0" w:type="auto"/>
          </w:tcPr>
          <w:p w:rsidR="00467DD9" w:rsidRDefault="00E6182D">
            <w:pPr>
              <w:pStyle w:val="Compact"/>
              <w:jc w:val="right"/>
            </w:pPr>
            <w:r>
              <w:t>0.375</w:t>
            </w:r>
          </w:p>
        </w:tc>
        <w:tc>
          <w:tcPr>
            <w:tcW w:w="0" w:type="auto"/>
          </w:tcPr>
          <w:p w:rsidR="00467DD9" w:rsidRDefault="00E6182D">
            <w:pPr>
              <w:pStyle w:val="Compact"/>
              <w:jc w:val="right"/>
            </w:pPr>
            <w:r>
              <w:t>0.208</w:t>
            </w:r>
          </w:p>
        </w:tc>
        <w:tc>
          <w:tcPr>
            <w:tcW w:w="0" w:type="auto"/>
          </w:tcPr>
          <w:p w:rsidR="00467DD9" w:rsidRDefault="00E6182D">
            <w:pPr>
              <w:pStyle w:val="Compact"/>
              <w:jc w:val="right"/>
            </w:pPr>
            <w:r>
              <w:t>0.708</w:t>
            </w:r>
          </w:p>
        </w:tc>
        <w:tc>
          <w:tcPr>
            <w:tcW w:w="0" w:type="auto"/>
          </w:tcPr>
          <w:p w:rsidR="00467DD9" w:rsidRDefault="00E6182D">
            <w:pPr>
              <w:pStyle w:val="Compact"/>
              <w:jc w:val="right"/>
            </w:pPr>
            <w:r>
              <w:t>0.167</w:t>
            </w:r>
          </w:p>
        </w:tc>
        <w:tc>
          <w:tcPr>
            <w:tcW w:w="0" w:type="auto"/>
          </w:tcPr>
          <w:p w:rsidR="00467DD9" w:rsidRDefault="00E6182D">
            <w:pPr>
              <w:pStyle w:val="Compact"/>
              <w:jc w:val="right"/>
            </w:pPr>
            <w:r>
              <w:t>0.292</w:t>
            </w:r>
          </w:p>
        </w:tc>
        <w:tc>
          <w:tcPr>
            <w:tcW w:w="0" w:type="auto"/>
          </w:tcPr>
          <w:p w:rsidR="00467DD9" w:rsidRDefault="00E6182D">
            <w:pPr>
              <w:pStyle w:val="Compact"/>
              <w:jc w:val="right"/>
            </w:pPr>
            <w:r>
              <w:t>24</w:t>
            </w:r>
          </w:p>
        </w:tc>
      </w:tr>
      <w:tr w:rsidR="00467DD9">
        <w:tc>
          <w:tcPr>
            <w:tcW w:w="0" w:type="auto"/>
          </w:tcPr>
          <w:p w:rsidR="00467DD9" w:rsidRDefault="00E6182D">
            <w:pPr>
              <w:pStyle w:val="Compact"/>
            </w:pPr>
            <w:r>
              <w:lastRenderedPageBreak/>
              <w:t>Building Mania</w:t>
            </w:r>
          </w:p>
        </w:tc>
        <w:tc>
          <w:tcPr>
            <w:tcW w:w="0" w:type="auto"/>
          </w:tcPr>
          <w:p w:rsidR="00467DD9" w:rsidRDefault="00E6182D">
            <w:pPr>
              <w:pStyle w:val="Compact"/>
              <w:jc w:val="right"/>
            </w:pPr>
            <w:r>
              <w:t>0.333</w:t>
            </w:r>
          </w:p>
        </w:tc>
        <w:tc>
          <w:tcPr>
            <w:tcW w:w="0" w:type="auto"/>
          </w:tcPr>
          <w:p w:rsidR="00467DD9" w:rsidRDefault="00E6182D">
            <w:pPr>
              <w:pStyle w:val="Compact"/>
              <w:jc w:val="right"/>
            </w:pPr>
            <w:r>
              <w:t>0.208</w:t>
            </w:r>
          </w:p>
        </w:tc>
        <w:tc>
          <w:tcPr>
            <w:tcW w:w="0" w:type="auto"/>
          </w:tcPr>
          <w:p w:rsidR="00467DD9" w:rsidRDefault="00E6182D">
            <w:pPr>
              <w:pStyle w:val="Compact"/>
              <w:jc w:val="right"/>
            </w:pPr>
            <w:r>
              <w:t>0.375</w:t>
            </w:r>
          </w:p>
        </w:tc>
        <w:tc>
          <w:tcPr>
            <w:tcW w:w="0" w:type="auto"/>
          </w:tcPr>
          <w:p w:rsidR="00467DD9" w:rsidRDefault="00E6182D">
            <w:pPr>
              <w:pStyle w:val="Compact"/>
              <w:jc w:val="right"/>
            </w:pPr>
            <w:r>
              <w:t>0.333</w:t>
            </w:r>
          </w:p>
        </w:tc>
        <w:tc>
          <w:tcPr>
            <w:tcW w:w="0" w:type="auto"/>
          </w:tcPr>
          <w:p w:rsidR="00467DD9" w:rsidRDefault="00E6182D">
            <w:pPr>
              <w:pStyle w:val="Compact"/>
              <w:jc w:val="right"/>
            </w:pPr>
            <w:r>
              <w:t>0.500</w:t>
            </w:r>
          </w:p>
        </w:tc>
        <w:tc>
          <w:tcPr>
            <w:tcW w:w="0" w:type="auto"/>
          </w:tcPr>
          <w:p w:rsidR="00467DD9" w:rsidRDefault="00E6182D">
            <w:pPr>
              <w:pStyle w:val="Compact"/>
              <w:jc w:val="right"/>
            </w:pPr>
            <w:r>
              <w:t>24</w:t>
            </w:r>
          </w:p>
        </w:tc>
      </w:tr>
      <w:tr w:rsidR="00467DD9">
        <w:tc>
          <w:tcPr>
            <w:tcW w:w="0" w:type="auto"/>
          </w:tcPr>
          <w:p w:rsidR="00467DD9" w:rsidRDefault="00E6182D">
            <w:pPr>
              <w:pStyle w:val="Compact"/>
            </w:pPr>
            <w:r>
              <w:t>Adventures in Mathematics</w:t>
            </w:r>
          </w:p>
        </w:tc>
        <w:tc>
          <w:tcPr>
            <w:tcW w:w="0" w:type="auto"/>
          </w:tcPr>
          <w:p w:rsidR="00467DD9" w:rsidRDefault="00E6182D">
            <w:pPr>
              <w:pStyle w:val="Compact"/>
              <w:jc w:val="right"/>
            </w:pPr>
            <w:r>
              <w:t>0.583</w:t>
            </w:r>
          </w:p>
        </w:tc>
        <w:tc>
          <w:tcPr>
            <w:tcW w:w="0" w:type="auto"/>
          </w:tcPr>
          <w:p w:rsidR="00467DD9" w:rsidRDefault="00E6182D">
            <w:pPr>
              <w:pStyle w:val="Compact"/>
              <w:jc w:val="right"/>
            </w:pPr>
            <w:r>
              <w:t>0.292</w:t>
            </w:r>
          </w:p>
        </w:tc>
        <w:tc>
          <w:tcPr>
            <w:tcW w:w="0" w:type="auto"/>
          </w:tcPr>
          <w:p w:rsidR="00467DD9" w:rsidRDefault="00E6182D">
            <w:pPr>
              <w:pStyle w:val="Compact"/>
              <w:jc w:val="right"/>
            </w:pPr>
            <w:r>
              <w:t>0.542</w:t>
            </w:r>
          </w:p>
        </w:tc>
        <w:tc>
          <w:tcPr>
            <w:tcW w:w="0" w:type="auto"/>
          </w:tcPr>
          <w:p w:rsidR="00467DD9" w:rsidRDefault="00E6182D">
            <w:pPr>
              <w:pStyle w:val="Compact"/>
              <w:jc w:val="right"/>
            </w:pPr>
            <w:r>
              <w:t>0.458</w:t>
            </w:r>
          </w:p>
        </w:tc>
        <w:tc>
          <w:tcPr>
            <w:tcW w:w="0" w:type="auto"/>
          </w:tcPr>
          <w:p w:rsidR="00467DD9" w:rsidRDefault="00E6182D">
            <w:pPr>
              <w:pStyle w:val="Compact"/>
              <w:jc w:val="right"/>
            </w:pPr>
            <w:r>
              <w:t>0.750</w:t>
            </w:r>
          </w:p>
        </w:tc>
        <w:tc>
          <w:tcPr>
            <w:tcW w:w="0" w:type="auto"/>
          </w:tcPr>
          <w:p w:rsidR="00467DD9" w:rsidRDefault="00E6182D">
            <w:pPr>
              <w:pStyle w:val="Compact"/>
              <w:jc w:val="right"/>
            </w:pPr>
            <w:r>
              <w:t>24</w:t>
            </w:r>
          </w:p>
        </w:tc>
      </w:tr>
    </w:tbl>
    <w:p w:rsidR="00467DD9" w:rsidRDefault="00E6182D">
      <w:pPr>
        <w:pStyle w:val="Heading3"/>
      </w:pPr>
      <w:bookmarkStart w:id="36" w:name="nature-of-work-with-data"/>
      <w:bookmarkEnd w:id="36"/>
      <w:r>
        <w:t>Nature of work with data</w:t>
      </w:r>
    </w:p>
    <w:p w:rsidR="00467DD9" w:rsidRDefault="00E6182D">
      <w:pPr>
        <w:pStyle w:val="FirstParagraph"/>
      </w:pPr>
      <w:r>
        <w:t>Each of the segments of video was coded. This coding resulted in approximately three to four sentence notes from each of two raters for every segment. I then reviewed these notes with the aim to identify themes based on enriching and better understanding t</w:t>
      </w:r>
      <w:r>
        <w:t>he aspects of work with data.</w:t>
      </w:r>
    </w:p>
    <w:p w:rsidR="00467DD9" w:rsidRDefault="00E6182D">
      <w:pPr>
        <w:pStyle w:val="Heading4"/>
      </w:pPr>
      <w:bookmarkStart w:id="37" w:name="asking-questions-or-identifying-problems"/>
      <w:bookmarkEnd w:id="37"/>
      <w:r>
        <w:t>Asking questions or identifying problems</w:t>
      </w:r>
    </w:p>
    <w:p w:rsidR="00467DD9" w:rsidRDefault="00E6182D">
      <w:pPr>
        <w:pStyle w:val="FirstParagraph"/>
      </w:pPr>
      <w:r>
        <w:t>Asking questions occurred in 92 of the segments (as coded by the PQA). In the 92 segments that were coded with asking questions, the open-ended, in-depth analysis identified 36 segments</w:t>
      </w:r>
      <w:r>
        <w:t xml:space="preserve"> that were focused on asking questions in ways that clearly aligned with the conceptual framework for work with data. Qualitative coding showed that this aspect of work with data was highly variable. When the qualitative coding revealed this code to be pre</w:t>
      </w:r>
      <w:r>
        <w:t xml:space="preserve">sent, it was often when youth were trying to better understand the phenomenon or problem they were investigating. For example, in a segment during the </w:t>
      </w:r>
      <w:r>
        <w:rPr>
          <w:i/>
        </w:rPr>
        <w:t>Ecosphere</w:t>
      </w:r>
      <w:r>
        <w:t xml:space="preserve"> program in which youth constructed inclined tables to study how water moved throughout the ecos</w:t>
      </w:r>
      <w:r>
        <w:t>ystem, the youth activity leader prompted youth to generate hypotheses of what would happen when water was poured onto the table, before pouring the water. Other segments showed that there were also many segments for which the PQA codes suggested asking qu</w:t>
      </w:r>
      <w:r>
        <w:t>estions would be present, but the in-depth analysis revealed were not always always focused on predicting, conjecturing, or hypothesizing. In these cases, the code was applied to instances in which the youth were asking generic questions (i.e., about how t</w:t>
      </w:r>
      <w:r>
        <w:t xml:space="preserve">hey do an assignment) or when the instructor was asking youth questions (i.e., math-related questions). For example, in the </w:t>
      </w:r>
      <w:r>
        <w:rPr>
          <w:i/>
        </w:rPr>
        <w:t>Marine Investigators</w:t>
      </w:r>
      <w:r>
        <w:t xml:space="preserve"> program, youth visited a water treatment site, and were provided opportunities to ask questions about what they</w:t>
      </w:r>
      <w:r>
        <w:t xml:space="preserve"> saw.</w:t>
      </w:r>
    </w:p>
    <w:p w:rsidR="00467DD9" w:rsidRDefault="00E6182D">
      <w:pPr>
        <w:pStyle w:val="Heading4"/>
      </w:pPr>
      <w:bookmarkStart w:id="38" w:name="making-observations"/>
      <w:bookmarkEnd w:id="38"/>
      <w:r>
        <w:t>Making observations</w:t>
      </w:r>
    </w:p>
    <w:p w:rsidR="00467DD9" w:rsidRDefault="00E6182D">
      <w:pPr>
        <w:pStyle w:val="FirstParagraph"/>
      </w:pPr>
      <w:r>
        <w:t>Making observations occurred in 57 of the segments (as coded by the PQA), 49 which the open-ended coding revealed were clearly aligned with the coding frame, indicating that this code was used in ways that were close to how this a</w:t>
      </w:r>
      <w:r>
        <w:t>spect of work with data was conceptualized. Many of the times, this code was applied in conjunction with observing phenomenon in the field, or, in the case of engineering-focused programs, noticing what was going on with a particular design. For example, i</w:t>
      </w:r>
      <w:r>
        <w:t xml:space="preserve">n the </w:t>
      </w:r>
      <w:r>
        <w:rPr>
          <w:i/>
        </w:rPr>
        <w:t>Building Mania</w:t>
      </w:r>
      <w:r>
        <w:t xml:space="preserve"> program, youth constructed Rube Goldberg machines; youth were prompted by the activity leaders to notice how changes in their design led to differences in how far objects were launched or rolled. When qualitative coders determined this</w:t>
      </w:r>
      <w:r>
        <w:t xml:space="preserve"> was not present, it was usually due to the observations being not of phenomena, but of the instructor. For example, in the </w:t>
      </w:r>
      <w:r>
        <w:rPr>
          <w:i/>
        </w:rPr>
        <w:t>Adventures in Mathematics</w:t>
      </w:r>
      <w:r>
        <w:t xml:space="preserve"> program, instances in which youth observed other youth or the youth activity leader solving a mathematics </w:t>
      </w:r>
      <w:r>
        <w:t>problem was often coded as involving making observations.</w:t>
      </w:r>
    </w:p>
    <w:p w:rsidR="00467DD9" w:rsidRDefault="00E6182D">
      <w:pPr>
        <w:pStyle w:val="Heading4"/>
      </w:pPr>
      <w:bookmarkStart w:id="39" w:name="generating-data"/>
      <w:bookmarkEnd w:id="39"/>
      <w:r>
        <w:lastRenderedPageBreak/>
        <w:t>Generating data</w:t>
      </w:r>
    </w:p>
    <w:p w:rsidR="00467DD9" w:rsidRDefault="00E6182D">
      <w:pPr>
        <w:pStyle w:val="FirstParagraph"/>
      </w:pPr>
      <w:r>
        <w:t>Generating data occurred in 102 segments (as coded by the PQA), 48 of which the in-depth analysis showed were aligned with the coding frame. When present based on qualitative codes, youth were writing down observations, recording information from experimen</w:t>
      </w:r>
      <w:r>
        <w:t xml:space="preserve">ts, or recording the results of a trial (in engineering contexts). For example, in the </w:t>
      </w:r>
      <w:r>
        <w:rPr>
          <w:i/>
        </w:rPr>
        <w:t>Marine Investigators</w:t>
      </w:r>
      <w:r>
        <w:t xml:space="preserve"> program, youth collected pieces of recyclable plastic, bringing them back to the classroom and counting them for each location they were collected. </w:t>
      </w:r>
      <w:r>
        <w:t>When the PQA code indicated that work with data was present, but the subsequent analysis indicated that this practice was not evident, this was often youth were writing down what the youth activity leader was saying, or was focused on collecting specimens,</w:t>
      </w:r>
      <w:r>
        <w:t xml:space="preserve"> but not writing them down, entering them into a spreadsheet, or otherwise recording them as data. For example, again in the </w:t>
      </w:r>
      <w:r>
        <w:rPr>
          <w:i/>
        </w:rPr>
        <w:t>Marine Investigators</w:t>
      </w:r>
      <w:r>
        <w:t xml:space="preserve"> program, youth used nets to collect saltwater organisms, which they then transported in buckets back to the cl</w:t>
      </w:r>
      <w:r>
        <w:t>assroom setting for subsequent analysis. While these specimens could be considered as data, at least in the segment described, youth did not inscribe notes or any other observations on the specimens they were collecting, and so data was not generated (at t</w:t>
      </w:r>
      <w:r>
        <w:t>his stage).</w:t>
      </w:r>
    </w:p>
    <w:p w:rsidR="00467DD9" w:rsidRDefault="00E6182D">
      <w:pPr>
        <w:pStyle w:val="Heading4"/>
      </w:pPr>
      <w:bookmarkStart w:id="40" w:name="data-modeling"/>
      <w:bookmarkEnd w:id="40"/>
      <w:r>
        <w:t>Data modeling</w:t>
      </w:r>
    </w:p>
    <w:p w:rsidR="00467DD9" w:rsidRDefault="00E6182D">
      <w:pPr>
        <w:pStyle w:val="FirstParagraph"/>
      </w:pPr>
      <w:r>
        <w:t>Data modeling occurred in 68 segments (as coded by the PQA), 49 which were aligned with the coding frame. Like making observations, for data modeling, there was a high degree of alignment between the PQA codes and what the open-en</w:t>
      </w:r>
      <w:r>
        <w:t xml:space="preserve">ded coding. When this aspect of work with data was found to be present on the basis of the qualitative coding, youth used mathematical models. For example, in the </w:t>
      </w:r>
      <w:r>
        <w:rPr>
          <w:i/>
        </w:rPr>
        <w:t>Comunidad de Aprendizaje</w:t>
      </w:r>
      <w:r>
        <w:t xml:space="preserve"> program, youth accessed nationally-representative data and were task</w:t>
      </w:r>
      <w:r>
        <w:t xml:space="preserve">ed to solve problems, like finding out what percentage of people engage in particular activities, like donating to charity. When the PQA code was present but data modeling was not done in a way aligned with the conceptual framework for work with data, the </w:t>
      </w:r>
      <w:r>
        <w:t xml:space="preserve">youth activity leader, rather than students, was doing the modeling, or the model was not one that could generate data. For example, in the </w:t>
      </w:r>
      <w:r>
        <w:rPr>
          <w:i/>
        </w:rPr>
        <w:t>Marine Investigators</w:t>
      </w:r>
      <w:r>
        <w:t xml:space="preserve"> program, a youth activity leader used a plush toy seal designed to teach youth about anatomy an</w:t>
      </w:r>
      <w:r>
        <w:t>d the dangers of aquatic mammals consuming trash and recyclables.</w:t>
      </w:r>
    </w:p>
    <w:p w:rsidR="00467DD9" w:rsidRDefault="00E6182D">
      <w:pPr>
        <w:pStyle w:val="Heading4"/>
      </w:pPr>
      <w:bookmarkStart w:id="41" w:name="interpreting-and-communicating-findings"/>
      <w:bookmarkEnd w:id="41"/>
      <w:r>
        <w:t>Interpreting and communicating findings</w:t>
      </w:r>
    </w:p>
    <w:p w:rsidR="00467DD9" w:rsidRDefault="00E6182D">
      <w:pPr>
        <w:pStyle w:val="FirstParagraph"/>
      </w:pPr>
      <w:r>
        <w:t>Codes for interpreting and communicating were present in 103 segments (as coded by the PQA), in-depth, open-ended coding revealed 49 were aligned with</w:t>
      </w:r>
      <w:r>
        <w:t xml:space="preserve"> the coding frame. When the qualitative coding revealed this aspect of work with data to be present, youth were often sharing what they found from an investigation or the results of using the product they designed. For example, in the </w:t>
      </w:r>
      <w:r>
        <w:rPr>
          <w:i/>
        </w:rPr>
        <w:t>Comunidad de Aprendiz</w:t>
      </w:r>
      <w:r>
        <w:rPr>
          <w:i/>
        </w:rPr>
        <w:t>aje</w:t>
      </w:r>
      <w:r>
        <w:t xml:space="preserve"> program, youth participated in an activity designed to support their thinking about creating a product to bring to market; the youth activity leaders described this as being akin to the television show the </w:t>
      </w:r>
      <w:r>
        <w:rPr>
          <w:i/>
        </w:rPr>
        <w:t>Shark Tank</w:t>
      </w:r>
      <w:r>
        <w:t>. In one segment, the youth activity</w:t>
      </w:r>
      <w:r>
        <w:t xml:space="preserve"> leader asks youth to think of an idea that would make an investor willing to invest in; students shared their ideas, describing what their ideas was, why it was a good idea, how much they could sell it for, and what their profit would be, while fielding q</w:t>
      </w:r>
      <w:r>
        <w:t xml:space="preserve">uestions from youth activity leaders and their peers. Interpreting and </w:t>
      </w:r>
      <w:r>
        <w:lastRenderedPageBreak/>
        <w:t>communicating findings was also commonly present in segments in which youth were debating the findings of an investigation, such as the results of calculations for the amount of recycla</w:t>
      </w:r>
      <w:r>
        <w:t xml:space="preserve">bles entering waterways (in </w:t>
      </w:r>
      <w:r>
        <w:rPr>
          <w:i/>
        </w:rPr>
        <w:t>Marine Investigators</w:t>
      </w:r>
      <w:r>
        <w:t>). When not present, which was common, youth were communicating about topics other than the results of an investigation or design process, such as trying to find out the answer to a question posed by the yout</w:t>
      </w:r>
      <w:r>
        <w:t xml:space="preserve">h activity leader, or the youth activity leader was who was doing the interpreting and communicating. For example, in the </w:t>
      </w:r>
      <w:r>
        <w:rPr>
          <w:i/>
        </w:rPr>
        <w:t>Adventures in Mathematics</w:t>
      </w:r>
      <w:r>
        <w:t xml:space="preserve"> program, the youth activity leader helped youth to solve problems on a worksheet, asking guiding questions t</w:t>
      </w:r>
      <w:r>
        <w:t>o help youth start to solve problems on their own.</w:t>
      </w:r>
    </w:p>
    <w:p w:rsidR="00467DD9" w:rsidRDefault="00E6182D">
      <w:pPr>
        <w:pStyle w:val="Heading3"/>
      </w:pPr>
      <w:r>
        <w:t>Summary of Findings for Research Question #1</w:t>
      </w:r>
    </w:p>
    <w:p w:rsidR="00467DD9" w:rsidRDefault="00E6182D">
      <w:pPr>
        <w:pStyle w:val="FirstParagraph"/>
      </w:pPr>
      <w:r>
        <w:t>This suggests that differences in how work with data was conceptualized and operationalized may lead, in some cases, to codes that do not reflect work with data</w:t>
      </w:r>
      <w:r>
        <w:t xml:space="preserve"> accurately, and can lead to some findings that seem unexpected given what we know about the potential for work with data to be engaging to youth.</w:t>
      </w:r>
    </w:p>
    <w:p w:rsidR="00467DD9" w:rsidRDefault="00E6182D">
      <w:pPr>
        <w:pStyle w:val="Heading2"/>
      </w:pPr>
      <w:bookmarkStart w:id="42" w:name="results-for-research-question-2-what-pro"/>
      <w:bookmarkEnd w:id="42"/>
      <w:r>
        <w:t>Results for Research Question #2: What profiles of youth engagement and its conditions emerge from experienti</w:t>
      </w:r>
      <w:r>
        <w:t>al data collected in the programs?</w:t>
      </w:r>
    </w:p>
    <w:p w:rsidR="00467DD9" w:rsidRDefault="00E6182D">
      <w:pPr>
        <w:pStyle w:val="FirstParagraph"/>
      </w:pPr>
      <w:r>
        <w:t>For every combination of models one through six and from two through ten profiles, only solutions associated with model specifications 1 and 2 (and among these two solutions, only those associated with particular number o</w:t>
      </w:r>
      <w:r>
        <w:t>f profiles) converged. This suggests that the more complex models were too complex given the systematic variability in the data used for the analysis. Thus, only solutions associated with models 1 (the model with varying means, equal variances, and covaria</w:t>
      </w:r>
      <w:r>
        <w:t>nces fixed to zero) and model 2 (varying means, equal variances, and equal covariances) were explored in subsequent sections.</w:t>
      </w:r>
    </w:p>
    <w:p w:rsidR="00467DD9" w:rsidRDefault="00E6182D">
      <w:pPr>
        <w:pStyle w:val="BodyText"/>
      </w:pPr>
      <w:r>
        <w:t>Following from the in-depth exploration of all of the models that converged (as described in the Appendix), the model one type, si</w:t>
      </w:r>
      <w:r>
        <w:t xml:space="preserve">x profile model is selected on the basis of a range of criteria including fit statistics, statistical tests, and concerns of interpretability and parsimony. This model demonstrated superior fit on the basis of the information criteria (AIC and BIC) and on </w:t>
      </w:r>
      <w:r>
        <w:t xml:space="preserve">the basis of the measure of classification accuracy (entropy) and it was also highly interpretable. The model one type, seven profile solution also demonstrated good fit and high interpretability; this model is presented in detail in the Appendix. For the </w:t>
      </w:r>
      <w:r>
        <w:t>selected model, presented below, the raw data and the data that are centered to have a mean equal to 0 and a standard deviation of 1 (thus, the y-axis on each of the plots is labeled “Z-score”).</w:t>
      </w:r>
    </w:p>
    <w:p w:rsidR="00467DD9" w:rsidRDefault="00E6182D">
      <w:pPr>
        <w:pStyle w:val="BodyText"/>
      </w:pPr>
      <w:r>
        <w:rPr>
          <w:noProof/>
        </w:rPr>
        <w:lastRenderedPageBreak/>
        <w:drawing>
          <wp:inline distT="0" distB="0" distL="0" distR="0">
            <wp:extent cx="5334000" cy="3287447"/>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rosenberg-dissertation_files/figure-docx/unnamed-chunk-10-1.png"/>
                    <pic:cNvPicPr>
                      <a:picLocks noChangeAspect="1" noChangeArrowheads="1"/>
                    </pic:cNvPicPr>
                  </pic:nvPicPr>
                  <pic:blipFill>
                    <a:blip r:embed="rId9"/>
                    <a:stretch>
                      <a:fillRect/>
                    </a:stretch>
                  </pic:blipFill>
                  <pic:spPr bwMode="auto">
                    <a:xfrm>
                      <a:off x="0" y="0"/>
                      <a:ext cx="5334000" cy="3287447"/>
                    </a:xfrm>
                    <a:prstGeom prst="rect">
                      <a:avLst/>
                    </a:prstGeom>
                    <a:noFill/>
                    <a:ln w="9525">
                      <a:noFill/>
                      <a:headEnd/>
                      <a:tailEnd/>
                    </a:ln>
                  </pic:spPr>
                </pic:pic>
              </a:graphicData>
            </a:graphic>
          </wp:inline>
        </w:drawing>
      </w:r>
      <w:r>
        <w:rPr>
          <w:noProof/>
        </w:rPr>
        <w:drawing>
          <wp:inline distT="0" distB="0" distL="0" distR="0">
            <wp:extent cx="5334000" cy="3287447"/>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rosenberg-dissertation_files/figure-docx/unnamed-chunk-10-2.png"/>
                    <pic:cNvPicPr>
                      <a:picLocks noChangeAspect="1" noChangeArrowheads="1"/>
                    </pic:cNvPicPr>
                  </pic:nvPicPr>
                  <pic:blipFill>
                    <a:blip r:embed="rId10"/>
                    <a:stretch>
                      <a:fillRect/>
                    </a:stretch>
                  </pic:blipFill>
                  <pic:spPr bwMode="auto">
                    <a:xfrm>
                      <a:off x="0" y="0"/>
                      <a:ext cx="5334000" cy="3287447"/>
                    </a:xfrm>
                    <a:prstGeom prst="rect">
                      <a:avLst/>
                    </a:prstGeom>
                    <a:noFill/>
                    <a:ln w="9525">
                      <a:noFill/>
                      <a:headEnd/>
                      <a:tailEnd/>
                    </a:ln>
                  </pic:spPr>
                </pic:pic>
              </a:graphicData>
            </a:graphic>
          </wp:inline>
        </w:drawing>
      </w:r>
    </w:p>
    <w:p w:rsidR="00467DD9" w:rsidRDefault="00E6182D">
      <w:pPr>
        <w:pStyle w:val="BodyText"/>
      </w:pPr>
      <w:r>
        <w:t>This solution is characterized by:</w:t>
      </w:r>
    </w:p>
    <w:p w:rsidR="00467DD9" w:rsidRDefault="00E6182D">
      <w:pPr>
        <w:pStyle w:val="Compact"/>
        <w:numPr>
          <w:ilvl w:val="0"/>
          <w:numId w:val="7"/>
        </w:numPr>
      </w:pPr>
      <w:r>
        <w:t xml:space="preserve">A </w:t>
      </w:r>
      <w:r>
        <w:rPr>
          <w:i/>
        </w:rPr>
        <w:t>full</w:t>
      </w:r>
      <w:r>
        <w:t xml:space="preserve"> profile, profile</w:t>
      </w:r>
      <w:r>
        <w:t xml:space="preserve"> 6</w:t>
      </w:r>
    </w:p>
    <w:p w:rsidR="00467DD9" w:rsidRDefault="00E6182D">
      <w:pPr>
        <w:pStyle w:val="Compact"/>
        <w:numPr>
          <w:ilvl w:val="0"/>
          <w:numId w:val="7"/>
        </w:numPr>
      </w:pPr>
      <w:r>
        <w:t xml:space="preserve">An </w:t>
      </w:r>
      <w:r>
        <w:rPr>
          <w:i/>
        </w:rPr>
        <w:t>universally low</w:t>
      </w:r>
      <w:r>
        <w:t xml:space="preserve"> profile, profile 2</w:t>
      </w:r>
    </w:p>
    <w:p w:rsidR="00467DD9" w:rsidRDefault="00E6182D">
      <w:pPr>
        <w:pStyle w:val="Compact"/>
        <w:numPr>
          <w:ilvl w:val="0"/>
          <w:numId w:val="7"/>
        </w:numPr>
      </w:pPr>
      <w:r>
        <w:t xml:space="preserve">An </w:t>
      </w:r>
      <w:r>
        <w:rPr>
          <w:i/>
        </w:rPr>
        <w:t>all moderate</w:t>
      </w:r>
      <w:r>
        <w:t xml:space="preserve"> profile, profile 5–and, like, the model 1, six profile solution–with moderate levels of affective engagement</w:t>
      </w:r>
    </w:p>
    <w:p w:rsidR="00467DD9" w:rsidRDefault="00E6182D">
      <w:pPr>
        <w:pStyle w:val="Compact"/>
        <w:numPr>
          <w:ilvl w:val="0"/>
          <w:numId w:val="7"/>
        </w:numPr>
      </w:pPr>
      <w:r>
        <w:lastRenderedPageBreak/>
        <w:t xml:space="preserve">An </w:t>
      </w:r>
      <w:r>
        <w:rPr>
          <w:i/>
        </w:rPr>
        <w:t>only behaviorally engaged</w:t>
      </w:r>
      <w:r>
        <w:t xml:space="preserve"> profile, profile 1, with moderate levels of behavioral engage</w:t>
      </w:r>
      <w:r>
        <w:t>ment, very low affective engagement, and moderately (low) levels of cognitive engagement and challenge and competence</w:t>
      </w:r>
    </w:p>
    <w:p w:rsidR="00467DD9" w:rsidRDefault="00E6182D">
      <w:pPr>
        <w:pStyle w:val="Compact"/>
        <w:numPr>
          <w:ilvl w:val="0"/>
          <w:numId w:val="7"/>
        </w:numPr>
      </w:pPr>
      <w:r>
        <w:t xml:space="preserve">An </w:t>
      </w:r>
      <w:r>
        <w:rPr>
          <w:i/>
        </w:rPr>
        <w:t>only affectively engaged</w:t>
      </w:r>
      <w:r>
        <w:t xml:space="preserve"> profile, profile 4, with moderate levels of affective engagement, low levels of behavioral engagement, and mod</w:t>
      </w:r>
      <w:r>
        <w:t>erately (low) levels of cognitive engagement and challenge and competence</w:t>
      </w:r>
    </w:p>
    <w:p w:rsidR="00467DD9" w:rsidRDefault="00E6182D">
      <w:pPr>
        <w:pStyle w:val="Compact"/>
        <w:numPr>
          <w:ilvl w:val="0"/>
          <w:numId w:val="7"/>
        </w:numPr>
      </w:pPr>
      <w:r>
        <w:t xml:space="preserve">An </w:t>
      </w:r>
      <w:r>
        <w:rPr>
          <w:i/>
        </w:rPr>
        <w:t>engaged and competent but not challenged</w:t>
      </w:r>
      <w:r>
        <w:t xml:space="preserve"> profile, profile 3, characterized by high levels of each of the three dimensions of engagement and of competence, but with low levels of c</w:t>
      </w:r>
      <w:r>
        <w:t>hallenge</w:t>
      </w:r>
    </w:p>
    <w:p w:rsidR="00467DD9" w:rsidRDefault="00E6182D">
      <w:pPr>
        <w:pStyle w:val="FirstParagraph"/>
      </w:pPr>
      <w:r>
        <w:t>The number of observations associated with each of the profiles is somewhat balanced, with the universally low profile with the largest number of observations (</w:t>
      </w:r>
      <w:r>
        <w:rPr>
          <w:i/>
        </w:rPr>
        <w:t>n</w:t>
      </w:r>
      <w:r>
        <w:t xml:space="preserve"> = 667), followed by the all moderate profile (</w:t>
      </w:r>
      <w:r>
        <w:rPr>
          <w:i/>
        </w:rPr>
        <w:t>n</w:t>
      </w:r>
      <w:r>
        <w:t xml:space="preserve"> = 638). Each of the other four profil</w:t>
      </w:r>
      <w:r>
        <w:t xml:space="preserve">es were associated with 300 to 400 observations. Unlike other solutions, this solution was associated with profiles that distinguished observations on the basis of both: There were profiles for only behaviorally and affectively engaged and for engaged and </w:t>
      </w:r>
      <w:r>
        <w:t>competent but not challenged.</w:t>
      </w:r>
    </w:p>
    <w:p w:rsidR="00467DD9" w:rsidRDefault="00E6182D">
      <w:pPr>
        <w:pStyle w:val="Heading3"/>
      </w:pPr>
      <w:bookmarkStart w:id="43" w:name="summary-of-research-question-2-findings"/>
      <w:bookmarkEnd w:id="43"/>
      <w:r>
        <w:t>Summary of research question #2 findings</w:t>
      </w:r>
    </w:p>
    <w:p w:rsidR="00467DD9" w:rsidRDefault="00E6182D">
      <w:pPr>
        <w:pStyle w:val="FirstParagraph"/>
      </w:pPr>
      <w:r>
        <w:t>After reviewing a wide range of models, a relatively simple model (model 1) with six profiles was selected for use in subsequent analyses. This model has momentary profiles of engagemen</w:t>
      </w:r>
      <w:r>
        <w:t>t and its conditions characterized by both varying levels on the dimensions of engagement and perceptions of challenge and competence. In addition, the number of observations across the profiles is relatively balanced.</w:t>
      </w:r>
    </w:p>
    <w:p w:rsidR="00467DD9" w:rsidRDefault="00E6182D">
      <w:pPr>
        <w:pStyle w:val="Heading2"/>
      </w:pPr>
      <w:bookmarkStart w:id="44" w:name="results-for-research-question-3-how-do-d"/>
      <w:bookmarkEnd w:id="44"/>
      <w:r>
        <w:t>Results for Research Question #3: How do data practices relate to youth engagement in the programs?</w:t>
      </w:r>
    </w:p>
    <w:p w:rsidR="00467DD9" w:rsidRDefault="00E6182D">
      <w:pPr>
        <w:pStyle w:val="Heading3"/>
      </w:pPr>
      <w:bookmarkStart w:id="45" w:name="null-models"/>
      <w:bookmarkEnd w:id="45"/>
      <w:r>
        <w:t>Null models</w:t>
      </w:r>
    </w:p>
    <w:p w:rsidR="00467DD9" w:rsidRDefault="00E6182D">
      <w:pPr>
        <w:pStyle w:val="FirstParagraph"/>
      </w:pPr>
      <w:r>
        <w:t>The null models presented in the table provide insight into the levels at which predictors may be able to explain the outcome. For all six profi</w:t>
      </w:r>
      <w:r>
        <w:t>les, the ICCs at the program level were very small, from 0.00 to 0.023. This suggests that very little variability can be explained simply by the program. For the momentary level, the ICCs were also very small, ranging from 0.004 to 0.011. Finally, the you</w:t>
      </w:r>
      <w:r>
        <w:t>th-level ICCs ranged from .099 to .427.</w:t>
      </w:r>
    </w:p>
    <w:p w:rsidR="00467DD9" w:rsidRDefault="00E6182D">
      <w:pPr>
        <w:pStyle w:val="BodyText"/>
      </w:pPr>
      <w:r>
        <w:t>Looking across these values, considering variability at the program, momentary, and youth levels, most of the explained variability in the responses is associated with youth; the program and momentary levels were ass</w:t>
      </w:r>
      <w:r>
        <w:t>ociated with very small values, suggesting that variables at these levels have minimal variability to explain. In turn, this suggests that these variables, including those for work with data, may not have strong effects in terms of their relations with the</w:t>
      </w:r>
      <w:r>
        <w:t xml:space="preserve"> profiles.</w:t>
      </w:r>
    </w:p>
    <w:p w:rsidR="00467DD9" w:rsidRDefault="00E6182D">
      <w:pPr>
        <w:pStyle w:val="BodyText"/>
      </w:pPr>
      <w:r>
        <w:t xml:space="preserve">In terms of specific ICCs at the youth level, the value for the youth-level ICC was highest for the </w:t>
      </w:r>
      <w:r>
        <w:rPr>
          <w:i/>
        </w:rPr>
        <w:t>full</w:t>
      </w:r>
      <w:r>
        <w:t xml:space="preserve"> profile, suggesting that some youth have a strong tendency to be fully engaged (possibly due to their initial interest or other individual c</w:t>
      </w:r>
      <w:r>
        <w:t xml:space="preserve">haracteristics and differences). </w:t>
      </w:r>
      <w:r>
        <w:lastRenderedPageBreak/>
        <w:t xml:space="preserve">The other profile characterized by a consistent pattern across all of the variables–the </w:t>
      </w:r>
      <w:r>
        <w:rPr>
          <w:i/>
        </w:rPr>
        <w:t>universally low</w:t>
      </w:r>
      <w:r>
        <w:t xml:space="preserve"> profile–had a modest ICC, .265. Finally, a large amount of variability is associated with the residual (variance that i</w:t>
      </w:r>
      <w:r>
        <w:t>s not associated with the program, momentary, or youth levels). This suggests that there is wide variation in students’ responses that may not be readily explained or predicted.</w:t>
      </w:r>
    </w:p>
    <w:p w:rsidR="00467DD9" w:rsidRDefault="00E6182D">
      <w:pPr>
        <w:pStyle w:val="Heading3"/>
      </w:pPr>
      <w:bookmarkStart w:id="46" w:name="models-with-variables-for-aspects-of-wor"/>
      <w:bookmarkEnd w:id="46"/>
      <w:r>
        <w:t>Models with variables for aspects of work with data added separately</w:t>
      </w:r>
    </w:p>
    <w:p w:rsidR="00467DD9" w:rsidRDefault="00E6182D">
      <w:pPr>
        <w:pStyle w:val="FirstParagraph"/>
      </w:pPr>
      <w:r>
        <w:t xml:space="preserve">When the predictor variables for work with data are added, some overall patterns and specific findings can be identified. The only relations with </w:t>
      </w:r>
      <w:r>
        <w:rPr>
          <w:i/>
        </w:rPr>
        <w:t>p</w:t>
      </w:r>
      <w:r>
        <w:t>-values that were below the criterion for statistical significance (.05) were for the relations between model</w:t>
      </w:r>
      <w:r>
        <w:t xml:space="preserve">ing data and the </w:t>
      </w:r>
      <w:r>
        <w:rPr>
          <w:i/>
        </w:rPr>
        <w:t>full</w:t>
      </w:r>
      <w:r>
        <w:t xml:space="preserve"> profile (</w:t>
      </w:r>
      <m:oMath>
        <m:r>
          <w:rPr>
            <w:rFonts w:ascii="Cambria Math" w:hAnsi="Cambria Math"/>
          </w:rPr>
          <m:t>β</m:t>
        </m:r>
      </m:oMath>
      <w:r>
        <w:t xml:space="preserve"> = 0.036 (0.016), </w:t>
      </w:r>
      <w:r>
        <w:rPr>
          <w:i/>
        </w:rPr>
        <w:t>p</w:t>
      </w:r>
      <w:r>
        <w:t xml:space="preserve"> = .016) and between generating data and the full profile (</w:t>
      </w:r>
      <m:oMath>
        <m:r>
          <w:rPr>
            <w:rFonts w:ascii="Cambria Math" w:hAnsi="Cambria Math"/>
          </w:rPr>
          <m:t>β</m:t>
        </m:r>
      </m:oMath>
      <w:r>
        <w:t xml:space="preserve"> = 0.029 (0.015), </w:t>
      </w:r>
      <w:r>
        <w:rPr>
          <w:i/>
        </w:rPr>
        <w:t>p</w:t>
      </w:r>
      <w:r>
        <w:t xml:space="preserve"> = .024). Interpreting and communicating findings was positively related to the </w:t>
      </w:r>
      <w:r>
        <w:rPr>
          <w:i/>
        </w:rPr>
        <w:t>Only behavioral</w:t>
      </w:r>
      <w:r>
        <w:t xml:space="preserve"> profile (</w:t>
      </w:r>
      <m:oMath>
        <m:r>
          <w:rPr>
            <w:rFonts w:ascii="Cambria Math" w:hAnsi="Cambria Math"/>
          </w:rPr>
          <m:t>β</m:t>
        </m:r>
      </m:oMath>
      <w:r>
        <w:t xml:space="preserve"> = 0.025 (0.014),</w:t>
      </w:r>
      <w:r>
        <w:t xml:space="preserve"> </w:t>
      </w:r>
      <w:r>
        <w:rPr>
          <w:i/>
        </w:rPr>
        <w:t>p</w:t>
      </w:r>
      <w:r>
        <w:t xml:space="preserve"> = .043).</w:t>
      </w:r>
    </w:p>
    <w:p w:rsidR="00BE0102" w:rsidRPr="00BE0102" w:rsidRDefault="00BE0102" w:rsidP="00BE0102">
      <w:pPr>
        <w:pStyle w:val="BodyText"/>
      </w:pPr>
      <w:r>
        <w:rPr>
          <w:noProof/>
        </w:rPr>
        <w:drawing>
          <wp:inline distT="0" distB="0" distL="0" distR="0">
            <wp:extent cx="5943600" cy="11576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8-04-26 at 11.13.28 P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1157605"/>
                    </a:xfrm>
                    <a:prstGeom prst="rect">
                      <a:avLst/>
                    </a:prstGeom>
                  </pic:spPr>
                </pic:pic>
              </a:graphicData>
            </a:graphic>
          </wp:inline>
        </w:drawing>
      </w:r>
    </w:p>
    <w:p w:rsidR="00467DD9" w:rsidRDefault="00E6182D">
      <w:pPr>
        <w:pStyle w:val="BodyText"/>
      </w:pPr>
      <w:r>
        <w:t>Adding these variables changed the (conditional upon the random effects) R</w:t>
      </w:r>
      <w:r>
        <w:rPr>
          <w:vertAlign w:val="superscript"/>
        </w:rPr>
        <w:t>2</w:t>
      </w:r>
      <w:r>
        <w:t xml:space="preserve"> values from, .002 to .018, very small changes suggesting that the aspects of work with data do not strongly predict the profiles. This is in-line with the correlations </w:t>
      </w:r>
      <w:r>
        <w:t>for these variables with those variables that make up the profiles, and the ICC values at the momentary level.</w:t>
      </w:r>
    </w:p>
    <w:p w:rsidR="00467DD9" w:rsidRDefault="00E6182D">
      <w:pPr>
        <w:pStyle w:val="BodyText"/>
      </w:pPr>
      <w:r>
        <w:t xml:space="preserve">The sensitivity analysis for the effect of generating data suggested that 1.884% of the inference would have to be due to bias to invalidate the </w:t>
      </w:r>
      <w:r>
        <w:t>inference, suggesting that this effect is not very robust to potential sources of bias, such as an omitted (in this analysis) confounding (or control) variable. For the effect of modeling, 9.835% would need to be due to bias to invalidate the inference and</w:t>
      </w:r>
      <w:r>
        <w:t xml:space="preserve"> for the effect of interpreting and communicating findings, 9.41% would need to be due to bias.</w:t>
      </w:r>
    </w:p>
    <w:p w:rsidR="00467DD9" w:rsidRDefault="00E6182D">
      <w:pPr>
        <w:pStyle w:val="Heading3"/>
      </w:pPr>
      <w:bookmarkStart w:id="47" w:name="models-with-the-composite-added"/>
      <w:bookmarkEnd w:id="47"/>
      <w:r>
        <w:t>Models with the composite added</w:t>
      </w:r>
    </w:p>
    <w:p w:rsidR="00467DD9" w:rsidRDefault="00E6182D">
      <w:pPr>
        <w:pStyle w:val="FirstParagraph"/>
      </w:pPr>
      <w:r>
        <w:t xml:space="preserve">For the composite of work with data, the composite predicted the profile for </w:t>
      </w:r>
      <w:r>
        <w:rPr>
          <w:i/>
        </w:rPr>
        <w:t>only behavioral</w:t>
      </w:r>
      <w:r>
        <w:t xml:space="preserve"> (</w:t>
      </w:r>
      <m:oMath>
        <m:r>
          <w:rPr>
            <w:rFonts w:ascii="Cambria Math" w:hAnsi="Cambria Math"/>
          </w:rPr>
          <m:t>β</m:t>
        </m:r>
      </m:oMath>
      <w:r>
        <w:t xml:space="preserve"> = 0.007 (0.004), </w:t>
      </w:r>
      <w:r>
        <w:rPr>
          <w:i/>
        </w:rPr>
        <w:t>p</w:t>
      </w:r>
      <w:r>
        <w:t xml:space="preserve"> = .021), but</w:t>
      </w:r>
      <w:r>
        <w:t xml:space="preserve"> not any of the other profiles. However, this coefficient is very small in practical terms. 12.261% would need to be due to bias to invalidate the inference. The change in R</w:t>
      </w:r>
      <w:r>
        <w:rPr>
          <w:vertAlign w:val="superscript"/>
        </w:rPr>
        <w:t>2</w:t>
      </w:r>
      <w:r>
        <w:t xml:space="preserve"> values ranged from .003 to .020, suggesting minimal potential relations among fac</w:t>
      </w:r>
      <w:r>
        <w:t>tors (such as support for work with data as measured by the composite variable) at the momentary level. When the composite was treated as a dichotomous (instead of a continuous) variable, so that the variable takes a value of one if any of the aspects of w</w:t>
      </w:r>
      <w:r>
        <w:t>ork with data are present, the results are similar in terms of the magnitude of the effects and their significance, as none of the relations are statistically significant when the dichotomous variable is used.</w:t>
      </w:r>
    </w:p>
    <w:p w:rsidR="00BE0102" w:rsidRDefault="00BE0102" w:rsidP="00BE0102">
      <w:pPr>
        <w:pStyle w:val="BodyText"/>
      </w:pPr>
    </w:p>
    <w:p w:rsidR="00BE0102" w:rsidRPr="00BE0102" w:rsidRDefault="00BE0102" w:rsidP="00BE0102">
      <w:pPr>
        <w:pStyle w:val="BodyText"/>
      </w:pPr>
      <w:r>
        <w:rPr>
          <w:noProof/>
        </w:rPr>
        <w:drawing>
          <wp:inline distT="0" distB="0" distL="0" distR="0">
            <wp:extent cx="5943600" cy="200596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8-04-26 at 11.13.54 PM.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2005965"/>
                    </a:xfrm>
                    <a:prstGeom prst="rect">
                      <a:avLst/>
                    </a:prstGeom>
                  </pic:spPr>
                </pic:pic>
              </a:graphicData>
            </a:graphic>
          </wp:inline>
        </w:drawing>
      </w:r>
    </w:p>
    <w:p w:rsidR="00467DD9" w:rsidRDefault="00E6182D">
      <w:pPr>
        <w:pStyle w:val="Heading3"/>
      </w:pPr>
      <w:r>
        <w:t>Summary of findings for research question #3</w:t>
      </w:r>
    </w:p>
    <w:p w:rsidR="00467DD9" w:rsidRDefault="00E6182D">
      <w:pPr>
        <w:pStyle w:val="FirstParagraph"/>
      </w:pPr>
      <w:r>
        <w:t>W</w:t>
      </w:r>
      <w:r>
        <w:t>hen looking across findings, we find few relations between work with data and the profiles, though there were notable effects of modeling and generating data, though they were small effects (i.e., when students are doing this, they are around 3% more likel</w:t>
      </w:r>
      <w:r>
        <w:t xml:space="preserve">y to be responding in a way associated with the </w:t>
      </w:r>
      <w:r>
        <w:rPr>
          <w:i/>
        </w:rPr>
        <w:t>full</w:t>
      </w:r>
      <w:r>
        <w:t xml:space="preserve"> profile).</w:t>
      </w:r>
    </w:p>
    <w:p w:rsidR="00BE0102" w:rsidRPr="00BE0102" w:rsidRDefault="00BE0102" w:rsidP="00BE0102">
      <w:pPr>
        <w:pStyle w:val="BodyText"/>
      </w:pPr>
      <w:r>
        <w:rPr>
          <w:noProof/>
        </w:rPr>
        <w:drawing>
          <wp:inline distT="0" distB="0" distL="0" distR="0">
            <wp:extent cx="5943600" cy="156591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8-04-26 at 11.14.09 P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1565910"/>
                    </a:xfrm>
                    <a:prstGeom prst="rect">
                      <a:avLst/>
                    </a:prstGeom>
                  </pic:spPr>
                </pic:pic>
              </a:graphicData>
            </a:graphic>
          </wp:inline>
        </w:drawing>
      </w:r>
    </w:p>
    <w:p w:rsidR="00BE0102" w:rsidRDefault="00E6182D">
      <w:pPr>
        <w:pStyle w:val="BodyText"/>
      </w:pPr>
      <w:r>
        <w:t xml:space="preserve">The composite for work with data had a relation of around 0.01 with the </w:t>
      </w:r>
      <w:r>
        <w:rPr>
          <w:i/>
        </w:rPr>
        <w:t>only behavioral</w:t>
      </w:r>
      <w:r>
        <w:t xml:space="preserve"> profile, suggesting that for each one-value increase in the composite (which has a range from one to five</w:t>
      </w:r>
      <w:r>
        <w:t>), this profile is around 1% more likely. These findings are similar to those obtained when the model 1 type, seven profile solution is used for the outcome variables; see the appendix for more detail. Broadly, further explanations and investigations of th</w:t>
      </w:r>
      <w:r>
        <w:t>ese effects –focusing on the characteristics of work with data in the context of summer STEM programs and how this support is measured in terms of codes from the video–are the focus on research question #4 and are discussed in the next chapter. Moreover, t</w:t>
      </w:r>
      <w:r>
        <w:t>hese findings are deepened in subsequent analyses for research questions #4.</w:t>
      </w:r>
    </w:p>
    <w:p w:rsidR="00467DD9" w:rsidRDefault="00E6182D">
      <w:pPr>
        <w:pStyle w:val="Heading2"/>
      </w:pPr>
      <w:bookmarkStart w:id="48" w:name="results-for-research-question-4-how-do-y"/>
      <w:bookmarkEnd w:id="48"/>
      <w:r>
        <w:t>Results for Research Question #4: How do youth characteristics relate to their engagement in summer STEM programs?</w:t>
      </w:r>
    </w:p>
    <w:p w:rsidR="00467DD9" w:rsidRDefault="00E6182D">
      <w:pPr>
        <w:pStyle w:val="FirstParagraph"/>
      </w:pPr>
      <w:r>
        <w:t>In this section, models with the individual characteristics adde</w:t>
      </w:r>
      <w:r>
        <w:t>d separately followed by models with their interactions with the work with data composite are specified.</w:t>
      </w:r>
    </w:p>
    <w:p w:rsidR="00467DD9" w:rsidRDefault="00E6182D">
      <w:pPr>
        <w:pStyle w:val="Heading3"/>
      </w:pPr>
      <w:bookmarkStart w:id="49" w:name="models-with-pre-interest-gender-and-unde"/>
      <w:bookmarkEnd w:id="49"/>
      <w:r>
        <w:lastRenderedPageBreak/>
        <w:t>Models with pre interest, gender, and under-represented minority (URM) status</w:t>
      </w:r>
    </w:p>
    <w:p w:rsidR="00467DD9" w:rsidRDefault="00E6182D">
      <w:pPr>
        <w:pStyle w:val="FirstParagraph"/>
      </w:pPr>
      <w:r>
        <w:t xml:space="preserve">These results show that overall pre-interest is associated with the </w:t>
      </w:r>
      <w:r>
        <w:rPr>
          <w:i/>
        </w:rPr>
        <w:t>engag</w:t>
      </w:r>
      <w:r>
        <w:rPr>
          <w:i/>
        </w:rPr>
        <w:t>ed and competent but not challenged</w:t>
      </w:r>
      <w:r>
        <w:t xml:space="preserve"> profile (</w:t>
      </w:r>
      <m:oMath>
        <m:r>
          <w:rPr>
            <w:rFonts w:ascii="Cambria Math" w:hAnsi="Cambria Math"/>
          </w:rPr>
          <m:t>β</m:t>
        </m:r>
      </m:oMath>
      <w:r>
        <w:t xml:space="preserve"> = 0.039 (0.021), p = .009). The effect of being a female has a relation of 0.059 (0.036, p = .054) upon the probability of a response being associated with the </w:t>
      </w:r>
      <w:r>
        <w:rPr>
          <w:i/>
        </w:rPr>
        <w:t>universally low</w:t>
      </w:r>
      <w:r>
        <w:t xml:space="preserve"> profile; though this effect did </w:t>
      </w:r>
      <w:r>
        <w:t xml:space="preserve">not meet the criteria for statistical significance, sensitivity analysis to determine how much more robust the effect would need to be to make an inference. For the effect of overall pre-interest upon the </w:t>
      </w:r>
      <w:r>
        <w:rPr>
          <w:i/>
        </w:rPr>
        <w:t>engaged and competent but not challenged</w:t>
      </w:r>
      <w:r>
        <w:t xml:space="preserve"> profile, 1</w:t>
      </w:r>
      <w:r>
        <w:t xml:space="preserve">7.879% would be needed to invalidate the inference, suggesting a moderately robust effect. For the effect of gender upon the </w:t>
      </w:r>
      <w:r>
        <w:rPr>
          <w:i/>
        </w:rPr>
        <w:t>universally low</w:t>
      </w:r>
      <w:r>
        <w:t xml:space="preserve"> profile, 16.996% of the bias would need to be removed (or the effect would need to be larger by this percentage) to</w:t>
      </w:r>
      <w:r>
        <w:t xml:space="preserve"> sustain the inference. The change in R</w:t>
      </w:r>
      <w:r>
        <w:rPr>
          <w:vertAlign w:val="superscript"/>
        </w:rPr>
        <w:t>2</w:t>
      </w:r>
      <w:r>
        <w:t xml:space="preserve"> values ranged from .004 to .007, suggesting that pre-interest and other individual characteristics - in addition to the aspects of work with data - have minimal relations with the profiles. This is more surprising t</w:t>
      </w:r>
      <w:r>
        <w:t>han the similarly minimal relations observed for work with data: as the null models indicate, there were large ICCs (a large proportion of the variability in the outcome variables) at the youth-level (as pre-interest, gender, and URM status are variables a</w:t>
      </w:r>
      <w:r>
        <w:t>ssociated with this level). This is discussed further in the next chapter.</w:t>
      </w:r>
      <w:r w:rsidR="00BE0102">
        <w:rPr>
          <w:noProof/>
        </w:rPr>
        <w:drawing>
          <wp:inline distT="0" distB="0" distL="0" distR="0">
            <wp:extent cx="5943600" cy="13665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8-04-26 at 11.14.14 P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1366520"/>
                    </a:xfrm>
                    <a:prstGeom prst="rect">
                      <a:avLst/>
                    </a:prstGeom>
                  </pic:spPr>
                </pic:pic>
              </a:graphicData>
            </a:graphic>
          </wp:inline>
        </w:drawing>
      </w:r>
    </w:p>
    <w:p w:rsidR="00467DD9" w:rsidRDefault="00E6182D">
      <w:pPr>
        <w:pStyle w:val="Heading3"/>
      </w:pPr>
      <w:bookmarkStart w:id="50" w:name="pre-interest-gender-and-urm-status-inter"/>
      <w:bookmarkEnd w:id="50"/>
      <w:r>
        <w:t>Pre-interest, gender, and URM status interactions work with data composite</w:t>
      </w:r>
    </w:p>
    <w:p w:rsidR="00467DD9" w:rsidRDefault="00E6182D">
      <w:pPr>
        <w:pStyle w:val="FirstParagraph"/>
      </w:pPr>
      <w:r>
        <w:t>These results show similar patterns to the earlier models.Like in the models with only pre-interest and th</w:t>
      </w:r>
      <w:r>
        <w:t xml:space="preserve">e other individual characteristics alone (and like in the model with the individual aspects), pre-interest is related to the </w:t>
      </w:r>
      <w:r>
        <w:rPr>
          <w:i/>
        </w:rPr>
        <w:t>only behavioral</w:t>
      </w:r>
      <w:r>
        <w:t xml:space="preserve"> profile (</w:t>
      </w:r>
      <m:oMath>
        <m:r>
          <w:rPr>
            <w:rFonts w:ascii="Cambria Math" w:hAnsi="Cambria Math"/>
          </w:rPr>
          <m:t>β</m:t>
        </m:r>
      </m:oMath>
      <w:r>
        <w:t xml:space="preserve"> = 0.033 (0.018), p = .033). Being female is again related but not to a level that it meets the criteria</w:t>
      </w:r>
      <w:r>
        <w:t xml:space="preserve"> for statistical significance (</w:t>
      </w:r>
      <m:oMath>
        <m:r>
          <w:rPr>
            <w:rFonts w:ascii="Cambria Math" w:hAnsi="Cambria Math"/>
          </w:rPr>
          <m:t>β</m:t>
        </m:r>
      </m:oMath>
      <w:r>
        <w:t xml:space="preserve"> = 0.064 (0.041), p = .059). With the interactions added, the composite was no significantly related to the </w:t>
      </w:r>
      <w:r>
        <w:rPr>
          <w:i/>
        </w:rPr>
        <w:t>only behavioral</w:t>
      </w:r>
      <w:r>
        <w:t xml:space="preserve"> profile (</w:t>
      </w:r>
      <m:oMath>
        <m:r>
          <w:rPr>
            <w:rFonts w:ascii="Cambria Math" w:hAnsi="Cambria Math"/>
          </w:rPr>
          <m:t>β</m:t>
        </m:r>
      </m:oMath>
      <w:r>
        <w:t xml:space="preserve"> </w:t>
      </w:r>
      <w:r>
        <w:t xml:space="preserve">= 0.016 (0.016), p = .156) to a similar extent and with similar robustness as found in the separate model. One interaction, between pre-interest and being female, had a significant effect upon the profile for </w:t>
      </w:r>
      <w:r>
        <w:rPr>
          <w:i/>
        </w:rPr>
        <w:t>full</w:t>
      </w:r>
      <w:r>
        <w:t xml:space="preserve"> engagement (</w:t>
      </w:r>
      <m:oMath>
        <m:r>
          <w:rPr>
            <w:rFonts w:ascii="Cambria Math" w:hAnsi="Cambria Math"/>
          </w:rPr>
          <m:t>β</m:t>
        </m:r>
      </m:oMath>
      <w:r>
        <w:t xml:space="preserve"> = 0.012 (0.006), p = .026).</w:t>
      </w:r>
      <w:r>
        <w:t xml:space="preserve"> However, only 1.953% of the effect would need to be due to bias to invalidate the inference. The R</w:t>
      </w:r>
      <w:r>
        <w:rPr>
          <w:vertAlign w:val="superscript"/>
        </w:rPr>
        <w:t>2</w:t>
      </w:r>
      <w:r>
        <w:t xml:space="preserve"> values, relative to the models with only random effects (the null models), increased from .003 to .028, again suggesting small effects of the predictors up</w:t>
      </w:r>
      <w:r>
        <w:t xml:space="preserve">on the profiles. Note that “Comp.” refers to the data modeling </w:t>
      </w:r>
      <w:r>
        <w:lastRenderedPageBreak/>
        <w:t>composite.</w:t>
      </w:r>
      <w:r w:rsidR="00BE0102">
        <w:rPr>
          <w:noProof/>
        </w:rPr>
        <w:drawing>
          <wp:inline distT="0" distB="0" distL="0" distR="0">
            <wp:extent cx="5943600" cy="105791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8-04-26 at 11.14.21 P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1057910"/>
                    </a:xfrm>
                    <a:prstGeom prst="rect">
                      <a:avLst/>
                    </a:prstGeom>
                  </pic:spPr>
                </pic:pic>
              </a:graphicData>
            </a:graphic>
          </wp:inline>
        </w:drawing>
      </w:r>
    </w:p>
    <w:p w:rsidR="00467DD9" w:rsidRDefault="00E6182D">
      <w:pPr>
        <w:pStyle w:val="Heading3"/>
      </w:pPr>
      <w:bookmarkStart w:id="51" w:name="summary-of-findings-for-research-questio"/>
      <w:bookmarkEnd w:id="51"/>
      <w:r>
        <w:t>Summary of findings for research question #4</w:t>
      </w:r>
    </w:p>
    <w:p w:rsidR="00467DD9" w:rsidRDefault="00E6182D">
      <w:pPr>
        <w:pStyle w:val="FirstParagraph"/>
      </w:pPr>
      <w:r>
        <w:t>When looking across findings, we find minimal relations between pre-interest and other individual characteristics.</w:t>
      </w:r>
      <w:r w:rsidR="00BE0102">
        <w:rPr>
          <w:noProof/>
        </w:rPr>
        <w:drawing>
          <wp:inline distT="0" distB="0" distL="0" distR="0">
            <wp:extent cx="5943600" cy="136969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8-04-26 at 11.14.26 P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1369695"/>
                    </a:xfrm>
                    <a:prstGeom prst="rect">
                      <a:avLst/>
                    </a:prstGeom>
                  </pic:spPr>
                </pic:pic>
              </a:graphicData>
            </a:graphic>
          </wp:inline>
        </w:drawing>
      </w:r>
    </w:p>
    <w:p w:rsidR="00467DD9" w:rsidRDefault="00E6182D">
      <w:pPr>
        <w:pStyle w:val="BodyText"/>
      </w:pPr>
      <w:r>
        <w:t>In particular, we foun</w:t>
      </w:r>
      <w:r>
        <w:t xml:space="preserve">d that pre-interest was related to the </w:t>
      </w:r>
      <w:r>
        <w:rPr>
          <w:i/>
        </w:rPr>
        <w:t>engaged and comptent but not challenged</w:t>
      </w:r>
      <w:r>
        <w:t xml:space="preserve"> profile to a modest extent. Being female did not demonstrate statistically significant relations with the </w:t>
      </w:r>
      <w:r>
        <w:rPr>
          <w:i/>
        </w:rPr>
        <w:t>univerally low</w:t>
      </w:r>
      <w:r>
        <w:t xml:space="preserve"> profile, though some moderately-sized effects that were </w:t>
      </w:r>
      <w:r>
        <w:t>nearly statistically significant were observed and interpreted in terms of how much bias would need to be reduced (or how much the larger the effect would need to be) in order for this relation to be statistically significant.Note that the positive pre-int</w:t>
      </w:r>
      <w:r>
        <w:t>erest coefficient is the estimate from the model with the interaction (without the interaction, the coefficient was also statistically significant and was 0.039). These results, like those for research question #2, are similar to those obtained when the mo</w:t>
      </w:r>
      <w:r>
        <w:t>del 1 type, seven profile solution is used for the outcome variables. There were few interactive effects observed; the magnitude of the effect of the composite and gender interaction was small (as were the changes in the R</w:t>
      </w:r>
      <w:r>
        <w:rPr>
          <w:vertAlign w:val="superscript"/>
        </w:rPr>
        <w:t>2</w:t>
      </w:r>
      <w:r>
        <w:t xml:space="preserve"> value as a consequence of adding</w:t>
      </w:r>
      <w:r>
        <w:t xml:space="preserve"> this interaction), and the effect appears to not be highly robust to potential sources of bias. Like for research question #2, reasons for why this may be are explored in the next chapter.</w:t>
      </w:r>
    </w:p>
    <w:p w:rsidR="00467DD9" w:rsidRDefault="00E6182D">
      <w:pPr>
        <w:pStyle w:val="Heading1"/>
      </w:pPr>
      <w:bookmarkStart w:id="52" w:name="discussion"/>
      <w:bookmarkEnd w:id="52"/>
      <w:r>
        <w:t>Discussion</w:t>
      </w:r>
    </w:p>
    <w:p w:rsidR="00467DD9" w:rsidRDefault="00E6182D">
      <w:pPr>
        <w:pStyle w:val="Heading2"/>
      </w:pPr>
      <w:bookmarkStart w:id="53" w:name="key-findings"/>
      <w:bookmarkEnd w:id="53"/>
      <w:r>
        <w:t>Key Findings</w:t>
      </w:r>
    </w:p>
    <w:p w:rsidR="00467DD9" w:rsidRDefault="00E6182D">
      <w:pPr>
        <w:pStyle w:val="Heading3"/>
      </w:pPr>
      <w:bookmarkStart w:id="54" w:name="key-findings-for-research-question-1-on-"/>
      <w:bookmarkEnd w:id="54"/>
      <w:r>
        <w:t xml:space="preserve">Key findings for research question #1 (on </w:t>
      </w:r>
      <w:r>
        <w:t>the frequency and nature of work with data)</w:t>
      </w:r>
    </w:p>
    <w:p w:rsidR="00467DD9" w:rsidRDefault="00E6182D">
      <w:pPr>
        <w:pStyle w:val="FirstParagraph"/>
      </w:pPr>
      <w:r>
        <w:t>In terms of the frequency and nature of work with data, work with data was found to be common in the summer STEM programs that made the context for this study, with frequencies ranging from .258 (making observati</w:t>
      </w:r>
      <w:r>
        <w:t xml:space="preserve">ons) to .470 (communicating findings) of </w:t>
      </w:r>
      <w:r>
        <w:lastRenderedPageBreak/>
        <w:t>the programs, with any aspect being present in [add] of the program. Data modeling was, like making observations, less common, whereas asking questions and generating data, like communicating findings, were relative</w:t>
      </w:r>
      <w:r>
        <w:t>ly more common. This suggests that work with data is, in general, common across STEM programs, as expected based on past research (Lee &amp; Wilkerson, in press) and the design and goals of such programs (Dabney et al., 2012; Elam et al., 2012; add). Subsequen</w:t>
      </w:r>
      <w:r>
        <w:t xml:space="preserve">t qualitative showed that asking questions, generating data, and interpreting and communicating findings, the three aspects that were </w:t>
      </w:r>
      <w:r>
        <w:rPr>
          <w:i/>
        </w:rPr>
        <w:t>more frequent</w:t>
      </w:r>
      <w:r>
        <w:t xml:space="preserve"> in the programs, also were the most inconsistent with how work with data was conceptualized in this study. T</w:t>
      </w:r>
      <w:r>
        <w:t>his suggests that while work with data is somewhat common, more veridical forms of it are somewhat less common, occurring in around 25% of the programs’ time. While descriptive in nature, these results present the first insight that I am aware of of the ex</w:t>
      </w:r>
      <w:r>
        <w:t>tent of work with data in STEM enrichment programs. They suggest that, as past scholarship (National Research Council, 2009, 2012) can provide a context for youth to be involved in the type of scientific and engineering practices-focused activities that ca</w:t>
      </w:r>
      <w:r>
        <w:t>n be particularly powerful for youth (and students) in terms of their learning.</w:t>
      </w:r>
    </w:p>
    <w:p w:rsidR="00467DD9" w:rsidRDefault="00E6182D">
      <w:pPr>
        <w:pStyle w:val="Heading3"/>
      </w:pPr>
      <w:bookmarkStart w:id="55" w:name="key-findings-for-research-question-2-wha"/>
      <w:bookmarkEnd w:id="55"/>
      <w:r>
        <w:t>Key findings for research question #2 (what profiles of engagement emerge)</w:t>
      </w:r>
    </w:p>
    <w:p w:rsidR="00467DD9" w:rsidRDefault="00E6182D">
      <w:pPr>
        <w:pStyle w:val="FirstParagraph"/>
      </w:pPr>
      <w:r>
        <w:t>Six profiles of engagement and its conditions were identified. These profiles included those that wer</w:t>
      </w:r>
      <w:r>
        <w:t>e strongly negative (</w:t>
      </w:r>
      <w:r>
        <w:rPr>
          <w:i/>
        </w:rPr>
        <w:t>Universally low</w:t>
      </w:r>
      <w:r>
        <w:t>) and strongly positive (</w:t>
      </w:r>
      <w:r>
        <w:rPr>
          <w:i/>
        </w:rPr>
        <w:t>Full</w:t>
      </w:r>
      <w:r>
        <w:t>), as well as those characterized by different levels of engagement (</w:t>
      </w:r>
      <w:r>
        <w:rPr>
          <w:i/>
        </w:rPr>
        <w:t>Only behavioral</w:t>
      </w:r>
      <w:r>
        <w:t xml:space="preserve"> and </w:t>
      </w:r>
      <w:r>
        <w:rPr>
          <w:i/>
        </w:rPr>
        <w:t>Only affective</w:t>
      </w:r>
      <w:r>
        <w:t>) and by different levels of the conditions of engagement (Engaged and Competent but not</w:t>
      </w:r>
      <w:r>
        <w:t xml:space="preserve"> Challenged). An </w:t>
      </w:r>
      <w:r>
        <w:rPr>
          <w:i/>
        </w:rPr>
        <w:t>All moderate</w:t>
      </w:r>
      <w:r>
        <w:t xml:space="preserve"> profile was also identified. The profiles suggest that the experiences of youth in summer STEM programs are variable and that the use of ESM can aid in the study of youths’ engagement. Little research has examined profiles of </w:t>
      </w:r>
      <w:r>
        <w:t>engagement, though Schmidt et al. (2018) examined profiles of momentary engagement, constructed from items for cognitive, behavioral, and affective engagement (but not perceptions of challenge and competence), and found six profiles, some of which partiall</w:t>
      </w:r>
      <w:r>
        <w:t xml:space="preserve">y overlap with those found in the present study. In particular, on the basis of the items shared between the studies, a </w:t>
      </w:r>
      <w:r>
        <w:rPr>
          <w:i/>
        </w:rPr>
        <w:t>Universally low</w:t>
      </w:r>
      <w:r>
        <w:t xml:space="preserve">, </w:t>
      </w:r>
      <w:r>
        <w:rPr>
          <w:i/>
        </w:rPr>
        <w:t>All moderate</w:t>
      </w:r>
      <w:r>
        <w:t xml:space="preserve">, and </w:t>
      </w:r>
      <w:r>
        <w:rPr>
          <w:i/>
        </w:rPr>
        <w:t>Full</w:t>
      </w:r>
      <w:r>
        <w:t xml:space="preserve"> profile were found in both studies. However, as these profiles are characterized by the (uniform</w:t>
      </w:r>
      <w:r>
        <w:t>) level across all of the variables, this is only limited evidence for the presence of these profiles in the larger population of youth engaged in science and STEM-related learning activities.</w:t>
      </w:r>
    </w:p>
    <w:p w:rsidR="00467DD9" w:rsidRDefault="00E6182D">
      <w:pPr>
        <w:pStyle w:val="Heading3"/>
      </w:pPr>
      <w:bookmarkStart w:id="56" w:name="key-findings-for-research-question-3-how"/>
      <w:bookmarkEnd w:id="56"/>
      <w:r>
        <w:t>Key findings for research question #3 (how work with data relat</w:t>
      </w:r>
      <w:r>
        <w:t>es to engagement)</w:t>
      </w:r>
    </w:p>
    <w:p w:rsidR="00467DD9" w:rsidRDefault="00E6182D">
      <w:pPr>
        <w:pStyle w:val="FirstParagraph"/>
      </w:pPr>
      <w:r>
        <w:t>Before relations between the groups of “predictor” variables, work with data and youth characteristics, and the profiles, were explored, the amount of variability that could be explained at the program, youth, and momentary levels were ex</w:t>
      </w:r>
      <w:r>
        <w:t>plored. The amount of variability that could be explained at the program and momentary level was small (no larger for any profile than .023, and as low as .00 at the program level and .004 at the momentary level for some profiles), while the amount of vari</w:t>
      </w:r>
      <w:r>
        <w:t xml:space="preserve">ability that could be explained at the youth level was moderate to large (between .099 and .427). This suggests that while there is variability in the composition of the profiles that were identified, youth </w:t>
      </w:r>
      <w:r>
        <w:lastRenderedPageBreak/>
        <w:t>characteristics–their pre-program thoughts, belie</w:t>
      </w:r>
      <w:r>
        <w:t xml:space="preserve">fs, and characteristics and their inclination to engage in particular ways throughout the program–largely explains the prevalence of the profiles. This also suggests that what youth do during the programs, and the design and implementation of the programs </w:t>
      </w:r>
      <w:r>
        <w:t xml:space="preserve">themselves, have little to do with how youth engage in them. This implies that even the strongest predictor variables at these (momentary and program) levels would likely not explain much variability in the profiles (though this is not always the case, as </w:t>
      </w:r>
      <w:r>
        <w:t>there are cases in which adding variables at one level can increase the amount of variability that can be explained at another; Gelman &amp; Hill, 2007).</w:t>
      </w:r>
    </w:p>
    <w:p w:rsidR="00467DD9" w:rsidRDefault="00E6182D">
      <w:pPr>
        <w:pStyle w:val="BodyText"/>
      </w:pPr>
      <w:r>
        <w:t>In line with what the preliminary analysis of the amount of variability that could be explained at the you</w:t>
      </w:r>
      <w:r>
        <w:t xml:space="preserve">th, momentary, and program levels, relations between work with data were largely not found, though some small, statistically significant relations were identified. Importantly, both generating and modeling data were found to be positively related to the </w:t>
      </w:r>
      <w:r>
        <w:rPr>
          <w:i/>
        </w:rPr>
        <w:t>Fu</w:t>
      </w:r>
      <w:r>
        <w:rPr>
          <w:i/>
        </w:rPr>
        <w:t>ll</w:t>
      </w:r>
      <w:r>
        <w:t xml:space="preserve"> profile, suggesting that when youth are involved in these practices, then they are more likely to report high levels of cognitive, behavioral, and affective engagement, and high perceptions of competence and challenge. The effect of data modeling was mo</w:t>
      </w:r>
      <w:r>
        <w:t>re robust than that for generating data, the latter which should be interpreted with caution. In short, this suggests that these activities are beneficial to youths’ engagement. Both communicating and interpreting findings and the composite measure for wor</w:t>
      </w:r>
      <w:r>
        <w:t xml:space="preserve">k with data were positively related to the </w:t>
      </w:r>
      <w:r>
        <w:rPr>
          <w:i/>
        </w:rPr>
        <w:t>Only behavioral</w:t>
      </w:r>
      <w:r>
        <w:t xml:space="preserve"> profile and these findings were fairly robust. This profile may indicate that students are experiencing a routine engagement (and not particularly adaptive) when they are communicating findings and</w:t>
      </w:r>
      <w:r>
        <w:t xml:space="preserve"> being involved in work with data in general. As there is no research on how work with data relates to youths’ engagement, the findings associated with this research question provide some, albeit limited, evidence (and directions for future research) for h</w:t>
      </w:r>
      <w:r>
        <w:t>ow some aspects of work with data relate to youths’ engagement.</w:t>
      </w:r>
    </w:p>
    <w:p w:rsidR="00467DD9" w:rsidRDefault="00E6182D">
      <w:pPr>
        <w:pStyle w:val="Heading3"/>
      </w:pPr>
      <w:bookmarkStart w:id="57" w:name="key-findings-for-research-question-4-how"/>
      <w:bookmarkEnd w:id="57"/>
      <w:r>
        <w:t>Key findings for research question #4 (how youth characteristics relate to engagement)</w:t>
      </w:r>
    </w:p>
    <w:p w:rsidR="00467DD9" w:rsidRDefault="00E6182D">
      <w:pPr>
        <w:pStyle w:val="FirstParagraph"/>
      </w:pPr>
      <w:r>
        <w:t>Not as much in line with expectations given the preliminary analysis, relations between youth characteris</w:t>
      </w:r>
      <w:r>
        <w:t xml:space="preserve">tics and the profiles were found to be small. In this way, these small relations were similar (in magnitude) to those between work with data and the profiles. Youth with higher pre-program interest were more likely to be </w:t>
      </w:r>
      <w:r>
        <w:rPr>
          <w:i/>
        </w:rPr>
        <w:t>Engaged and competent but not chall</w:t>
      </w:r>
      <w:r>
        <w:rPr>
          <w:i/>
        </w:rPr>
        <w:t>enged</w:t>
      </w:r>
      <w:r>
        <w:t>, suggesting that youth with higher interest in STEM are inclined to be highly engaged and good at what they are doing, but are not challenged by the activities they experience. This could be a function of the relationship between youths’ interest and</w:t>
      </w:r>
      <w:r>
        <w:t xml:space="preserve"> their competence before the program, which are often strongly related ([add]); these youth, as a result of their higher interest and competence, need more challenging activities to be more fully engaged. This effect was fairly robust. The interaction with</w:t>
      </w:r>
      <w:r>
        <w:t xml:space="preserve"> gender and the work with data composite revealed a positive relationship with </w:t>
      </w:r>
      <w:r>
        <w:rPr>
          <w:i/>
        </w:rPr>
        <w:t>Full</w:t>
      </w:r>
      <w:r>
        <w:t xml:space="preserve"> engagement, suggesting that the more that female youth work with data, the more likely they are to be positively engaged. However, sensitivity analysis revealed that this e</w:t>
      </w:r>
      <w:r>
        <w:t xml:space="preserve">ffect was not very robust, which, along with its small magnitude, suggests that it should be interpreted with some caution. Finding that female youth who are engaged in work with data are more likely to be fully engaged is </w:t>
      </w:r>
      <w:r>
        <w:lastRenderedPageBreak/>
        <w:t>important, given that past resear</w:t>
      </w:r>
      <w:r>
        <w:t>ch has suggested that female students are less likely to be engaged in STEM classes but we have limited information about what types of instruction may best support female students to be engaged and successful (e.g., Patall et al., 2017).</w:t>
      </w:r>
    </w:p>
    <w:p w:rsidR="00467DD9" w:rsidRDefault="00E6182D">
      <w:pPr>
        <w:pStyle w:val="Heading2"/>
      </w:pPr>
      <w:bookmarkStart w:id="58" w:name="limitations-of-the-study-and-recommendat"/>
      <w:bookmarkEnd w:id="58"/>
      <w:r>
        <w:t>Limitations of the Study and Recommendations for Future Research</w:t>
      </w:r>
    </w:p>
    <w:p w:rsidR="00467DD9" w:rsidRDefault="00E6182D">
      <w:pPr>
        <w:pStyle w:val="FirstParagraph"/>
      </w:pPr>
      <w:r>
        <w:t>This study examines youths’ engagement as an outcome. Accordingly, outcomes from engaging, such as the products of neither youths’ work or the specific cognitive capabilities they develop thr</w:t>
      </w:r>
      <w:r>
        <w:t xml:space="preserve">ough their participation, are not the focus. Thus, while some findings about how work with data and youth characteristics were found to be associated with different profiles of engagement and its conditions, we do not have an understanding of how engaging </w:t>
      </w:r>
      <w:r>
        <w:t>in more or less adaptive ways relates to these outcomes. Examining how work with data and engagement relate to key learning, motivational, and future goals and plans-related outcomes is a topic for future research.</w:t>
      </w:r>
    </w:p>
    <w:p w:rsidR="00467DD9" w:rsidRDefault="00E6182D">
      <w:pPr>
        <w:pStyle w:val="BodyText"/>
      </w:pPr>
      <w:r>
        <w:t>Another limitation concerns the context o</w:t>
      </w:r>
      <w:r>
        <w:t>f the study, summer STEM programs. While the programs that were involved in the study have many affordances for work with data and for being highly engaging for youth, they have some limitations, too, particularly with respect to support work with data. Im</w:t>
      </w:r>
      <w:r>
        <w:t>portantly, these were not programs explicitly designed to support work with data; while such contexts are being developed, they are not yet widespread. Learning environments that deliberately support work with data over a long period may demonstrate differ</w:t>
      </w:r>
      <w:r>
        <w:t>ent patterns of engagement than those examined in this study because of the focus on and sequencing of the aspects of work with data, which may make it more (or less) cognitively, behaviorally, or affectively engaging than is determined in this study. As M</w:t>
      </w:r>
      <w:r>
        <w:t>iller, Manz, Russ, Stroupe, and Berland (2018) highlight, truly engaging STEM activities are not easily come by; they require students to take ownership over and to make decisions about their explorations or designs. Thus, future research may study work wi</w:t>
      </w:r>
      <w:r>
        <w:t>th data in contexts designed to support it. A key part of this future research may be studying both work with data and how work with data is supported (most importantly by the instructor but also by the curriculum and technological tools).</w:t>
      </w:r>
    </w:p>
    <w:p w:rsidR="00467DD9" w:rsidRDefault="00E6182D">
      <w:pPr>
        <w:pStyle w:val="BodyText"/>
      </w:pPr>
      <w:r>
        <w:t>A related limita</w:t>
      </w:r>
      <w:r>
        <w:t>tion is that the programs that were the focus of this study were model programs, or those based on characteristics of exemplary STEM enrichment programs. As a result, engagement may be different in other STEM enrichment programs depending on characteristic</w:t>
      </w:r>
      <w:r>
        <w:t>s of the programs and their activities, and findings from this study should be interpreted in terms of programs that share similar characteristics.</w:t>
      </w:r>
    </w:p>
    <w:p w:rsidR="00467DD9" w:rsidRDefault="00E6182D">
      <w:pPr>
        <w:pStyle w:val="BodyText"/>
      </w:pPr>
      <w:r>
        <w:t>A potential issue concerns the analytic approach. As noted above, the profiles demonstrated very little vari</w:t>
      </w:r>
      <w:r>
        <w:t xml:space="preserve">ability at the program and momentary level, suggesting that factors at this level would likely not strongly predict the profiles. This could be a function of the use of profiles and the specific variables selected. It may also be the result of the outcome </w:t>
      </w:r>
      <w:r>
        <w:t>(engagement and its conditions) selected. Other analytic approaches can be carried out to determine the viability of the profiles approach and use of the items for engagement and its conditions for understanding work with data.</w:t>
      </w:r>
    </w:p>
    <w:p w:rsidR="00467DD9" w:rsidRDefault="00E6182D">
      <w:pPr>
        <w:pStyle w:val="BodyText"/>
      </w:pPr>
      <w:r>
        <w:t xml:space="preserve">A final limitation concerns </w:t>
      </w:r>
      <w:r>
        <w:t xml:space="preserve">the measures used. In particular, the qualitative coding revealed alignment but also discrepancies between work with data as determined from the PQA </w:t>
      </w:r>
      <w:r>
        <w:lastRenderedPageBreak/>
        <w:t>codes and the conceptual framework for work with data. While these issues were small, they suggest that the</w:t>
      </w:r>
      <w:r>
        <w:t xml:space="preserve"> coding frame for work with data is a limitation of the present study.</w:t>
      </w:r>
    </w:p>
    <w:p w:rsidR="00467DD9" w:rsidRDefault="00E6182D">
      <w:pPr>
        <w:pStyle w:val="BodyText"/>
      </w:pPr>
      <w:r>
        <w:t>While these are important limitations, it is worth noting that the modeling strategy (with the mixed effects models) in inherently a conservative approach. Thus, while the findings dete</w:t>
      </w:r>
      <w:r>
        <w:t>cted are small, they can be considered to be trustworthy on the basis of the way the ESM data were analyzed. This trustworthiness is enhanced by the use of sensitivity analysis, which showed how much of the effects could be due to bias for them to be inval</w:t>
      </w:r>
      <w:r>
        <w:t>idated.</w:t>
      </w:r>
    </w:p>
    <w:p w:rsidR="00467DD9" w:rsidRDefault="00E6182D">
      <w:pPr>
        <w:pStyle w:val="Heading2"/>
      </w:pPr>
      <w:bookmarkStart w:id="59" w:name="implications-for-practice"/>
      <w:bookmarkEnd w:id="59"/>
      <w:r>
        <w:t>Implications for Practice</w:t>
      </w:r>
    </w:p>
    <w:p w:rsidR="00467DD9" w:rsidRDefault="00E6182D">
      <w:pPr>
        <w:pStyle w:val="Heading3"/>
      </w:pPr>
      <w:bookmarkStart w:id="60" w:name="engage-youth-in-key-aspects-of-work-with"/>
      <w:bookmarkEnd w:id="60"/>
      <w:r>
        <w:t>Engage youth in key aspects of work with data</w:t>
      </w:r>
    </w:p>
    <w:p w:rsidR="00467DD9" w:rsidRDefault="00E6182D">
      <w:pPr>
        <w:pStyle w:val="FirstParagraph"/>
      </w:pPr>
      <w:r>
        <w:t>While limited evidence, this study suggests that generating and modeling data in particular may be beneficial in terms of engaging youth. Generating data in particular may be a</w:t>
      </w:r>
      <w:r>
        <w:t xml:space="preserve"> key practice because it involves making work with data concrete; as Lehrer and Schauble (2015) describe, recording data in the form of “inscriptions” can serve as commitments that learners make (in terms of what data were chosen to be collected and record</w:t>
      </w:r>
      <w:r>
        <w:t xml:space="preserve">ed). This implication, in particular, should be interpreted with caution, however, given the very small magnitude of the effect. Similarly, data modeling has been described as </w:t>
      </w:r>
      <w:r>
        <w:rPr>
          <w:i/>
        </w:rPr>
        <w:t>the</w:t>
      </w:r>
      <w:r>
        <w:t xml:space="preserve"> central scientific and engineering practice (Schwarz et al., 2009; Lehrer &amp; </w:t>
      </w:r>
      <w:r>
        <w:t>Schauble, 2015; Weisberg, 2012), and its relations with full engagement provides some actionable evidence for its importance in the context of summer STEM programs.</w:t>
      </w:r>
    </w:p>
    <w:p w:rsidR="00467DD9" w:rsidRDefault="00E6182D">
      <w:pPr>
        <w:pStyle w:val="BodyText"/>
      </w:pPr>
      <w:r>
        <w:t>Practically, youth activity leaders (in summer STEM and other STEM enrichment contexts) and</w:t>
      </w:r>
      <w:r>
        <w:t xml:space="preserve"> teachers (in formal learning environments) can best include the beneficial practices of generating and modeling data not in isolation, but rather through involving learners in complete cycles of investigation. This aligns with both foundational and contem</w:t>
      </w:r>
      <w:r>
        <w:t>porary research on work with data in education (Berland et al., 2018; McNeill &amp; Berland, 2017; Hancock et al., 1992; Lee &amp; Wilkerson, 2018). Recent curricular reform efforts also suggest that the best way to engage learners in particular practices is throu</w:t>
      </w:r>
      <w:r>
        <w:t>gh the process of identifying a question or problem, marshaling sources of data that can be used to figure out what is happening, and developing model-based explanations that are then communicated (or even used in an argument; National Governors Associatio</w:t>
      </w:r>
      <w:r>
        <w:t>n, 2013; National Research Council, 2012; NGSS Lead States, 2013). With respect to work with data in particular, youth activity leaders and teachers can use the findings from this study as a starting point to consider how engaging in work with data may als</w:t>
      </w:r>
      <w:r>
        <w:t>o prepare learners to think of, understand, and take action based on data in their day-to-day lives. Many questions or problems learners face may involve data that can be meaningfully incorporated into engaging learning activities.</w:t>
      </w:r>
    </w:p>
    <w:p w:rsidR="00467DD9" w:rsidRDefault="00E6182D">
      <w:pPr>
        <w:pStyle w:val="Heading3"/>
      </w:pPr>
      <w:bookmarkStart w:id="61" w:name="leverage-the-affordances-of-summer-stem-"/>
      <w:bookmarkEnd w:id="61"/>
      <w:r>
        <w:t>Leverage the affordances of summer STEM and other STEM enrichment programs</w:t>
      </w:r>
    </w:p>
    <w:p w:rsidR="00467DD9" w:rsidRDefault="00E6182D">
      <w:pPr>
        <w:pStyle w:val="FirstParagraph"/>
      </w:pPr>
      <w:r>
        <w:t xml:space="preserve">Another implication for practice concerns the affordances (and constraints) of summer STEM and other STEM enrichment programs. One affordance of these programs relevant to </w:t>
      </w:r>
      <w:r>
        <w:lastRenderedPageBreak/>
        <w:t>these inf</w:t>
      </w:r>
      <w:r>
        <w:t xml:space="preserve">ormal and to K-12 learning environments concerns selecting activities that are engaging to learners. For example, in the </w:t>
      </w:r>
      <w:r>
        <w:rPr>
          <w:i/>
        </w:rPr>
        <w:t>Marine Investigators</w:t>
      </w:r>
      <w:r>
        <w:t>, youth participated in activities designed to help them understand water quality in their ecosystem. Youth collect</w:t>
      </w:r>
      <w:r>
        <w:t xml:space="preserve">ed trash from sites around their community (in different “districts”) and then brought the trash and recyclable plastic back to the classroom. Then, the youth activity leaders asked students to figure out how much plastic enters local waterways. As a part </w:t>
      </w:r>
      <w:r>
        <w:t xml:space="preserve">of this activity, youth activity leaders asked students not only to determine the quantity of trash that entered the waterways, but asked students about </w:t>
      </w:r>
      <w:r>
        <w:rPr>
          <w:i/>
        </w:rPr>
        <w:t>why</w:t>
      </w:r>
      <w:r>
        <w:t xml:space="preserve"> they used math in particular ways (i.e., adding the quantity of trash collected and then extrapolat</w:t>
      </w:r>
      <w:r>
        <w:t>ing from this quantity to the amount from across the entire city over the course of the year). This appeared to be a powerful activity, one that was coded as involving all five aspects of work with data according to the measures for instructional support f</w:t>
      </w:r>
      <w:r>
        <w:t>or work with data; this type of activity seemed to suggest that instructional support for work with data may impact youth’s engagement.</w:t>
      </w:r>
    </w:p>
    <w:p w:rsidR="00467DD9" w:rsidRDefault="00E6182D">
      <w:pPr>
        <w:pStyle w:val="BodyText"/>
      </w:pPr>
      <w:r>
        <w:t xml:space="preserve">Another affordance concerned the relevance of the program to youth’s lives. For example, in the </w:t>
      </w:r>
      <w:r>
        <w:rPr>
          <w:i/>
        </w:rPr>
        <w:t>Building Mania</w:t>
      </w:r>
      <w:r>
        <w:t xml:space="preserve"> program, </w:t>
      </w:r>
      <w:r>
        <w:t xml:space="preserve">youth are involved in engineering design (i.e., identifying a problem and designing a solution), particularly around the use of simple machines. In a day in the classroom setting, youth are creating, testing, and revising catapults. In the next day, youth </w:t>
      </w:r>
      <w:r>
        <w:t>visit an area University, and are led in a discussion by a physicist who works with particle colliders. In this example, the expertise of the physicist, who explicitly mentions the benefits of engaging in the engineering design process and the importance o</w:t>
      </w:r>
      <w:r>
        <w:t>f combining engineering to addressing problems (such as mitigating the damage of earthquakes), seems to be highly relevant to what youth are doing in their class. In these two days of class, youth are engaged in different aspects of work with data as indic</w:t>
      </w:r>
      <w:r>
        <w:t>ated by the codes for instructional support for work with data (collecting data on the efficacy of their designs in the classroom day, and asking questions in the subsequent day, particularly); these seem to suggest, like the example of work work with data</w:t>
      </w:r>
      <w:r>
        <w:t xml:space="preserve"> from the </w:t>
      </w:r>
      <w:r>
        <w:rPr>
          <w:i/>
        </w:rPr>
        <w:t>Marine Investigators</w:t>
      </w:r>
      <w:r>
        <w:t xml:space="preserve"> program, affordances of work with data for summer STEM programs.</w:t>
      </w:r>
    </w:p>
    <w:p w:rsidR="00467DD9" w:rsidRDefault="00E6182D">
      <w:pPr>
        <w:pStyle w:val="Heading3"/>
      </w:pPr>
      <w:bookmarkStart w:id="62" w:name="consider-the-constraints-of-summer-stem-"/>
      <w:bookmarkEnd w:id="62"/>
      <w:r>
        <w:t>Consider the constraints of summer STEM and other STEM enrichment programs</w:t>
      </w:r>
    </w:p>
    <w:p w:rsidR="00467DD9" w:rsidRDefault="00E6182D">
      <w:pPr>
        <w:pStyle w:val="FirstParagraph"/>
      </w:pPr>
      <w:r>
        <w:t>There are also constraints to summer STEM and other STEM enrichment programs. For exa</w:t>
      </w:r>
      <w:r>
        <w:t xml:space="preserve">mple, youth activity leaders faced challenges linking activities as part of a complete cycle of investigation. For example, in the </w:t>
      </w:r>
      <w:r>
        <w:rPr>
          <w:i/>
        </w:rPr>
        <w:t>Ecosphere</w:t>
      </w:r>
      <w:r>
        <w:t xml:space="preserve"> program, youth collected water samples in the field. They then brought these samples to the classroom and tested th</w:t>
      </w:r>
      <w:r>
        <w:t>e water, involving students in both collecting and, to a degree, generating data (by noting the pH levels of the water). However, later in the day, youth created a small-scale model (with inclined trays of dirt, rocks, and plants) of an ecosystem, in which</w:t>
      </w:r>
      <w:r>
        <w:t xml:space="preserve"> they added food coloring to determine the impacts of chemicals and acid rain. Youth then interpreted and discussed these findings, but did not connect the discussion to the water samples youth collected and tested earlier. This activity presented an oppor</w:t>
      </w:r>
      <w:r>
        <w:t>tunity for deeper engagement, in which youth could interpret and communicate findings related to the state of the water in their ecosystem, but, instead, it was potentially limiting in terms of youth’s engagement in work with data.</w:t>
      </w:r>
    </w:p>
    <w:p w:rsidR="00467DD9" w:rsidRDefault="00E6182D">
      <w:pPr>
        <w:pStyle w:val="BodyText"/>
      </w:pPr>
      <w:r>
        <w:lastRenderedPageBreak/>
        <w:t>Another constraint relat</w:t>
      </w:r>
      <w:r>
        <w:t xml:space="preserve">ed to the challenge of linking activities concerned what the programs focused on. For example, the mathematics-focused programs, such as the </w:t>
      </w:r>
      <w:r>
        <w:rPr>
          <w:i/>
        </w:rPr>
        <w:t>Adventures in Mathematics</w:t>
      </w:r>
      <w:r>
        <w:t xml:space="preserve"> program, the youth activity leaders recognizing that youth had difficulty solving equatio</w:t>
      </w:r>
      <w:r>
        <w:t>ns, used duct tape and a “hippity hoppity”, building on an earlier activity in which youth considered what constituted a rate, on how many “hops” it would take someone to move from one end of the line of duct tape to the other; the youth activity leader th</w:t>
      </w:r>
      <w:r>
        <w:t>an asked youth to consider how far they could move in one hop and to consider how they could find out many hops it would take, using a mathematical equation. In this activity, youth were supported to approach mathematics problem-solving in creative ways. H</w:t>
      </w:r>
      <w:r>
        <w:t xml:space="preserve">owever, apart from data modeling, other aspects of work with data were rarely present, and most of the data that youth worked with was provided by the teacher or considered in the abstract. Programs focused on science or engineering, similarly, emphasized </w:t>
      </w:r>
      <w:r>
        <w:t>other aspects of work with data: The science-focused pr</w:t>
      </w:r>
      <w:bookmarkStart w:id="63" w:name="_GoBack"/>
      <w:bookmarkEnd w:id="63"/>
      <w:r>
        <w:t>ograms (</w:t>
      </w:r>
      <w:r>
        <w:rPr>
          <w:i/>
        </w:rPr>
        <w:t>Island Explorers</w:t>
      </w:r>
      <w:r>
        <w:t xml:space="preserve">, </w:t>
      </w:r>
      <w:r>
        <w:rPr>
          <w:i/>
        </w:rPr>
        <w:t>The Ecosphere</w:t>
      </w:r>
      <w:r>
        <w:t xml:space="preserve">, and </w:t>
      </w:r>
      <w:r>
        <w:rPr>
          <w:i/>
        </w:rPr>
        <w:t>Marine Investigators</w:t>
      </w:r>
      <w:r>
        <w:t>) all emphasized collecting and generating data, but data, particularly the data collected or generated, was rarely modeled or interpret</w:t>
      </w:r>
      <w:r>
        <w:t>ed. In the engineering-focused programs (</w:t>
      </w:r>
      <w:r>
        <w:rPr>
          <w:i/>
        </w:rPr>
        <w:t>Uptown Architecture</w:t>
      </w:r>
      <w:r>
        <w:t xml:space="preserve">, </w:t>
      </w:r>
      <w:r>
        <w:rPr>
          <w:i/>
        </w:rPr>
        <w:t>Crazy Machines</w:t>
      </w:r>
      <w:r>
        <w:t xml:space="preserve">, and </w:t>
      </w:r>
      <w:r>
        <w:rPr>
          <w:i/>
        </w:rPr>
        <w:t>Dorchester House</w:t>
      </w:r>
      <w:r>
        <w:t>, youth often collected data that resulted from their engineering designs, and communicated and interpreted their findings, but, did not generate data, and, a</w:t>
      </w:r>
      <w:r>
        <w:t>ccordingly, (and like the science-focused programs) did not model data as a regular part of their activities. This finding suggests that while work with data may have been common overall, different aspects of instructional support for work with data were e</w:t>
      </w:r>
      <w:r>
        <w:t>mphasized to different degrees based on the focus of the program.</w:t>
      </w:r>
    </w:p>
    <w:p w:rsidR="00467DD9" w:rsidRDefault="00E6182D">
      <w:pPr>
        <w:pStyle w:val="Heading2"/>
      </w:pPr>
      <w:bookmarkStart w:id="64" w:name="conclusion"/>
      <w:bookmarkEnd w:id="64"/>
      <w:r>
        <w:t>Conclusion</w:t>
      </w:r>
    </w:p>
    <w:p w:rsidR="00467DD9" w:rsidRDefault="00E6182D">
      <w:pPr>
        <w:pStyle w:val="FirstParagraph"/>
      </w:pPr>
      <w:r>
        <w:t>Each of the disciplines that contribute to STEM learning involve work with data and how youth and students work with data in engaging ways is a concern of researchers and practiti</w:t>
      </w:r>
      <w:r>
        <w:t>oners. While past research has focused on what practices learners do when working with data, or specific conceptual outcomes, little research has considered youths’ experience of working with data. In this study, engagement was used as a lens to understand</w:t>
      </w:r>
      <w:r>
        <w:t xml:space="preserve"> the experience of youth working with data in the context of nine summer STEM programs. In particular, five aspects of work with data, a) asking questions, b) observing phenomena, c) constructing measures and generating data, d) data modeling, and e) inter</w:t>
      </w:r>
      <w:r>
        <w:t xml:space="preserve">preting and communicating findings, were identified from video-recordings of the programs. These codes were then used to predict profiles, or distinct groups on the basis of different levels, of youths’ cognitive, behavioral, and affective engagement, and </w:t>
      </w:r>
      <w:r>
        <w:t>two other variables, youths’ perceptions of challenge and competence. These measures were obtained using an innovative method, ESM, that provides some access to youths’ experience in-the-moment of the activities they were involved in during the program.</w:t>
      </w:r>
    </w:p>
    <w:p w:rsidR="00467DD9" w:rsidRDefault="00E6182D">
      <w:pPr>
        <w:pStyle w:val="BodyText"/>
      </w:pPr>
      <w:r>
        <w:t>Fi</w:t>
      </w:r>
      <w:r>
        <w:t>ndings indicate that work with data occurs regularly in the programs and that there are some examples of ambitious activities centered on working with real-world data (and examples in which the work with data is not fully aligned with youth-driven work wit</w:t>
      </w:r>
      <w:r>
        <w:t xml:space="preserve">h data). Six profiles of engagement and its conditions were identified, representing different configurations of the three dimensions of engagement and its conditions. Relations of work with data and youth characteristics (pre-program interest in STEM and </w:t>
      </w:r>
      <w:r>
        <w:t xml:space="preserve">youths’ gender and </w:t>
      </w:r>
      <w:r>
        <w:lastRenderedPageBreak/>
        <w:t>status in terms of being a member of under-represented groups in STEM) were, overall, not strongly related with the profiles of engagement and its conditions, though some key findings were identified. Generating and modeling data were bo</w:t>
      </w:r>
      <w:r>
        <w:t>th related to the most potentially beneficial profile, one characterized by high levels of all five of the variables used to create the profiles. Female youth who were involved in work with data (at the momentary level) to a greater extent were also more l</w:t>
      </w:r>
      <w:r>
        <w:t xml:space="preserve">ikely to be fully engaged. This study suggests that work with data has purchase as an organizing set of activities for STEM can have some benefits in terms of understanding the nature of what youth do in summer STEM programs. In addition, this study shows </w:t>
      </w:r>
      <w:r>
        <w:t xml:space="preserve">that ESM and engagement can be used to understand youths’ experiences. Data–and who is able to work with data–have important roles in STEM learning and in society; efforts to understand and support learners engaging in these ambitious activities should be </w:t>
      </w:r>
      <w:r>
        <w:t>encouraged and expanded.</w:t>
      </w:r>
    </w:p>
    <w:p w:rsidR="00467DD9" w:rsidRDefault="00E6182D">
      <w:pPr>
        <w:pStyle w:val="Heading1"/>
      </w:pPr>
      <w:bookmarkStart w:id="65" w:name="references"/>
      <w:bookmarkEnd w:id="65"/>
      <w:r>
        <w:t>References</w:t>
      </w:r>
    </w:p>
    <w:p w:rsidR="00467DD9" w:rsidRDefault="00E6182D">
      <w:pPr>
        <w:pStyle w:val="FirstParagraph"/>
      </w:pPr>
      <w:r>
        <w:t>Akiva, T. (2005). Turning training into results: The new youth program quality assessment. High/Scope Resource, 24(2), 21-24.</w:t>
      </w:r>
      <w:r>
        <w:br/>
        <w:t>Bergman, L. R., &amp; Magnusson, D. (1997). A person-oriented approach in research on developmenta</w:t>
      </w:r>
      <w:r>
        <w:t>l psychopathology. Development and psychopathology, 9(2), 291-319.</w:t>
      </w:r>
      <w:r>
        <w:br/>
        <w:t>Bergman, L. R., Magnusson, D., &amp; El Khouri, B. M. (2003). Studying individual development in an interindividual context: A person-oriented approach. Psychology Press.</w:t>
      </w:r>
      <w:r>
        <w:br/>
        <w:t>Berland, L. K., Schwar</w:t>
      </w:r>
      <w:r>
        <w:t>z, C. V., Krist, C., Kenyon, L., Lo, A. S., &amp; Reiser, B. J. (2016). Epistemologies in practice: Making scientific practices meaningful for students. Journal of Research in Science Teaching, 53(7), 1082-1112.</w:t>
      </w:r>
      <w:r>
        <w:br/>
        <w:t>Bielik, T., &amp; Yarden, A. (2016). Promoting the a</w:t>
      </w:r>
      <w:r>
        <w:t>sking of research questions in a high-school biotechnology inquiry-oriented program. International Journal of STEM Education, 3(1), 15.</w:t>
      </w:r>
      <w:r>
        <w:br/>
        <w:t>Breckenridge, J. N. (2000). Validating cluster analysis: Consistent replication and symmetry. Multivariate Behavioral Re</w:t>
      </w:r>
      <w:r>
        <w:t>search, 35(2), 261-285.</w:t>
      </w:r>
      <w:r>
        <w:br/>
        <w:t xml:space="preserve">Bystydzienski, J. M., Eisenhart, M., &amp; Bruning, M. (2015). High school is not too late: Developing girls’ interest and engagement in engineering careers. Career Development Quarterly, 63(1), 88–95. </w:t>
      </w:r>
      <w:hyperlink r:id="rId17">
        <w:r>
          <w:rPr>
            <w:rStyle w:val="Hyperlink"/>
          </w:rPr>
          <w:t>http://doi.org/10.1002/j.2161-0045.2015.00097.x</w:t>
        </w:r>
      </w:hyperlink>
      <w:r>
        <w:t xml:space="preserve"> Cohen, J. (1992). A power primer. Psychological Bulletin, 112(1), 155.</w:t>
      </w:r>
      <w:r>
        <w:br/>
        <w:t>National Governors Association Center for Best Practices, Council of Chief State School Officers. (2010)</w:t>
      </w:r>
      <w:r>
        <w:t>. Common Core State Standards for Mathematics. Washington, DC: National Governors Association Center for Best Practices and the Council of Chief State School Officers.</w:t>
      </w:r>
      <w:r>
        <w:br/>
        <w:t>Corpus, J. H., &amp; Wormington, S. V. (2014). Profiles of intrinsic and extrinsic motivatio</w:t>
      </w:r>
      <w:r>
        <w:t>ns in elementary school: A longitudinal analysis. The Journal of Experimental Education, 82(4), 480-501.</w:t>
      </w:r>
      <w:r>
        <w:br/>
        <w:t>Csikszentmihalyi, M. (1990). Flow: The psychology of optimal performance. Cambridge, England: Cambridge University Press.</w:t>
      </w:r>
      <w:r>
        <w:br/>
        <w:t xml:space="preserve">Csikszentmihalyi, M. (1997). </w:t>
      </w:r>
      <w:r>
        <w:t>Finding flow: The psychology of engagement with everyday life. New York, NY: Basic Books.</w:t>
      </w:r>
      <w:r>
        <w:br/>
        <w:t xml:space="preserve">Creswell, J. W., Plano Clark, V. L., Gutmann, M. L., &amp; Hanson, W. E. (2003). Advanced mixed </w:t>
      </w:r>
      <w:r>
        <w:lastRenderedPageBreak/>
        <w:t>methods research designs. In A. Tashakkori &amp; C. Teddlie (Eds.), Handbook o</w:t>
      </w:r>
      <w:r>
        <w:t>f mixed methods in social and behavioral research (pp. 209–240). Thousand Oaks, CA: Sage.</w:t>
      </w:r>
      <w:r>
        <w:br/>
        <w:t>English, L. D. (2012). Data modelling with first-grade students. Educational Studies in Mathematics, 81(1), 15-30.</w:t>
      </w:r>
      <w:r>
        <w:br/>
        <w:t>Finzer, W. (2013). The data science education dilem</w:t>
      </w:r>
      <w:r>
        <w:t>ma. Technology Innovations in Statistics Education, 7(2), p. 1-9.</w:t>
      </w:r>
      <w:r>
        <w:br/>
        <w:t xml:space="preserve">Forum for Youth Investment. (2012). Youth Program Quality Assessment. Washington, DC: The Forum for Youth Investment Franklin, C., Kader, G., Mewborn, D., Moreno, J., Peck, R., Perry, M., &amp; </w:t>
      </w:r>
      <w:r>
        <w:t>Scheaffer, R. (2007). Guidelines for assessment and instruction in statistics education (GAISE) report. Alexandria, VA: American Statistical Association.</w:t>
      </w:r>
      <w:r>
        <w:br/>
        <w:t>Fredricks, J. A., &amp; McColskey, W. (2012). The measurement of student engagement: A comparative analysi</w:t>
      </w:r>
      <w:r>
        <w:t xml:space="preserve">s of various methods and student self-report instruments. In S. L. Christenson, A. L. Reschly, &amp; C. Wylie (Eds.), The handbook of research on student engagement (pp. 763–782). New York: Springer Science. </w:t>
      </w:r>
      <w:hyperlink r:id="rId18">
        <w:r>
          <w:rPr>
            <w:rStyle w:val="Hyperlink"/>
          </w:rPr>
          <w:t>https://doi.org/10.1007/978-1-4614-2018-7_37</w:t>
        </w:r>
      </w:hyperlink>
      <w:r>
        <w:br/>
        <w:t>Fredricks, J. A., Blumenfeld, P. C., &amp; Paris, A. H. (2004). School engagement: Potential of the concept, state of the evidence. Review of Educational Research, 74(1), 59-109.</w:t>
      </w:r>
      <w:r>
        <w:br/>
        <w:t>Fredricks, J. A., Filsec</w:t>
      </w:r>
      <w:r>
        <w:t>ker, M., &amp; Lawson, M. A. (2016). Student engagement, context, and adjustment: Addressing definitional, measurement, and methodological issues. Learning &amp; Instruction, 43, 1-4.</w:t>
      </w:r>
      <w:r>
        <w:br/>
        <w:t>Gelman, S. A., &amp; Markman, E. M. (1987). Young children’s inductions from natural</w:t>
      </w:r>
      <w:r>
        <w:t xml:space="preserve"> kinds: The role of categories and appearances. Child Development, 58(6), 1532-1541.</w:t>
      </w:r>
      <w:r>
        <w:br/>
        <w:t>Gopnik, A., &amp; Sobel, D. M. (2000). Detecting blickets: How young children use information about novel causal powers in categorization and induction. Child Development, 71(</w:t>
      </w:r>
      <w:r>
        <w:t>5), 1205-1222.</w:t>
      </w:r>
      <w:r>
        <w:br/>
        <w:t>Gopnik, A., Sobel, D. M., Schulz, L. E., &amp; Glymour, C. (2001). Causal learning mechanisms in very young children: two-, three-, and four-year-olds infer causal relations from patterns of variation and covariation. Developmental Psychology, 3</w:t>
      </w:r>
      <w:r>
        <w:t>7(5), 620.</w:t>
      </w:r>
      <w:r>
        <w:br/>
        <w:t>Greene, B. A. (2015). Measuring cognitive engagement with self-report scales: Reflections from over 20 years of research. Educational Psychologist, 50(1), 14-30.</w:t>
      </w:r>
      <w:r>
        <w:br/>
        <w:t>Greene, K. M., Lee, B., Constance, N., &amp; Hynes, K. (2013). Examining youth and prog</w:t>
      </w:r>
      <w:r>
        <w:t>ram predictors of engagement in out-of-school time programs. Journal of Youth and Adolescence, 42(10), 1557-1572.</w:t>
      </w:r>
      <w:r>
        <w:br/>
        <w:t xml:space="preserve">Hancock, C., Kaput, J. J., &amp; Goldsmith, L. T. (1992). Authentic inquiry with data: Critical barriers to classroom implementation. Educational </w:t>
      </w:r>
      <w:r>
        <w:t>Psychologist, 27(3), 337-364.</w:t>
      </w:r>
      <w:r>
        <w:br/>
        <w:t>Harring, J. R., &amp; Hodis, F. A. (2016). Mixture modeling: Applications in educational psychology. Educational Psychologist, 51(3-4), 354-367.</w:t>
      </w:r>
      <w:r>
        <w:br/>
        <w:t>Hasson, E., &amp; Yarden, A. (2012). Separating the research question from the laboratory</w:t>
      </w:r>
      <w:r>
        <w:t xml:space="preserve"> techniques: Advancing high‐school biology teachers’ ability to ask research questions. Journal of Research in Science Teaching, 49(10), 1296-1320.</w:t>
      </w:r>
      <w:r>
        <w:br/>
        <w:t>Hayenga, A. O., &amp; Corpus, J. H. (2010). Profiles of intrinsic and extrinsic motivations: A person-centered a</w:t>
      </w:r>
      <w:r>
        <w:t>pproach to motivation and achievement in middle school. Motivation and Emotion, 34(4), 371-383.</w:t>
      </w:r>
      <w:r>
        <w:br/>
        <w:t>Hektner, J. M., Schmidt, J. A., &amp; Csikszentmihalyi, M. (2007). Experience sampling method: Measuring the quality of everyday life. Sage.</w:t>
      </w:r>
      <w:r>
        <w:br/>
        <w:t>Jahnukainen, M. (2010).</w:t>
      </w:r>
      <w:r>
        <w:t xml:space="preserve"> Extreme cases. Encyclopedia of Case Study Research. Thousand </w:t>
      </w:r>
      <w:r>
        <w:lastRenderedPageBreak/>
        <w:t>Oaks, CA: Sage. Konold, C., &amp; Pollatsek, A. (2002). Data analysis as the search for signals in noisy processes. Journal for Research in Mathematics Education, 33(4), 259-289.</w:t>
      </w:r>
      <w:r>
        <w:br/>
        <w:t>Lauer, P. A., Akiba</w:t>
      </w:r>
      <w:r>
        <w:t>, M., Wilkerson, S. B., Apthorp, H. S., Snow, D., &amp; Martin-Glenn, M. L. (2006). Out-of-school-time programs: A meta-analysis of effects for at-risk students. Review of educational research, 76(2), 275-313.</w:t>
      </w:r>
      <w:r>
        <w:br/>
        <w:t xml:space="preserve">Lee, H. S., Angotti, R. L., &amp; Tarr, J. E. (2010). </w:t>
      </w:r>
      <w:r>
        <w:t>Making comparisons between observed data and expected outcomes: students’ informal hypothesis testing with probability simulation tools. Statistics Education Research Journal, 9(1), 68-96.</w:t>
      </w:r>
      <w:r>
        <w:br/>
        <w:t>Lee, H., &amp; Hollebrands, K. (2008). Preparing to teach mathematics w</w:t>
      </w:r>
      <w:r>
        <w:t>ith technology: An integrated approach to developing technological pedagogical content knowledge. Contemporary Issues in Technology and Teacher Education, 8(4), 326-341.</w:t>
      </w:r>
      <w:r>
        <w:br/>
        <w:t>Lehrer, R., &amp; Romberg, T. (1996). Exploring children’s data modeling. Cognition and In</w:t>
      </w:r>
      <w:r>
        <w:t>struction, 14(1), 69-108.</w:t>
      </w:r>
      <w:r>
        <w:br/>
        <w:t>Lehrer, R., &amp; Schauble, L. (2004). Modeling natural variation through distribution. American Educational Research Journal, 41(3), 635-679.</w:t>
      </w:r>
      <w:r>
        <w:br/>
        <w:t>Lehrer, R. &amp; Schauble, L. (2015). Developing scientific thinking. In L. S. Liben &amp; U. Mülle</w:t>
      </w:r>
      <w:r>
        <w:t>r (Eds.), Cognitive processes. Handbook of child psychology and developmental science (Vol. 2, 7th ed., pp. 671-174). Hoboken, NJ: Wiley.</w:t>
      </w:r>
      <w:r>
        <w:br/>
        <w:t>Lehrer, R., Kim, M. J., &amp; Jones, R. S. (2011). Developing conceptions of statistics by designing measures of distribut</w:t>
      </w:r>
      <w:r>
        <w:t>ion. ZDM, 43(5), 723-736.</w:t>
      </w:r>
      <w:r>
        <w:br/>
        <w:t>Lehrer, R., Kim, M. J., &amp; Schauble, L. (2007). Supporting the development of conceptions of statistics by engaging students in measuring and modeling variability. International Journal of Computers for Mathematical Learning, 12(3)</w:t>
      </w:r>
      <w:r>
        <w:t>, 195-216.</w:t>
      </w:r>
      <w:r>
        <w:br/>
        <w:t>Lesh, R., Middleton, J. A., Caylor, E., &amp; Gupta, S. (2008). A science need: Designing tasks to engage students in modeling complex data. Educational Studies in Mathematics, 68(2), 113-130.</w:t>
      </w:r>
      <w:r>
        <w:br/>
        <w:t>Linnansaari, J., Viljaranta, J., Lavonen, J., Schneider,</w:t>
      </w:r>
      <w:r>
        <w:t xml:space="preserve"> B., &amp; Salmela-Aro, K. (2015). Finnish Students Engagement in Science Lessons. NorDiNa: Nordic Studies in Science Education, 11(2), 192-206. Retrieved from </w:t>
      </w:r>
      <w:hyperlink r:id="rId19">
        <w:r>
          <w:rPr>
            <w:rStyle w:val="Hyperlink"/>
          </w:rPr>
          <w:t>https://www.journ</w:t>
        </w:r>
        <w:r>
          <w:rPr>
            <w:rStyle w:val="Hyperlink"/>
          </w:rPr>
          <w:t>als.uio.no/index.php/nordina/article/view/2047</w:t>
        </w:r>
      </w:hyperlink>
      <w:r>
        <w:br/>
        <w:t>Lovett, M. C., &amp; Shah, P. (2007). Preface. In M. C. Lovett &amp; P. Shah (Eds.), Thinking with data (pp. x-xx [requested book through ILL to confirm page #s]). New York, NY: Lawrence Erlbaum.</w:t>
      </w:r>
      <w:r>
        <w:br/>
        <w:t>Magnusson, D., &amp; Cair</w:t>
      </w:r>
      <w:r>
        <w:t>ns, R. B. (1996). Developmental science: Toward a unified framework. Cambridge, England: Cambridge University Press.</w:t>
      </w:r>
      <w:r>
        <w:br/>
        <w:t>McNeill, K. L., &amp; Berland, L. (2017). What is (or should be) scientific evidence use in k‐12 classrooms? Journal of Research in Science Tea</w:t>
      </w:r>
      <w:r>
        <w:t>ching, 54(5), 672-689.</w:t>
      </w:r>
      <w:r>
        <w:br/>
        <w:t>Muthén, B. (2004). Latent variable analysis. The Sage handbook of quantitative methodology for the social sciences. Thousand Oaks, CA: Sage Publications, 345-68.</w:t>
      </w:r>
      <w:r>
        <w:br/>
        <w:t>Muthén, L. K., &amp; Muthén, B. O. (1998-2017). Mplus User’s Guide. Los Ang</w:t>
      </w:r>
      <w:r>
        <w:t>eles, CA: Muthén &amp; Muthén. NGSS Lead States. (2013). Next generation science standards: For states, by states. Washington, DC: National Academies Press.</w:t>
      </w:r>
      <w:r>
        <w:br/>
        <w:t>Nolen, S. B., Horn, I. S., &amp; Ward, C. J. (2015). Situating motivation. Educational Psychologist, 50(3),</w:t>
      </w:r>
      <w:r>
        <w:t xml:space="preserve"> 234-247. Patall, E. A., Vasquez, A. C., Steingut, R. R., Trimble, S. S., &amp; Pituch, K. A. (2016). Daily interest, engagement, and autonomy support in the high school science classroom. Contemporary Educational Psychology, 46, 180-194.</w:t>
      </w:r>
      <w:r>
        <w:br/>
      </w:r>
      <w:r>
        <w:lastRenderedPageBreak/>
        <w:t>Patall, E. A., Steing</w:t>
      </w:r>
      <w:r>
        <w:t>ut, R. R., Vasquez, A. C., Trimble, S. S., Pituch, K. A., &amp; Freeman, J. L. (2017). Daily Autonomy Supporting or Thwarting and Students’ Motivation and Engagement in the High School Science Classroom. Journal of Educational Psychology. Advance online public</w:t>
      </w:r>
      <w:r>
        <w:t xml:space="preserve">ation. </w:t>
      </w:r>
      <w:hyperlink r:id="rId20">
        <w:r>
          <w:rPr>
            <w:rStyle w:val="Hyperlink"/>
          </w:rPr>
          <w:t>http://dx.doi.org/10.1037/edu0000214</w:t>
        </w:r>
      </w:hyperlink>
      <w:r>
        <w:br/>
        <w:t>Pekrun, R., &amp; Linnenbrink-Garcia, L. (2012). Academic emotions and student engagement. In S. L. Christenson, A. L. Reschly, &amp; C. Wylie (Eds.), Handbook of r</w:t>
      </w:r>
      <w:r>
        <w:t>esearch on student engagement (pp. 259-292). New York, NY: Springer. Petrosino, A., Lehrer, R., &amp; Schauble, L. (2003). Structuring error and experimental variation as distribution in the fourth grade. Mathematical Thinking and Learning, 5 (2&amp;3), 131-156.</w:t>
      </w:r>
      <w:r>
        <w:br/>
        <w:t>P</w:t>
      </w:r>
      <w:r>
        <w:t>iaget, J., &amp; Inhelder, B. (1969). The psychology of the child. New York, NY: Basic Books.</w:t>
      </w:r>
      <w:r>
        <w:br/>
        <w:t>Pöysä, S., Vasalampi, K., Muotka, J., Lerkkanen, M. K., Poikkeus, A. M., &amp; Nurmi, J. E. (2017). Variation in situation-specific engagement among lower secondary schoo</w:t>
      </w:r>
      <w:r>
        <w:t xml:space="preserve">l students. Learning and Instruction. </w:t>
      </w:r>
      <w:hyperlink r:id="rId21">
        <w:r>
          <w:rPr>
            <w:rStyle w:val="Hyperlink"/>
          </w:rPr>
          <w:t>http://dx.doi.org/10.1016/j.learninstruc.2017.07.007</w:t>
        </w:r>
      </w:hyperlink>
      <w:r>
        <w:br/>
        <w:t xml:space="preserve">Rosenberg, J. M. (2018). Comparing mplus and mclust output. Retrieved from </w:t>
      </w:r>
      <w:hyperlink r:id="rId22">
        <w:r>
          <w:rPr>
            <w:rStyle w:val="Hyperlink"/>
          </w:rPr>
          <w:t>https://jrosen48.github.io/r-markdown/comparing-mplus-mclust.html</w:t>
        </w:r>
      </w:hyperlink>
      <w:r>
        <w:t xml:space="preserve"> Salmela-Aro, K., Moeller, J., Schneider, B., Spicer, J., &amp; Lavonen, J. (2016). Integrating the light and dark sides of stud</w:t>
      </w:r>
      <w:r>
        <w:t>ent engagement using person-oriented and situation-specific approaches. Learning and Instruction, 43, 61-70.</w:t>
      </w:r>
      <w:r>
        <w:br/>
        <w:t>Salmela-Aro, K., Muotka, J., Alho, K., Hakkarainen, K., &amp; Lonka, K. (2016). School burnout and engagement profiles among digital natives in Finland</w:t>
      </w:r>
      <w:r>
        <w:t>: A person-oriented approach. European Journal of Developmental Psychology, 13(6), 704-718.</w:t>
      </w:r>
      <w:r>
        <w:br/>
        <w:t>Schneider, B., Krajcik, J., Lavonen, J., Salmela‐Aro, K., Broda, M., Spicer, J., … &amp; Viljaranta, J. (2016). Investigating optimal learning moments in US and Finnish</w:t>
      </w:r>
      <w:r>
        <w:t xml:space="preserve"> science classes. Journal of Research in Science Teaching, 53(3), 400-421.</w:t>
      </w:r>
      <w:r>
        <w:br/>
        <w:t>Schmidt, J. A., Rosenberg, J. M., Beymer, P. (advance online publication). A person-in-context approach to student engagement in science: Examining learning activities and choice. J</w:t>
      </w:r>
      <w:r>
        <w:t xml:space="preserve">ournal of Research in Science Teaching. </w:t>
      </w:r>
      <w:hyperlink r:id="rId23">
        <w:r>
          <w:rPr>
            <w:rStyle w:val="Hyperlink"/>
          </w:rPr>
          <w:t>https://dx.doi.org/10.1002/tea.21409</w:t>
        </w:r>
      </w:hyperlink>
      <w:r>
        <w:br/>
        <w:t xml:space="preserve">Schwarz, N., Kahneman, D., &amp; Xu, J. (2009). Global and episodic reports of hedonic experience. In R. Belli, D. Alwen, &amp; F. </w:t>
      </w:r>
      <w:r>
        <w:t>Stafford (Eds.), Using calendar and diary methods in life events research (pp. 157-174). Newbury Park, CA: Sage.</w:t>
      </w:r>
      <w:r>
        <w:br/>
        <w:t>Sfard, A. (1998). On two metaphors for learning and the dangers of choosing just one. Educational Researcher, 27(2), 4-13.</w:t>
      </w:r>
      <w:r>
        <w:br/>
        <w:t>Shernoff, D. J., Csi</w:t>
      </w:r>
      <w:r>
        <w:t>kszentmihalyi, M., Schneider, B., &amp; Shernoff, E. S. (2003). Student engagement in high school classrooms from the perspective of flow theory. School Psychology Quarterly, 18(2), 158-176.</w:t>
      </w:r>
      <w:r>
        <w:br/>
        <w:t xml:space="preserve">Shernoff, D. J., Kelly, S., Tonks, S. M., Anderson, B., Cavanagh, R. </w:t>
      </w:r>
      <w:r>
        <w:t>F., Sinha, S., &amp; Abdi, B. (2016). Student engagement as a function of environmental complexity in high school classrooms. Learning and Instruction, 43, 52-60.</w:t>
      </w:r>
      <w:r>
        <w:br/>
        <w:t>Shumow, L., &amp; Schmidt, J. A. (2013). STEM interest and engagement (STEM I.E.). National Science F</w:t>
      </w:r>
      <w:r>
        <w:t>oundation proposal for award number 1421198.</w:t>
      </w:r>
      <w:r>
        <w:br/>
        <w:t xml:space="preserve">Sinatra, G. M., Heddy, B. C., &amp; Lombardi, D. (2015). The challenges of defining and measuring student engagement in science. Educational Psychologist, 50(1), 1-13. </w:t>
      </w:r>
      <w:hyperlink r:id="rId24">
        <w:r>
          <w:rPr>
            <w:rStyle w:val="Hyperlink"/>
          </w:rPr>
          <w:t>doi:10.1080/00461520.2014.1002924</w:t>
        </w:r>
      </w:hyperlink>
      <w:r>
        <w:br/>
        <w:t>Singh, K., Granville, M., &amp; Dika, S. (2002). Mathematics and science achievement: Effects of motivation, interest, and academic engagement. The Journal of Educational Research, 95(6), 323-332. Shernoff, D. J., &amp; Schm</w:t>
      </w:r>
      <w:r>
        <w:t>idt, J. A. (2008). Further Evidence of an Engagement–</w:t>
      </w:r>
      <w:r>
        <w:lastRenderedPageBreak/>
        <w:t xml:space="preserve">Achievement Paradox Among U.S. High School Students. Journal of Youth and Adolescence, 37(5), 564–580. </w:t>
      </w:r>
      <w:hyperlink r:id="rId25">
        <w:r>
          <w:rPr>
            <w:rStyle w:val="Hyperlink"/>
          </w:rPr>
          <w:t>http://doi.org/10.1007/s10964-007-9241-z</w:t>
        </w:r>
      </w:hyperlink>
      <w:r>
        <w:br/>
        <w:t>Shumow, L., Schmidt, J. A., &amp; Zaleski, D. J. (2013). Multiple perspectives on student learning, engagement, and motivation in high school biology labs. The High School Journal, 96(3), 232-252.</w:t>
      </w:r>
      <w:r>
        <w:br/>
        <w:t>Skinner, E. A., &amp; Pitzer, J. (2012). Developmental dynamics of</w:t>
      </w:r>
      <w:r>
        <w:t xml:space="preserve"> engagement, coping, and everyday resilience. In S. Christenson, A. Reschly, &amp; C. Wylie (Eds.), Handbook of Research on Student Engagement (pp. 21-45). New York: Springer Science.</w:t>
      </w:r>
      <w:r>
        <w:br/>
        <w:t>Skinner, E. A., Kindermann, T. A., &amp; Furrer, C. J. (2009). A motivational pe</w:t>
      </w:r>
      <w:r>
        <w:t>rspective on engagement and disaffection: Conceptualization and assessment of children’s behavioral and emotional participation in academic activities in the classroom. Educational and Psychological Measurement, 69(3), 493-525.</w:t>
      </w:r>
      <w:r>
        <w:br/>
        <w:t>Skinner, E., Furrer, C., Mar</w:t>
      </w:r>
      <w:r>
        <w:t>chand, G., &amp; Kindermann, T. (2008). Engagement and disaffection in the classroom: Part of a larger motivational dynamic? Journal of Educational Psychology, 100(4), 765.</w:t>
      </w:r>
      <w:r>
        <w:br/>
        <w:t xml:space="preserve">Smith, C., Akiva, T., Sugar, S., Lo, Y. J., Frank, K. A., Peck, S. C., Cortina, K. S., </w:t>
      </w:r>
      <w:r>
        <w:t>&amp; Devaney, T. (2012).Continuous quality improvement in afterschool settings: Impact findings from the Youth Program Quality Intervention study. Washington, DC: The Forum for Youth Investment. Steinley, D., &amp; Brusco, M. J. (2011). Evaluating mixture modelin</w:t>
      </w:r>
      <w:r>
        <w:t>g for clustering: recommendations and cautions. Psychological Methods, 16(1), 63.</w:t>
      </w:r>
      <w:r>
        <w:br/>
        <w:t>Stohl, H., &amp; Tarr, J. E. (2002). Developing notions of inference using probability simulation tools. The Journal of Mathematical Behavior, 21(3), 319-337.</w:t>
      </w:r>
      <w:r>
        <w:br/>
        <w:t>Stroupe, D. (2014).</w:t>
      </w:r>
      <w:r>
        <w:t xml:space="preserve"> Examining classroom science practice communities: How teachers and students negotiate epistemic agency and learn science‐as‐practice. Science Education, 98(3), 487-516.</w:t>
      </w:r>
      <w:r>
        <w:br/>
        <w:t>Strati, A. D., Schmidt, J. A., &amp; Maier, K. S. (2017). Perceived challenge, teacher sup</w:t>
      </w:r>
      <w:r>
        <w:t>port, and teacher obstruction as predictors of student engagement. Journal of Educational Psychology, 109(1), 131-147.</w:t>
      </w:r>
      <w:r>
        <w:br/>
        <w:t>Trevors, G. J., Kendeou, P., Bråten, I., &amp; Braasch, J. L. (2017). Adolescents’ epistemic profiles in the service of knowledge revision. C</w:t>
      </w:r>
      <w:r>
        <w:t>ontemporary Educational Psychology, 49, 107-120.</w:t>
      </w:r>
      <w:r>
        <w:br/>
        <w:t>Turner, J. C., &amp; Meyer, D. K. (2000). Studying and understanding the instructional contexts of classrooms: Using our past to forge our future. Educational Psychologist, 35(2), 69-85.</w:t>
      </w:r>
      <w:r>
        <w:br/>
        <w:t>van Rooij, E. C., Jansen</w:t>
      </w:r>
      <w:r>
        <w:t>, E. P., &amp; van de Grift, W. J. (2017). Secondary school students’ engagement profiles and their relationship with academic adjustment and achievement in university. Learning and Individual Differences, 54, 9-19.</w:t>
      </w:r>
      <w:r>
        <w:br/>
        <w:t>Vandell, D. L., Hall, V., O’Cadiz, P., &amp; Kar</w:t>
      </w:r>
      <w:r>
        <w:t xml:space="preserve">sh, A. (2012). Piloting outcome measures for summer learning initiative programs. Final report to the David and Lucile Packard Foundation, Children, Families, and Communities Program. Retrieved from </w:t>
      </w:r>
      <w:hyperlink r:id="rId26">
        <w:r>
          <w:rPr>
            <w:rStyle w:val="Hyperlink"/>
          </w:rPr>
          <w:t>http://faculty.sites.uci.edu/childcare/files/2013/07/SL-Outcomes-2011-Pilot_Edited_8.19.pdf</w:t>
        </w:r>
      </w:hyperlink>
      <w:r>
        <w:br/>
        <w:t>Wang, M. T., &amp; Eccles, J. S. (2012). Social support matters: Longitudinal effects of social support on three d</w:t>
      </w:r>
      <w:r>
        <w:t>imensions of school engagement from middle to high school. Child Development, 83(3), 877-895.</w:t>
      </w:r>
      <w:r>
        <w:br/>
        <w:t>Wang, M. T., &amp; Holcombe, R. (2010). Adolescents’ perceptions of school environment, engagement, and academic achievement in middle school. American Educational Re</w:t>
      </w:r>
      <w:r>
        <w:t>search Journal, 47(3), 633-662.</w:t>
      </w:r>
      <w:r>
        <w:br/>
      </w:r>
      <w:r>
        <w:lastRenderedPageBreak/>
        <w:t>Westfall, J., Kenny, D. A., &amp; Judd, C. M. (2014). Statistical power and optimal design in experiments in which samples of participants respond to samples of stimuli. Journal of Experimental Psychology: General, 143(5), 2020-</w:t>
      </w:r>
      <w:r>
        <w:t>2045.</w:t>
      </w:r>
      <w:r>
        <w:br/>
        <w:t xml:space="preserve">Westfall, J. (2016). PANGEA: Power Analysis for General Anova designs. Retrieved from </w:t>
      </w:r>
      <w:hyperlink r:id="rId27">
        <w:r>
          <w:rPr>
            <w:rStyle w:val="Hyperlink"/>
          </w:rPr>
          <w:t>https://jakewestfall.shinyapps.io/pangea/</w:t>
        </w:r>
      </w:hyperlink>
      <w:r>
        <w:br/>
        <w:t xml:space="preserve">Wickham, H. (2018). CRAN downloads. Retrieved from </w:t>
      </w:r>
      <w:hyperlink r:id="rId28">
        <w:r>
          <w:rPr>
            <w:rStyle w:val="Hyperlink"/>
          </w:rPr>
          <w:t>https://hadley.shinyapps.io/cran-downloads/</w:t>
        </w:r>
      </w:hyperlink>
      <w:r>
        <w:t xml:space="preserve"> Wild, C. J., &amp; Pfannkuch, M. (1999). Statistical thinking in empirical enquiry. International Statistical Review, 67(3), 223-248.</w:t>
      </w:r>
      <w:r>
        <w:br/>
        <w:t>Wilkerson, M. H., And</w:t>
      </w:r>
      <w:r>
        <w:t>rews, C., Shaban, Y., Laina, V., &amp; Gravel, B. E. (2016). What’s the technology for? Teacher attention and pedagogical goals in a modeling-focused professional development workshop. Journal of Science Teacher Education, 27(1), 11-33.</w:t>
      </w:r>
      <w:r>
        <w:br/>
        <w:t>Wilkerson, M. H. &amp; Fenw</w:t>
      </w:r>
      <w:r>
        <w:t>ick, M. (2017). The practice of using mathematics and computational thinking. In C. V. Schwarz, C. Passmore, &amp; B. J. Reiser (Eds.), Helping Students Make Sense of the World Using Next Generation Science and Engineering Practices. Arlington, VA: National Sc</w:t>
      </w:r>
      <w:r>
        <w:t>ience Teachers’ Association Press. pp. 181-204.</w:t>
      </w:r>
      <w:r>
        <w:br/>
        <w:t>Witherington, D. C. (2015). Dynamic systems in developmental science. In W. F. Overton &amp; P. C. M. Molenaar (Vol. Eds.) &amp; R. M. Lerner (Ed.), Handbook of child psychology and developmental science. Vol. 1: The</w:t>
      </w:r>
      <w:r>
        <w:t>ory &amp; method (7th ed., pp. 63-112). Hoboken, NJ: Wiley.</w:t>
      </w:r>
      <w:r>
        <w:br/>
        <w:t xml:space="preserve">Wormington, S. V., &amp; Linnenbrink-Garcia, L. (advance online publication). A new look at multiple goal pursuit: The promise of a person-centered approach. Educational Psychology Review. </w:t>
      </w:r>
      <w:hyperlink r:id="rId29">
        <w:r>
          <w:rPr>
            <w:rStyle w:val="Hyperlink"/>
          </w:rPr>
          <w:t>doi:10.1007/s10648-016-9358-2</w:t>
        </w:r>
      </w:hyperlink>
    </w:p>
    <w:p w:rsidR="00467DD9" w:rsidRDefault="00E6182D">
      <w:pPr>
        <w:pStyle w:val="Heading1"/>
      </w:pPr>
      <w:bookmarkStart w:id="66" w:name="appendix"/>
      <w:bookmarkEnd w:id="66"/>
      <w:r>
        <w:t>Appendix</w:t>
      </w:r>
    </w:p>
    <w:p w:rsidR="00467DD9" w:rsidRDefault="00E6182D">
      <w:pPr>
        <w:pStyle w:val="Heading2"/>
      </w:pPr>
      <w:bookmarkStart w:id="67" w:name="appendix-a-stem-pqa-alignment"/>
      <w:bookmarkEnd w:id="67"/>
      <w:r>
        <w:t>Appendix A: STEM-PQA alignment</w:t>
      </w:r>
    </w:p>
    <w:p w:rsidR="00467DD9" w:rsidRDefault="00E6182D">
      <w:pPr>
        <w:pStyle w:val="TableCaption"/>
      </w:pPr>
      <w:r>
        <w:t>Table 6 Alignment of codes for instructional support for work with data and the STEM-PQA</w:t>
      </w:r>
    </w:p>
    <w:tbl>
      <w:tblPr>
        <w:tblW w:w="0" w:type="pct"/>
        <w:tblLook w:val="07E0" w:firstRow="1" w:lastRow="1" w:firstColumn="1" w:lastColumn="1" w:noHBand="1" w:noVBand="1"/>
        <w:tblCaption w:val="Table 6 Alignment of codes for instructional support for work with data and the STEM-PQA"/>
      </w:tblPr>
      <w:tblGrid>
        <w:gridCol w:w="2490"/>
        <w:gridCol w:w="4368"/>
        <w:gridCol w:w="2718"/>
      </w:tblGrid>
      <w:tr w:rsidR="00467DD9">
        <w:tc>
          <w:tcPr>
            <w:tcW w:w="0" w:type="auto"/>
            <w:tcBorders>
              <w:bottom w:val="single" w:sz="0" w:space="0" w:color="auto"/>
            </w:tcBorders>
            <w:vAlign w:val="bottom"/>
          </w:tcPr>
          <w:p w:rsidR="00467DD9" w:rsidRDefault="00E6182D">
            <w:pPr>
              <w:pStyle w:val="Compact"/>
            </w:pPr>
            <w:r>
              <w:t>Work.With.Data</w:t>
            </w:r>
          </w:p>
        </w:tc>
        <w:tc>
          <w:tcPr>
            <w:tcW w:w="0" w:type="auto"/>
            <w:tcBorders>
              <w:bottom w:val="single" w:sz="0" w:space="0" w:color="auto"/>
            </w:tcBorders>
            <w:vAlign w:val="bottom"/>
          </w:tcPr>
          <w:p w:rsidR="00467DD9" w:rsidRDefault="00E6182D">
            <w:pPr>
              <w:pStyle w:val="Compact"/>
            </w:pPr>
            <w:r>
              <w:t>Description</w:t>
            </w:r>
          </w:p>
        </w:tc>
        <w:tc>
          <w:tcPr>
            <w:tcW w:w="0" w:type="auto"/>
            <w:tcBorders>
              <w:bottom w:val="single" w:sz="0" w:space="0" w:color="auto"/>
            </w:tcBorders>
            <w:vAlign w:val="bottom"/>
          </w:tcPr>
          <w:p w:rsidR="00467DD9" w:rsidRDefault="00E6182D">
            <w:pPr>
              <w:pStyle w:val="Compact"/>
            </w:pPr>
            <w:r>
              <w:t>STEM.PQA</w:t>
            </w:r>
          </w:p>
        </w:tc>
      </w:tr>
      <w:tr w:rsidR="00467DD9">
        <w:tc>
          <w:tcPr>
            <w:tcW w:w="0" w:type="auto"/>
          </w:tcPr>
          <w:p w:rsidR="00467DD9" w:rsidRDefault="00E6182D">
            <w:pPr>
              <w:pStyle w:val="Compact"/>
            </w:pPr>
            <w:r>
              <w:t>Asking questions or defining problems</w:t>
            </w:r>
          </w:p>
        </w:tc>
        <w:tc>
          <w:tcPr>
            <w:tcW w:w="0" w:type="auto"/>
          </w:tcPr>
          <w:p w:rsidR="00467DD9" w:rsidRDefault="00E6182D">
            <w:pPr>
              <w:pStyle w:val="Compact"/>
            </w:pPr>
            <w:r>
              <w:t>Discussing and exploring topics to investigate and pose questions.</w:t>
            </w:r>
          </w:p>
        </w:tc>
        <w:tc>
          <w:tcPr>
            <w:tcW w:w="0" w:type="auto"/>
          </w:tcPr>
          <w:p w:rsidR="00467DD9" w:rsidRDefault="00E6182D">
            <w:pPr>
              <w:pStyle w:val="Compact"/>
            </w:pPr>
            <w:r>
              <w:t>Predict, conjecture, or hypothesize</w:t>
            </w:r>
          </w:p>
        </w:tc>
      </w:tr>
      <w:tr w:rsidR="00467DD9">
        <w:tc>
          <w:tcPr>
            <w:tcW w:w="0" w:type="auto"/>
          </w:tcPr>
          <w:p w:rsidR="00467DD9" w:rsidRDefault="00E6182D">
            <w:pPr>
              <w:pStyle w:val="Compact"/>
            </w:pPr>
            <w:r>
              <w:t>Making observations</w:t>
            </w:r>
          </w:p>
        </w:tc>
        <w:tc>
          <w:tcPr>
            <w:tcW w:w="0" w:type="auto"/>
          </w:tcPr>
          <w:p w:rsidR="00467DD9" w:rsidRDefault="00E6182D">
            <w:pPr>
              <w:pStyle w:val="Compact"/>
            </w:pPr>
            <w:r>
              <w:t>Watching and noticing what is happening with respect to the phenomena or problem being investi</w:t>
            </w:r>
            <w:r>
              <w:t>gated.</w:t>
            </w:r>
          </w:p>
        </w:tc>
        <w:tc>
          <w:tcPr>
            <w:tcW w:w="0" w:type="auto"/>
          </w:tcPr>
          <w:p w:rsidR="00467DD9" w:rsidRDefault="00E6182D">
            <w:pPr>
              <w:pStyle w:val="Compact"/>
            </w:pPr>
            <w:r>
              <w:t>Classify or abstract</w:t>
            </w:r>
          </w:p>
        </w:tc>
      </w:tr>
      <w:tr w:rsidR="00467DD9">
        <w:tc>
          <w:tcPr>
            <w:tcW w:w="0" w:type="auto"/>
          </w:tcPr>
          <w:p w:rsidR="00467DD9" w:rsidRDefault="00E6182D">
            <w:pPr>
              <w:pStyle w:val="Compact"/>
            </w:pPr>
            <w:r>
              <w:t>Generating data</w:t>
            </w:r>
          </w:p>
        </w:tc>
        <w:tc>
          <w:tcPr>
            <w:tcW w:w="0" w:type="auto"/>
          </w:tcPr>
          <w:p w:rsidR="00467DD9" w:rsidRDefault="00E6182D">
            <w:pPr>
              <w:pStyle w:val="Compact"/>
            </w:pPr>
            <w:r>
              <w:t>Figuring out how or why to inscribe an observation as data and generating coding frames or measurement tools.</w:t>
            </w:r>
          </w:p>
        </w:tc>
        <w:tc>
          <w:tcPr>
            <w:tcW w:w="0" w:type="auto"/>
          </w:tcPr>
          <w:p w:rsidR="00467DD9" w:rsidRDefault="00E6182D">
            <w:pPr>
              <w:pStyle w:val="Compact"/>
            </w:pPr>
            <w:r>
              <w:t>Collect data or measure; Highlight precision and accuracy</w:t>
            </w:r>
          </w:p>
        </w:tc>
      </w:tr>
    </w:tbl>
    <w:p w:rsidR="00467DD9" w:rsidRDefault="00E6182D">
      <w:pPr>
        <w:pStyle w:val="BodyText"/>
      </w:pPr>
      <w:r>
        <w:t>Data modeling Understanding and explaining</w:t>
      </w:r>
      <w:r>
        <w:t xml:space="preserve"> phenomena using models of the data that account for variability or uncertainty. Simulate, experiment, or model</w:t>
      </w:r>
      <w:r>
        <w:br/>
        <w:t>Interpreting and communicating findings Discussing and sharing and presenting findings. Analyze; Use symbols or models</w:t>
      </w:r>
    </w:p>
    <w:p w:rsidR="00467DD9" w:rsidRDefault="00E6182D">
      <w:pPr>
        <w:pStyle w:val="Heading3"/>
      </w:pPr>
      <w:bookmarkStart w:id="68" w:name="appendix-b-program-descriptions"/>
      <w:bookmarkEnd w:id="68"/>
      <w:r>
        <w:lastRenderedPageBreak/>
        <w:t>Appendix B: Program descr</w:t>
      </w:r>
      <w:r>
        <w:t>iptions</w:t>
      </w:r>
    </w:p>
    <w:p w:rsidR="00467DD9" w:rsidRDefault="00E6182D">
      <w:pPr>
        <w:pStyle w:val="TableCaption"/>
      </w:pPr>
      <w:r>
        <w:t>Table 7 Program (with pseudonyms) descriptions</w:t>
      </w:r>
    </w:p>
    <w:tbl>
      <w:tblPr>
        <w:tblW w:w="0" w:type="pct"/>
        <w:tblLook w:val="07E0" w:firstRow="1" w:lastRow="1" w:firstColumn="1" w:lastColumn="1" w:noHBand="1" w:noVBand="1"/>
        <w:tblCaption w:val="Table 7 Program (with pseudonyms) descriptions"/>
      </w:tblPr>
      <w:tblGrid>
        <w:gridCol w:w="1786"/>
        <w:gridCol w:w="7790"/>
      </w:tblGrid>
      <w:tr w:rsidR="00467DD9">
        <w:tc>
          <w:tcPr>
            <w:tcW w:w="0" w:type="auto"/>
            <w:tcBorders>
              <w:bottom w:val="single" w:sz="0" w:space="0" w:color="auto"/>
            </w:tcBorders>
            <w:vAlign w:val="bottom"/>
          </w:tcPr>
          <w:p w:rsidR="00467DD9" w:rsidRDefault="00E6182D">
            <w:pPr>
              <w:pStyle w:val="Compact"/>
            </w:pPr>
            <w:r>
              <w:t>Program.Name</w:t>
            </w:r>
          </w:p>
        </w:tc>
        <w:tc>
          <w:tcPr>
            <w:tcW w:w="0" w:type="auto"/>
            <w:tcBorders>
              <w:bottom w:val="single" w:sz="0" w:space="0" w:color="auto"/>
            </w:tcBorders>
            <w:vAlign w:val="bottom"/>
          </w:tcPr>
          <w:p w:rsidR="00467DD9" w:rsidRDefault="00E6182D">
            <w:pPr>
              <w:pStyle w:val="Compact"/>
            </w:pPr>
            <w:r>
              <w:t>Program.Description</w:t>
            </w:r>
          </w:p>
        </w:tc>
      </w:tr>
      <w:tr w:rsidR="00467DD9">
        <w:tc>
          <w:tcPr>
            <w:tcW w:w="0" w:type="auto"/>
          </w:tcPr>
          <w:p w:rsidR="00467DD9" w:rsidRDefault="00E6182D">
            <w:pPr>
              <w:pStyle w:val="Compact"/>
            </w:pPr>
            <w:r>
              <w:t>Island Explorers</w:t>
            </w:r>
          </w:p>
        </w:tc>
        <w:tc>
          <w:tcPr>
            <w:tcW w:w="0" w:type="auto"/>
          </w:tcPr>
          <w:p w:rsidR="00467DD9" w:rsidRDefault="00E6182D">
            <w:pPr>
              <w:pStyle w:val="Compact"/>
            </w:pPr>
            <w:r>
              <w:t xml:space="preserve">A science-focused program that aims to help youth develop expertise on one species found in the local ecosystem by reading and writing about related content for up to an hour per day; undertaking data collection and analysis tasks to learn about the local </w:t>
            </w:r>
            <w:r>
              <w:t>ecosystem and how to communicate scientific data; developing vocabulary about the local ecosystem; using art to learn and communicate information; and publishing a book illustrating important elements of the species being studied. Located in both the class</w:t>
            </w:r>
            <w:r>
              <w:t>room and local ecosystem. 27 students who are rising 6th graders. Youth spend the morning in more academically-oriented sessions in a classroom setting, while afternoon sessions involved STEM-oriented enrichment sessions taking place outside (the program w</w:t>
            </w:r>
            <w:r>
              <w:t>as associated with Outward Bound) with an emphasis on exploration of the local ecosystem.</w:t>
            </w:r>
          </w:p>
        </w:tc>
      </w:tr>
      <w:tr w:rsidR="00467DD9">
        <w:tc>
          <w:tcPr>
            <w:tcW w:w="0" w:type="auto"/>
          </w:tcPr>
          <w:p w:rsidR="00467DD9" w:rsidRDefault="00E6182D">
            <w:pPr>
              <w:pStyle w:val="Compact"/>
            </w:pPr>
            <w:r>
              <w:t>The Ecosphere</w:t>
            </w:r>
          </w:p>
        </w:tc>
        <w:tc>
          <w:tcPr>
            <w:tcW w:w="0" w:type="auto"/>
          </w:tcPr>
          <w:p w:rsidR="00467DD9" w:rsidRDefault="00E6182D">
            <w:pPr>
              <w:pStyle w:val="Compact"/>
            </w:pPr>
            <w:r>
              <w:t>A science-focused program that aims to help youth to explore the marine life of Narragansett Bay. Efforts were undertaken to build youth content knowle</w:t>
            </w:r>
            <w:r>
              <w:t>dge in the areas of ecosystem preservation, marine biology, and water quality, and related skills, such as questioning, showing initiative, data collection, measuring, maintaining an ecosystem, and analyzing water samples. Located in a classroom setting, s</w:t>
            </w:r>
            <w:r>
              <w:t>horeline, and science education center. 27 youth who are rising 6th to 9th graders. Youth attended programming in a classroom at an area middle school and in a field-based setting on alternating days. Field-based settings included a science education cente</w:t>
            </w:r>
            <w:r>
              <w:t>r at a community-based organization and field trips to sites in the community related to the program’s focus.</w:t>
            </w:r>
          </w:p>
        </w:tc>
      </w:tr>
    </w:tbl>
    <w:p w:rsidR="00467DD9" w:rsidRDefault="00E6182D">
      <w:pPr>
        <w:pStyle w:val="BodyText"/>
      </w:pPr>
      <w:r>
        <w:t>Zoology Partners A science-focused program that aims to support youth’s development of content knowledge related to the issue of endangered speci</w:t>
      </w:r>
      <w:r>
        <w:t>es, including how species become endangered, processes for monitoring ecosystem viability and population levels, solutions to prevent species from becoming endangered, and approaches to reviving populations that are currently endangered. Located in the cla</w:t>
      </w:r>
      <w:r>
        <w:t>ssroom as well as zoos, parks, and other natural areas. 25 youth who are rising 6th to 9th graders. Youth attended programming in a classroom at an area middle school and in a field-based setting on alternating days. Field-based settings included a local z</w:t>
      </w:r>
      <w:r>
        <w:t>oo and field trips to sites in the community related to the program’s focus.</w:t>
      </w:r>
      <w:r>
        <w:br/>
        <w:t>Marine Investigators A science-focused program that aims to provide youth with opportunities to learn about and experience Narragansett Bay; examine human impacts on the local eco</w:t>
      </w:r>
      <w:r>
        <w:t>system, including how the geography of the Bay helped influence human history and how the history of humans along the shoreline has impacted the Bay, and begin the process of cultivating a sense of stewardship among participating youth for caring for and p</w:t>
      </w:r>
      <w:r>
        <w:t>rotecting the Bay in the future. Located in the classroom, shoreline along the bay, ship on the bay, and various field locations associated with bay health. 19 youth who are rising 7th to 9th graders. Youth attended programming in a classroom at an area mi</w:t>
      </w:r>
      <w:r>
        <w:t xml:space="preserve">ddle school </w:t>
      </w:r>
      <w:r>
        <w:lastRenderedPageBreak/>
        <w:t>and in a field-based setting on alternating days. Field-based settings included the local bay shoreline, a voyage on a marine education ship researching in the Bay, and field trips to sites in the community related to the program’s focus. Durin</w:t>
      </w:r>
      <w:r>
        <w:t xml:space="preserve">g the span of the program, youth had the opportunity to participate in both a water quality research study. Comunidad de Aprendizaje A STEM-focused program that aims to help youth improve basic skills in mathematics and develop an interest in STEM content </w:t>
      </w:r>
      <w:r>
        <w:t>and entrepreneurship. Primarily in the classroom setting. 33 students who are rising 5th to 8th graders. Morning sessions are characterized by direct instruction in mathematics for individual grade levels and mixed grade level afternoon enrichment sessions</w:t>
      </w:r>
      <w:r>
        <w:t xml:space="preserve"> in either robotics or dance. The direct instruction component of the programs was organized around a theme of promoting entrepreneurship with the goal of helping participating youth better see the relevance of mathematics to future career goals and opport</w:t>
      </w:r>
      <w:r>
        <w:t>unities.</w:t>
      </w:r>
      <w:r>
        <w:br/>
        <w:t>Jefferson House A STEM-focused program that aims to support youth’s development of basic math skills, the program was primarily focused on helping youth develop problem solving, self-improvement, and critical thinking skills. Located in a classroo</w:t>
      </w:r>
      <w:r>
        <w:t>m. 11 youth who are rising 7th graders. The youth spent the morning in more academically-oriented sessions in a classroom setting focusing on basic skill development, while afternoon sessions involved STEM-oriented enrichment sessions involving media, art,</w:t>
      </w:r>
      <w:r>
        <w:t xml:space="preserve"> and nutrition. Enrichment offerings varied by day, with math sessions occurring twice per week, alternating with academically oriented sessions in the am that were oriented at supporting skill development in English/language arts.</w:t>
      </w:r>
    </w:p>
    <w:p w:rsidR="00467DD9" w:rsidRDefault="00E6182D">
      <w:pPr>
        <w:pStyle w:val="BodyText"/>
      </w:pPr>
      <w:r>
        <w:t>Uptown Architecture An e</w:t>
      </w:r>
      <w:r>
        <w:t>ngineering-focused program that aims to support youth’s participation in a process to design and build an outdoor learning space for use at the middle school where the program was housed. A key focus of the program was to provide youth with the opportunity</w:t>
      </w:r>
      <w:r>
        <w:t xml:space="preserve"> to use design thinking as a problem-solving tool and have the experience of affecting their community positively through the design/build process. Located in a classroom, building shop, and various field locations. 18 youth who were rising 6th to 9th grad</w:t>
      </w:r>
      <w:r>
        <w:t>ers. Youth attended programming in a classroom at an area middle school and in a building shop located at a community-based organization on alternating days, while also taking field trips to locations associated with the program’s overall theme.</w:t>
      </w:r>
      <w:r>
        <w:br/>
        <w:t>Building M</w:t>
      </w:r>
      <w:r>
        <w:t>ania An engineering-focused program that aims to provide youth with the opportunity to experiment with designing and using simple machines. A goal of the program is to have youth engage in the engineering design process by determining a need, brainstorming</w:t>
      </w:r>
      <w:r>
        <w:t xml:space="preserve"> possible designs, selecting a design, planning and drawing out the design, creating and testing and revising it, and producing a final machine. Located in the classroom, design labs, and other local locations. 24 youth who are rising 6th to 9th graders. Y</w:t>
      </w:r>
      <w:r>
        <w:t>outh attended programming in a classroom at an area middle school and a field-based setting on alternating days. Field-based settings included a design lab at a community-based organization and field trips to sites in the community related to the program’s</w:t>
      </w:r>
      <w:r>
        <w:t xml:space="preserve"> focus.</w:t>
      </w:r>
      <w:r>
        <w:br/>
        <w:t xml:space="preserve">Adventures in Mathematics A mathematics-focused program that aims to help youth to develop the basic math skills and prevent summer learning loss among participating youth through direct instruction and participation in math-related games. Located </w:t>
      </w:r>
      <w:r>
        <w:t xml:space="preserve">primarily in the classroom. 20 youth who are rising 8th to 10th graders. Youth participated in direct </w:t>
      </w:r>
      <w:r>
        <w:lastRenderedPageBreak/>
        <w:t>instructions in mathematics and math-related games in small groups. Program content was aligned with the state’s standards in mathematics.</w:t>
      </w:r>
    </w:p>
    <w:p w:rsidR="00467DD9" w:rsidRDefault="00E6182D">
      <w:pPr>
        <w:pStyle w:val="Heading3"/>
      </w:pPr>
      <w:bookmarkStart w:id="69" w:name="appendix-c-model-specifications-details"/>
      <w:bookmarkEnd w:id="69"/>
      <w:r>
        <w:t>Appendix C: Mod</w:t>
      </w:r>
      <w:r>
        <w:t>el specifications details</w:t>
      </w:r>
    </w:p>
    <w:p w:rsidR="00467DD9" w:rsidRDefault="00E6182D">
      <w:pPr>
        <w:pStyle w:val="FirstParagraph"/>
      </w:pPr>
      <w:r>
        <w:t xml:space="preserve">Here, the six models that are possible to specify in LPA are described in terms of how the variables used to create the profiles are estimated. Note that </w:t>
      </w:r>
      <w:r>
        <w:rPr>
          <w:i/>
        </w:rPr>
        <w:t>p</w:t>
      </w:r>
      <w:r>
        <w:t xml:space="preserve"> represents different profiles and each parameterization is represented by </w:t>
      </w:r>
      <w:r>
        <w:t>a 4 x 4 covariance matrix and therefore would represent the parameterization for a four-profile solution. In all of the models, the means are estimated freely in the different profiles. Imagine that each row and column represents a different variable, i.e.</w:t>
      </w:r>
      <w:r>
        <w:t>, the first row (and column) represents broad interest, the second enjoyment, the third self-efficacy, and the fourth another variable, i.e., future goals and plans. Models 1 and 3 meet the assumption of independence, that is, that, after accounting for th</w:t>
      </w:r>
      <w:r>
        <w:t>eir relations with the profile, the variables used to estimate the profiles are independent (Collins &amp; Lanza, 2010). They estimate variable variances but do not estimate covariances (i.e., as can be seen, the covariance matrices are “diagonal,” without any</w:t>
      </w:r>
      <w:r>
        <w:t xml:space="preserve"> off-diagonal parameters that are estimated). These models are estimated by default in MPlus, although these assumptions can be relaxed (Muthen &amp; Muthen, 2017). Importantly, this does not mean the variables used to create the profile are assumed to be not </w:t>
      </w:r>
      <w:r>
        <w:t>related; as Collins and Lanza (2010) explain:</w:t>
      </w:r>
    </w:p>
    <w:p w:rsidR="00467DD9" w:rsidRDefault="00E6182D">
      <w:pPr>
        <w:pStyle w:val="BlockText"/>
      </w:pPr>
      <w:r>
        <w:t>The local independence assumption refers only to conditioning on the latent variable. It does not imply that in a data set that is to be analyzed, the observed variables are independent. In fact, it is the rela</w:t>
      </w:r>
      <w:r>
        <w:t>tions among the observed variables that are explained by the latent classes. An observed data set is a mixture of all the latent classes. Independence is assumed to hold only within each latent class, which is why it is called “local”.</w:t>
      </w:r>
    </w:p>
    <w:p w:rsidR="00467DD9" w:rsidRDefault="00E6182D">
      <w:pPr>
        <w:pStyle w:val="FirstParagraph"/>
      </w:pPr>
      <w:r>
        <w:t>Despite the assumpti</w:t>
      </w:r>
      <w:r>
        <w:t>on of independence, as Collins and Lanza (2010), Muthen and Muthen (2017), and others (i.e., Pastor et al., 2007; Vermunt &amp; Magidson, 2002) note, it can be lifted to improve model fit, though these models without the assumption of independence may be bette</w:t>
      </w:r>
      <w:r>
        <w:t>r described as general or Gaussian mixture models (Fraley et al., 2017).</w:t>
      </w:r>
    </w:p>
    <w:p w:rsidR="00467DD9" w:rsidRDefault="00E6182D">
      <w:pPr>
        <w:pStyle w:val="Heading4"/>
      </w:pPr>
      <w:bookmarkStart w:id="70" w:name="varying-means-equal-variances-and-covari"/>
      <w:bookmarkEnd w:id="70"/>
      <w:r>
        <w:t>Varying means, equal variances, and covariances fixed to 0 (model 1)</w:t>
      </w:r>
    </w:p>
    <w:p w:rsidR="00467DD9" w:rsidRDefault="00E6182D">
      <w:pPr>
        <w:pStyle w:val="FirstParagraph"/>
      </w:pPr>
      <w:r>
        <w:t>In this model, which corresponds to the mclust model wit the name “EEI”, the variances are estimated to be equal a</w:t>
      </w:r>
      <w:r>
        <w:t>cross profiles, indicated by the absence of a p subscript for any of the diagonal elements of the matrix. The covariances are constrained to be zero, as indicated by the 0’s between every combination of the variables. Thus, this model is highly constrained</w:t>
      </w:r>
      <w:r>
        <w:t xml:space="preserve"> but also parsimonious: the profiles are estimated in such a way that the variables’ variances are identical for each of the profiles, and the relationships between the variables are not estimated. In this way, less degrees of freedom are taken used to exp</w:t>
      </w:r>
      <w:r>
        <w:t>lain the observations that make up the data. However, estimating more parameters–as in the other models–may better explain the data, justifying the addition in complexity that their addition involves (and their reduction in degrees of freedom).</w:t>
      </w:r>
    </w:p>
    <w:p w:rsidR="00467DD9" w:rsidRDefault="00E6182D">
      <w:pPr>
        <w:pStyle w:val="BodyText"/>
      </w:pPr>
      <m:oMathPara>
        <m:oMathParaPr>
          <m:jc m:val="center"/>
        </m:oMathParaPr>
        <m:oMath>
          <m:d>
            <m:dPr>
              <m:begChr m:val="["/>
              <m:endChr m:val="]"/>
              <m:ctrlPr>
                <w:rPr>
                  <w:rFonts w:ascii="Cambria Math" w:hAnsi="Cambria Math"/>
                </w:rPr>
              </m:ctrlPr>
            </m:dPr>
            <m:e>
              <m:m>
                <m:mPr>
                  <m:plcHide m:val="1"/>
                  <m:mcs>
                    <m:mc>
                      <m:mcPr>
                        <m:count m:val="4"/>
                        <m:mcJc m:val="center"/>
                      </m:mcPr>
                    </m:mc>
                  </m:mcs>
                  <m:ctrlPr>
                    <w:rPr>
                      <w:rFonts w:ascii="Cambria Math" w:hAnsi="Cambria Math"/>
                    </w:rPr>
                  </m:ctrlPr>
                </m:mPr>
                <m:mr>
                  <m:e>
                    <m:sSubSup>
                      <m:sSubSupPr>
                        <m:ctrlPr>
                          <w:rPr>
                            <w:rFonts w:ascii="Cambria Math" w:hAnsi="Cambria Math"/>
                          </w:rPr>
                        </m:ctrlPr>
                      </m:sSubSupPr>
                      <m:e>
                        <m:r>
                          <w:rPr>
                            <w:rFonts w:ascii="Cambria Math" w:hAnsi="Cambria Math"/>
                          </w:rPr>
                          <m:t>σ</m:t>
                        </m:r>
                      </m:e>
                      <m:sub>
                        <m:r>
                          <w:rPr>
                            <w:rFonts w:ascii="Cambria Math" w:hAnsi="Cambria Math"/>
                          </w:rPr>
                          <m:t>1</m:t>
                        </m:r>
                      </m:sub>
                      <m:sup>
                        <m:r>
                          <w:rPr>
                            <w:rFonts w:ascii="Cambria Math" w:hAnsi="Cambria Math"/>
                          </w:rPr>
                          <m:t>2</m:t>
                        </m:r>
                      </m:sup>
                    </m:sSubSup>
                  </m:e>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0</m:t>
                    </m:r>
                  </m:e>
                  <m:e>
                    <m:sSubSup>
                      <m:sSubSupPr>
                        <m:ctrlPr>
                          <w:rPr>
                            <w:rFonts w:ascii="Cambria Math" w:hAnsi="Cambria Math"/>
                          </w:rPr>
                        </m:ctrlPr>
                      </m:sSubSupPr>
                      <m:e>
                        <m:r>
                          <w:rPr>
                            <w:rFonts w:ascii="Cambria Math" w:hAnsi="Cambria Math"/>
                          </w:rPr>
                          <m:t>σ</m:t>
                        </m:r>
                      </m:e>
                      <m:sub>
                        <m:r>
                          <w:rPr>
                            <w:rFonts w:ascii="Cambria Math" w:hAnsi="Cambria Math"/>
                          </w:rPr>
                          <m:t>2</m:t>
                        </m:r>
                      </m:sub>
                      <m:sup>
                        <m:r>
                          <w:rPr>
                            <w:rFonts w:ascii="Cambria Math" w:hAnsi="Cambria Math"/>
                          </w:rPr>
                          <m:t>2</m:t>
                        </m:r>
                      </m:sup>
                    </m:sSubSup>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e>
                    <m:sSubSup>
                      <m:sSubSupPr>
                        <m:ctrlPr>
                          <w:rPr>
                            <w:rFonts w:ascii="Cambria Math" w:hAnsi="Cambria Math"/>
                          </w:rPr>
                        </m:ctrlPr>
                      </m:sSubSupPr>
                      <m:e>
                        <m:r>
                          <w:rPr>
                            <w:rFonts w:ascii="Cambria Math" w:hAnsi="Cambria Math"/>
                          </w:rPr>
                          <m:t>σ</m:t>
                        </m:r>
                      </m:e>
                      <m:sub>
                        <m:r>
                          <w:rPr>
                            <w:rFonts w:ascii="Cambria Math" w:hAnsi="Cambria Math"/>
                          </w:rPr>
                          <m:t>3</m:t>
                        </m:r>
                      </m:sub>
                      <m:sup>
                        <m:r>
                          <w:rPr>
                            <w:rFonts w:ascii="Cambria Math" w:hAnsi="Cambria Math"/>
                          </w:rPr>
                          <m:t>2</m:t>
                        </m:r>
                      </m:sup>
                    </m:sSubSup>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0</m:t>
                    </m:r>
                  </m:e>
                  <m:e>
                    <m:sSubSup>
                      <m:sSubSupPr>
                        <m:ctrlPr>
                          <w:rPr>
                            <w:rFonts w:ascii="Cambria Math" w:hAnsi="Cambria Math"/>
                          </w:rPr>
                        </m:ctrlPr>
                      </m:sSubSupPr>
                      <m:e>
                        <m:r>
                          <w:rPr>
                            <w:rFonts w:ascii="Cambria Math" w:hAnsi="Cambria Math"/>
                          </w:rPr>
                          <m:t>σ</m:t>
                        </m:r>
                      </m:e>
                      <m:sub>
                        <m:r>
                          <w:rPr>
                            <w:rFonts w:ascii="Cambria Math" w:hAnsi="Cambria Math"/>
                          </w:rPr>
                          <m:t>4</m:t>
                        </m:r>
                      </m:sub>
                      <m:sup>
                        <m:r>
                          <w:rPr>
                            <w:rFonts w:ascii="Cambria Math" w:hAnsi="Cambria Math"/>
                          </w:rPr>
                          <m:t>2</m:t>
                        </m:r>
                      </m:sup>
                    </m:sSubSup>
                  </m:e>
                </m:mr>
              </m:m>
            </m:e>
          </m:d>
        </m:oMath>
      </m:oMathPara>
    </w:p>
    <w:p w:rsidR="00467DD9" w:rsidRDefault="00E6182D">
      <w:pPr>
        <w:pStyle w:val="Heading4"/>
      </w:pPr>
      <w:bookmarkStart w:id="71" w:name="varying-means-equal-variances-and-equal-"/>
      <w:bookmarkEnd w:id="71"/>
      <w:r>
        <w:lastRenderedPageBreak/>
        <w:t>Varying means, equal variances, and equal covariances (model 2)</w:t>
      </w:r>
    </w:p>
    <w:p w:rsidR="00467DD9" w:rsidRDefault="00E6182D">
      <w:pPr>
        <w:pStyle w:val="FirstParagraph"/>
      </w:pPr>
      <w:r>
        <w:t>This model corresponds to the mclust model “EEE”</w:t>
      </w:r>
      <w:r>
        <w:t>. In this model, the variances are still constrained to be the same across the profiles, although now the covariances are estimated (but like the variances, are constrained to be the same across profiles). Thus, this model is the first to estimate the cova</w:t>
      </w:r>
      <w:r>
        <w:t>riance (or correlations) of the variables used to create the profiles, thus adding more information that can be used to better understand the characteristics of the profiles (and, potentially, better explain the data).</w:t>
      </w:r>
    </w:p>
    <w:p w:rsidR="00467DD9" w:rsidRDefault="00E6182D">
      <w:pPr>
        <w:pStyle w:val="BodyText"/>
      </w:pPr>
      <m:oMathPara>
        <m:oMathParaPr>
          <m:jc m:val="center"/>
        </m:oMathParaPr>
        <m:oMath>
          <m:d>
            <m:dPr>
              <m:begChr m:val="["/>
              <m:endChr m:val="]"/>
              <m:ctrlPr>
                <w:rPr>
                  <w:rFonts w:ascii="Cambria Math" w:hAnsi="Cambria Math"/>
                </w:rPr>
              </m:ctrlPr>
            </m:dPr>
            <m:e>
              <m:m>
                <m:mPr>
                  <m:plcHide m:val="1"/>
                  <m:mcs>
                    <m:mc>
                      <m:mcPr>
                        <m:count m:val="4"/>
                        <m:mcJc m:val="center"/>
                      </m:mcPr>
                    </m:mc>
                  </m:mcs>
                  <m:ctrlPr>
                    <w:rPr>
                      <w:rFonts w:ascii="Cambria Math" w:hAnsi="Cambria Math"/>
                    </w:rPr>
                  </m:ctrlPr>
                </m:mPr>
                <m:mr>
                  <m:e>
                    <m:sSubSup>
                      <m:sSubSupPr>
                        <m:ctrlPr>
                          <w:rPr>
                            <w:rFonts w:ascii="Cambria Math" w:hAnsi="Cambria Math"/>
                          </w:rPr>
                        </m:ctrlPr>
                      </m:sSubSupPr>
                      <m:e>
                        <m:r>
                          <w:rPr>
                            <w:rFonts w:ascii="Cambria Math" w:hAnsi="Cambria Math"/>
                          </w:rPr>
                          <m:t>σ</m:t>
                        </m:r>
                      </m:e>
                      <m:sub>
                        <m:r>
                          <w:rPr>
                            <w:rFonts w:ascii="Cambria Math" w:hAnsi="Cambria Math"/>
                          </w:rPr>
                          <m:t>1</m:t>
                        </m:r>
                      </m:sub>
                      <m:sup>
                        <m:r>
                          <w:rPr>
                            <w:rFonts w:ascii="Cambria Math" w:hAnsi="Cambria Math"/>
                          </w:rPr>
                          <m:t>2</m:t>
                        </m:r>
                      </m:sup>
                    </m:sSubSup>
                  </m:e>
                  <m:e>
                    <m:sSub>
                      <m:sSubPr>
                        <m:ctrlPr>
                          <w:rPr>
                            <w:rFonts w:ascii="Cambria Math" w:hAnsi="Cambria Math"/>
                          </w:rPr>
                        </m:ctrlPr>
                      </m:sSubPr>
                      <m:e>
                        <m:r>
                          <w:rPr>
                            <w:rFonts w:ascii="Cambria Math" w:hAnsi="Cambria Math"/>
                          </w:rPr>
                          <m:t>σ</m:t>
                        </m:r>
                      </m:e>
                      <m:sub>
                        <m:r>
                          <w:rPr>
                            <w:rFonts w:ascii="Cambria Math" w:hAnsi="Cambria Math"/>
                          </w:rPr>
                          <m:t>21</m:t>
                        </m:r>
                      </m:sub>
                    </m:sSub>
                  </m:e>
                  <m:e>
                    <m:sSub>
                      <m:sSubPr>
                        <m:ctrlPr>
                          <w:rPr>
                            <w:rFonts w:ascii="Cambria Math" w:hAnsi="Cambria Math"/>
                          </w:rPr>
                        </m:ctrlPr>
                      </m:sSubPr>
                      <m:e>
                        <m:r>
                          <w:rPr>
                            <w:rFonts w:ascii="Cambria Math" w:hAnsi="Cambria Math"/>
                          </w:rPr>
                          <m:t>σ</m:t>
                        </m:r>
                      </m:e>
                      <m:sub>
                        <m:r>
                          <w:rPr>
                            <w:rFonts w:ascii="Cambria Math" w:hAnsi="Cambria Math"/>
                          </w:rPr>
                          <m:t>31</m:t>
                        </m:r>
                      </m:sub>
                    </m:sSub>
                  </m:e>
                  <m:e>
                    <m:sSub>
                      <m:sSubPr>
                        <m:ctrlPr>
                          <w:rPr>
                            <w:rFonts w:ascii="Cambria Math" w:hAnsi="Cambria Math"/>
                          </w:rPr>
                        </m:ctrlPr>
                      </m:sSubPr>
                      <m:e>
                        <m:r>
                          <w:rPr>
                            <w:rFonts w:ascii="Cambria Math" w:hAnsi="Cambria Math"/>
                          </w:rPr>
                          <m:t>σ</m:t>
                        </m:r>
                      </m:e>
                      <m:sub>
                        <m:r>
                          <w:rPr>
                            <w:rFonts w:ascii="Cambria Math" w:hAnsi="Cambria Math"/>
                          </w:rPr>
                          <m:t>41</m:t>
                        </m:r>
                      </m:sub>
                    </m:sSub>
                  </m:e>
                </m:mr>
                <m:mr>
                  <m:e>
                    <m:sSub>
                      <m:sSubPr>
                        <m:ctrlPr>
                          <w:rPr>
                            <w:rFonts w:ascii="Cambria Math" w:hAnsi="Cambria Math"/>
                          </w:rPr>
                        </m:ctrlPr>
                      </m:sSubPr>
                      <m:e>
                        <m:r>
                          <w:rPr>
                            <w:rFonts w:ascii="Cambria Math" w:hAnsi="Cambria Math"/>
                          </w:rPr>
                          <m:t>σ</m:t>
                        </m:r>
                      </m:e>
                      <m:sub>
                        <m:r>
                          <w:rPr>
                            <w:rFonts w:ascii="Cambria Math" w:hAnsi="Cambria Math"/>
                          </w:rPr>
                          <m:t>12</m:t>
                        </m:r>
                      </m:sub>
                    </m:sSub>
                  </m:e>
                  <m:e>
                    <m:sSubSup>
                      <m:sSubSupPr>
                        <m:ctrlPr>
                          <w:rPr>
                            <w:rFonts w:ascii="Cambria Math" w:hAnsi="Cambria Math"/>
                          </w:rPr>
                        </m:ctrlPr>
                      </m:sSubSupPr>
                      <m:e>
                        <m:r>
                          <w:rPr>
                            <w:rFonts w:ascii="Cambria Math" w:hAnsi="Cambria Math"/>
                          </w:rPr>
                          <m:t>σ</m:t>
                        </m:r>
                      </m:e>
                      <m:sub>
                        <m:r>
                          <w:rPr>
                            <w:rFonts w:ascii="Cambria Math" w:hAnsi="Cambria Math"/>
                          </w:rPr>
                          <m:t>2</m:t>
                        </m:r>
                      </m:sub>
                      <m:sup>
                        <m:r>
                          <w:rPr>
                            <w:rFonts w:ascii="Cambria Math" w:hAnsi="Cambria Math"/>
                          </w:rPr>
                          <m:t>2</m:t>
                        </m:r>
                      </m:sup>
                    </m:sSubSup>
                  </m:e>
                  <m:e>
                    <m:sSub>
                      <m:sSubPr>
                        <m:ctrlPr>
                          <w:rPr>
                            <w:rFonts w:ascii="Cambria Math" w:hAnsi="Cambria Math"/>
                          </w:rPr>
                        </m:ctrlPr>
                      </m:sSubPr>
                      <m:e>
                        <m:r>
                          <w:rPr>
                            <w:rFonts w:ascii="Cambria Math" w:hAnsi="Cambria Math"/>
                          </w:rPr>
                          <m:t>σ</m:t>
                        </m:r>
                      </m:e>
                      <m:sub>
                        <m:r>
                          <w:rPr>
                            <w:rFonts w:ascii="Cambria Math" w:hAnsi="Cambria Math"/>
                          </w:rPr>
                          <m:t>23</m:t>
                        </m:r>
                      </m:sub>
                    </m:sSub>
                  </m:e>
                  <m:e>
                    <m:sSub>
                      <m:sSubPr>
                        <m:ctrlPr>
                          <w:rPr>
                            <w:rFonts w:ascii="Cambria Math" w:hAnsi="Cambria Math"/>
                          </w:rPr>
                        </m:ctrlPr>
                      </m:sSubPr>
                      <m:e>
                        <m:r>
                          <w:rPr>
                            <w:rFonts w:ascii="Cambria Math" w:hAnsi="Cambria Math"/>
                          </w:rPr>
                          <m:t>σ</m:t>
                        </m:r>
                      </m:e>
                      <m:sub>
                        <m:r>
                          <w:rPr>
                            <w:rFonts w:ascii="Cambria Math" w:hAnsi="Cambria Math"/>
                          </w:rPr>
                          <m:t>24</m:t>
                        </m:r>
                      </m:sub>
                    </m:sSub>
                  </m:e>
                </m:mr>
                <m:mr>
                  <m:e>
                    <m:sSub>
                      <m:sSubPr>
                        <m:ctrlPr>
                          <w:rPr>
                            <w:rFonts w:ascii="Cambria Math" w:hAnsi="Cambria Math"/>
                          </w:rPr>
                        </m:ctrlPr>
                      </m:sSubPr>
                      <m:e>
                        <m:r>
                          <w:rPr>
                            <w:rFonts w:ascii="Cambria Math" w:hAnsi="Cambria Math"/>
                          </w:rPr>
                          <m:t>σ</m:t>
                        </m:r>
                      </m:e>
                      <m:sub>
                        <m:r>
                          <w:rPr>
                            <w:rFonts w:ascii="Cambria Math" w:hAnsi="Cambria Math"/>
                          </w:rPr>
                          <m:t>13</m:t>
                        </m:r>
                      </m:sub>
                    </m:sSub>
                  </m:e>
                  <m:e>
                    <m:sSub>
                      <m:sSubPr>
                        <m:ctrlPr>
                          <w:rPr>
                            <w:rFonts w:ascii="Cambria Math" w:hAnsi="Cambria Math"/>
                          </w:rPr>
                        </m:ctrlPr>
                      </m:sSubPr>
                      <m:e>
                        <m:r>
                          <w:rPr>
                            <w:rFonts w:ascii="Cambria Math" w:hAnsi="Cambria Math"/>
                          </w:rPr>
                          <m:t>σ</m:t>
                        </m:r>
                      </m:e>
                      <m:sub>
                        <m:r>
                          <w:rPr>
                            <w:rFonts w:ascii="Cambria Math" w:hAnsi="Cambria Math"/>
                          </w:rPr>
                          <m:t>12</m:t>
                        </m:r>
                      </m:sub>
                    </m:sSub>
                  </m:e>
                  <m:e>
                    <m:sSubSup>
                      <m:sSubSupPr>
                        <m:ctrlPr>
                          <w:rPr>
                            <w:rFonts w:ascii="Cambria Math" w:hAnsi="Cambria Math"/>
                          </w:rPr>
                        </m:ctrlPr>
                      </m:sSubSupPr>
                      <m:e>
                        <m:r>
                          <w:rPr>
                            <w:rFonts w:ascii="Cambria Math" w:hAnsi="Cambria Math"/>
                          </w:rPr>
                          <m:t>σ</m:t>
                        </m:r>
                      </m:e>
                      <m:sub>
                        <m:r>
                          <w:rPr>
                            <w:rFonts w:ascii="Cambria Math" w:hAnsi="Cambria Math"/>
                          </w:rPr>
                          <m:t>3</m:t>
                        </m:r>
                      </m:sub>
                      <m:sup>
                        <m:r>
                          <w:rPr>
                            <w:rFonts w:ascii="Cambria Math" w:hAnsi="Cambria Math"/>
                          </w:rPr>
                          <m:t>2</m:t>
                        </m:r>
                      </m:sup>
                    </m:sSubSup>
                  </m:e>
                  <m:e>
                    <m:sSub>
                      <m:sSubPr>
                        <m:ctrlPr>
                          <w:rPr>
                            <w:rFonts w:ascii="Cambria Math" w:hAnsi="Cambria Math"/>
                          </w:rPr>
                        </m:ctrlPr>
                      </m:sSubPr>
                      <m:e>
                        <m:r>
                          <w:rPr>
                            <w:rFonts w:ascii="Cambria Math" w:hAnsi="Cambria Math"/>
                          </w:rPr>
                          <m:t>σ</m:t>
                        </m:r>
                      </m:e>
                      <m:sub>
                        <m:r>
                          <w:rPr>
                            <w:rFonts w:ascii="Cambria Math" w:hAnsi="Cambria Math"/>
                          </w:rPr>
                          <m:t>33</m:t>
                        </m:r>
                      </m:sub>
                    </m:sSub>
                  </m:e>
                </m:mr>
                <m:mr>
                  <m:e>
                    <m:sSub>
                      <m:sSubPr>
                        <m:ctrlPr>
                          <w:rPr>
                            <w:rFonts w:ascii="Cambria Math" w:hAnsi="Cambria Math"/>
                          </w:rPr>
                        </m:ctrlPr>
                      </m:sSubPr>
                      <m:e>
                        <m:r>
                          <w:rPr>
                            <w:rFonts w:ascii="Cambria Math" w:hAnsi="Cambria Math"/>
                          </w:rPr>
                          <m:t>σ</m:t>
                        </m:r>
                      </m:e>
                      <m:sub>
                        <m:r>
                          <w:rPr>
                            <w:rFonts w:ascii="Cambria Math" w:hAnsi="Cambria Math"/>
                          </w:rPr>
                          <m:t>14</m:t>
                        </m:r>
                      </m:sub>
                    </m:sSub>
                  </m:e>
                  <m:e>
                    <m:sSub>
                      <m:sSubPr>
                        <m:ctrlPr>
                          <w:rPr>
                            <w:rFonts w:ascii="Cambria Math" w:hAnsi="Cambria Math"/>
                          </w:rPr>
                        </m:ctrlPr>
                      </m:sSubPr>
                      <m:e>
                        <m:r>
                          <w:rPr>
                            <w:rFonts w:ascii="Cambria Math" w:hAnsi="Cambria Math"/>
                          </w:rPr>
                          <m:t>σ</m:t>
                        </m:r>
                      </m:e>
                      <m:sub>
                        <m:r>
                          <w:rPr>
                            <w:rFonts w:ascii="Cambria Math" w:hAnsi="Cambria Math"/>
                          </w:rPr>
                          <m:t>12</m:t>
                        </m:r>
                      </m:sub>
                    </m:sSub>
                  </m:e>
                  <m:e>
                    <m:sSub>
                      <m:sSubPr>
                        <m:ctrlPr>
                          <w:rPr>
                            <w:rFonts w:ascii="Cambria Math" w:hAnsi="Cambria Math"/>
                          </w:rPr>
                        </m:ctrlPr>
                      </m:sSubPr>
                      <m:e>
                        <m:r>
                          <w:rPr>
                            <w:rFonts w:ascii="Cambria Math" w:hAnsi="Cambria Math"/>
                          </w:rPr>
                          <m:t>σ</m:t>
                        </m:r>
                      </m:e>
                      <m:sub>
                        <m:r>
                          <w:rPr>
                            <w:rFonts w:ascii="Cambria Math" w:hAnsi="Cambria Math"/>
                          </w:rPr>
                          <m:t>12</m:t>
                        </m:r>
                      </m:sub>
                    </m:sSub>
                  </m:e>
                  <m:e>
                    <m:sSubSup>
                      <m:sSubSupPr>
                        <m:ctrlPr>
                          <w:rPr>
                            <w:rFonts w:ascii="Cambria Math" w:hAnsi="Cambria Math"/>
                          </w:rPr>
                        </m:ctrlPr>
                      </m:sSubSupPr>
                      <m:e>
                        <m:r>
                          <w:rPr>
                            <w:rFonts w:ascii="Cambria Math" w:hAnsi="Cambria Math"/>
                          </w:rPr>
                          <m:t>σ</m:t>
                        </m:r>
                      </m:e>
                      <m:sub>
                        <m:r>
                          <w:rPr>
                            <w:rFonts w:ascii="Cambria Math" w:hAnsi="Cambria Math"/>
                          </w:rPr>
                          <m:t>4</m:t>
                        </m:r>
                      </m:sub>
                      <m:sup>
                        <m:r>
                          <w:rPr>
                            <w:rFonts w:ascii="Cambria Math" w:hAnsi="Cambria Math"/>
                          </w:rPr>
                          <m:t>2</m:t>
                        </m:r>
                      </m:sup>
                    </m:sSubSup>
                  </m:e>
                </m:mr>
              </m:m>
            </m:e>
          </m:d>
        </m:oMath>
      </m:oMathPara>
    </w:p>
    <w:p w:rsidR="00467DD9" w:rsidRDefault="00E6182D">
      <w:pPr>
        <w:pStyle w:val="Heading4"/>
      </w:pPr>
      <w:bookmarkStart w:id="72" w:name="varying-means-varying-variances-and-cova"/>
      <w:bookmarkEnd w:id="72"/>
      <w:r>
        <w:t>Varying means, varying variances, and covariances fixed to 0 (model 3)</w:t>
      </w:r>
    </w:p>
    <w:p w:rsidR="00467DD9" w:rsidRDefault="00E6182D">
      <w:pPr>
        <w:pStyle w:val="FirstParagraph"/>
      </w:pPr>
      <w:r>
        <w:t>This model corresponds to the mclust model “VVI” and allows for the variances to be freely estimated across profiles. The covariances are constrained to zero</w:t>
      </w:r>
      <w:r>
        <w:t>. Thus, it is more flexible (and less parsimonious) than model 1, but in terms of the covariances, is more constrained than model 2.</w:t>
      </w:r>
    </w:p>
    <w:p w:rsidR="00467DD9" w:rsidRDefault="00E6182D">
      <w:pPr>
        <w:pStyle w:val="BodyText"/>
      </w:pPr>
      <m:oMathPara>
        <m:oMathParaPr>
          <m:jc m:val="center"/>
        </m:oMathParaPr>
        <m:oMath>
          <m:d>
            <m:dPr>
              <m:begChr m:val="["/>
              <m:endChr m:val="]"/>
              <m:ctrlPr>
                <w:rPr>
                  <w:rFonts w:ascii="Cambria Math" w:hAnsi="Cambria Math"/>
                </w:rPr>
              </m:ctrlPr>
            </m:dPr>
            <m:e>
              <m:m>
                <m:mPr>
                  <m:plcHide m:val="1"/>
                  <m:mcs>
                    <m:mc>
                      <m:mcPr>
                        <m:count m:val="4"/>
                        <m:mcJc m:val="center"/>
                      </m:mcPr>
                    </m:mc>
                  </m:mcs>
                  <m:ctrlPr>
                    <w:rPr>
                      <w:rFonts w:ascii="Cambria Math" w:hAnsi="Cambria Math"/>
                    </w:rPr>
                  </m:ctrlPr>
                </m:mPr>
                <m:mr>
                  <m:e>
                    <m:sSubSup>
                      <m:sSubSupPr>
                        <m:ctrlPr>
                          <w:rPr>
                            <w:rFonts w:ascii="Cambria Math" w:hAnsi="Cambria Math"/>
                          </w:rPr>
                        </m:ctrlPr>
                      </m:sSubSupPr>
                      <m:e>
                        <m:r>
                          <w:rPr>
                            <w:rFonts w:ascii="Cambria Math" w:hAnsi="Cambria Math"/>
                          </w:rPr>
                          <m:t>σ</m:t>
                        </m:r>
                      </m:e>
                      <m:sub>
                        <m:r>
                          <w:rPr>
                            <w:rFonts w:ascii="Cambria Math" w:hAnsi="Cambria Math"/>
                          </w:rPr>
                          <m:t>1</m:t>
                        </m:r>
                        <m:r>
                          <w:rPr>
                            <w:rFonts w:ascii="Cambria Math" w:hAnsi="Cambria Math"/>
                          </w:rPr>
                          <m:t>p</m:t>
                        </m:r>
                      </m:sub>
                      <m:sup>
                        <m:r>
                          <w:rPr>
                            <w:rFonts w:ascii="Cambria Math" w:hAnsi="Cambria Math"/>
                          </w:rPr>
                          <m:t>2</m:t>
                        </m:r>
                      </m:sup>
                    </m:sSubSup>
                  </m:e>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0</m:t>
                    </m:r>
                  </m:e>
                  <m:e>
                    <m:sSubSup>
                      <m:sSubSupPr>
                        <m:ctrlPr>
                          <w:rPr>
                            <w:rFonts w:ascii="Cambria Math" w:hAnsi="Cambria Math"/>
                          </w:rPr>
                        </m:ctrlPr>
                      </m:sSubSupPr>
                      <m:e>
                        <m:r>
                          <w:rPr>
                            <w:rFonts w:ascii="Cambria Math" w:hAnsi="Cambria Math"/>
                          </w:rPr>
                          <m:t>σ</m:t>
                        </m:r>
                      </m:e>
                      <m:sub>
                        <m:r>
                          <w:rPr>
                            <w:rFonts w:ascii="Cambria Math" w:hAnsi="Cambria Math"/>
                          </w:rPr>
                          <m:t>2</m:t>
                        </m:r>
                        <m:r>
                          <w:rPr>
                            <w:rFonts w:ascii="Cambria Math" w:hAnsi="Cambria Math"/>
                          </w:rPr>
                          <m:t>p</m:t>
                        </m:r>
                      </m:sub>
                      <m:sup>
                        <m:r>
                          <w:rPr>
                            <w:rFonts w:ascii="Cambria Math" w:hAnsi="Cambria Math"/>
                          </w:rPr>
                          <m:t>2</m:t>
                        </m:r>
                      </m:sup>
                    </m:sSubSup>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e>
                    <m:sSubSup>
                      <m:sSubSupPr>
                        <m:ctrlPr>
                          <w:rPr>
                            <w:rFonts w:ascii="Cambria Math" w:hAnsi="Cambria Math"/>
                          </w:rPr>
                        </m:ctrlPr>
                      </m:sSubSupPr>
                      <m:e>
                        <m:r>
                          <w:rPr>
                            <w:rFonts w:ascii="Cambria Math" w:hAnsi="Cambria Math"/>
                          </w:rPr>
                          <m:t>σ</m:t>
                        </m:r>
                      </m:e>
                      <m:sub>
                        <m:r>
                          <w:rPr>
                            <w:rFonts w:ascii="Cambria Math" w:hAnsi="Cambria Math"/>
                          </w:rPr>
                          <m:t>3</m:t>
                        </m:r>
                        <m:r>
                          <w:rPr>
                            <w:rFonts w:ascii="Cambria Math" w:hAnsi="Cambria Math"/>
                          </w:rPr>
                          <m:t>p</m:t>
                        </m:r>
                      </m:sub>
                      <m:sup>
                        <m:r>
                          <w:rPr>
                            <w:rFonts w:ascii="Cambria Math" w:hAnsi="Cambria Math"/>
                          </w:rPr>
                          <m:t>2</m:t>
                        </m:r>
                      </m:sup>
                    </m:sSubSup>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0</m:t>
                    </m:r>
                  </m:e>
                  <m:e>
                    <m:sSubSup>
                      <m:sSubSupPr>
                        <m:ctrlPr>
                          <w:rPr>
                            <w:rFonts w:ascii="Cambria Math" w:hAnsi="Cambria Math"/>
                          </w:rPr>
                        </m:ctrlPr>
                      </m:sSubSupPr>
                      <m:e>
                        <m:r>
                          <w:rPr>
                            <w:rFonts w:ascii="Cambria Math" w:hAnsi="Cambria Math"/>
                          </w:rPr>
                          <m:t>σ</m:t>
                        </m:r>
                      </m:e>
                      <m:sub>
                        <m:r>
                          <w:rPr>
                            <w:rFonts w:ascii="Cambria Math" w:hAnsi="Cambria Math"/>
                          </w:rPr>
                          <m:t>4</m:t>
                        </m:r>
                        <m:r>
                          <w:rPr>
                            <w:rFonts w:ascii="Cambria Math" w:hAnsi="Cambria Math"/>
                          </w:rPr>
                          <m:t>p</m:t>
                        </m:r>
                      </m:sub>
                      <m:sup>
                        <m:r>
                          <w:rPr>
                            <w:rFonts w:ascii="Cambria Math" w:hAnsi="Cambria Math"/>
                          </w:rPr>
                          <m:t>2</m:t>
                        </m:r>
                      </m:sup>
                    </m:sSubSup>
                  </m:e>
                </m:mr>
              </m:m>
            </m:e>
          </m:d>
        </m:oMath>
      </m:oMathPara>
    </w:p>
    <w:p w:rsidR="00467DD9" w:rsidRDefault="00E6182D">
      <w:pPr>
        <w:pStyle w:val="Heading4"/>
      </w:pPr>
      <w:bookmarkStart w:id="73" w:name="varying-means-varying-variances-and-equa"/>
      <w:bookmarkEnd w:id="73"/>
      <w:r>
        <w:t>Varying means, varying variances, and equal covariances (model 4)</w:t>
      </w:r>
    </w:p>
    <w:p w:rsidR="00467DD9" w:rsidRDefault="00E6182D">
      <w:pPr>
        <w:pStyle w:val="FirstParagraph"/>
      </w:pPr>
      <w:r>
        <w:t xml:space="preserve">This model, which specifies for the variances to be freely estimated across the profiles and for the covariances to be estimated to be equal across profiles, extends model 3. Unfortunately, this model cannot be specified with mclust, though it can be with </w:t>
      </w:r>
      <w:r>
        <w:t xml:space="preserve">MPlus; this model </w:t>
      </w:r>
      <w:r>
        <w:rPr>
          <w:i/>
        </w:rPr>
        <w:t>can</w:t>
      </w:r>
      <w:r>
        <w:t xml:space="preserve"> be used with the functions to interface to MPlus described below.</w:t>
      </w:r>
    </w:p>
    <w:p w:rsidR="00467DD9" w:rsidRDefault="00E6182D">
      <w:pPr>
        <w:pStyle w:val="BodyText"/>
      </w:pPr>
      <m:oMathPara>
        <m:oMathParaPr>
          <m:jc m:val="center"/>
        </m:oMathParaPr>
        <m:oMath>
          <m:d>
            <m:dPr>
              <m:begChr m:val="["/>
              <m:endChr m:val="]"/>
              <m:ctrlPr>
                <w:rPr>
                  <w:rFonts w:ascii="Cambria Math" w:hAnsi="Cambria Math"/>
                </w:rPr>
              </m:ctrlPr>
            </m:dPr>
            <m:e>
              <m:m>
                <m:mPr>
                  <m:plcHide m:val="1"/>
                  <m:mcs>
                    <m:mc>
                      <m:mcPr>
                        <m:count m:val="4"/>
                        <m:mcJc m:val="center"/>
                      </m:mcPr>
                    </m:mc>
                  </m:mcs>
                  <m:ctrlPr>
                    <w:rPr>
                      <w:rFonts w:ascii="Cambria Math" w:hAnsi="Cambria Math"/>
                    </w:rPr>
                  </m:ctrlPr>
                </m:mPr>
                <m:mr>
                  <m:e>
                    <m:sSubSup>
                      <m:sSubSupPr>
                        <m:ctrlPr>
                          <w:rPr>
                            <w:rFonts w:ascii="Cambria Math" w:hAnsi="Cambria Math"/>
                          </w:rPr>
                        </m:ctrlPr>
                      </m:sSubSupPr>
                      <m:e>
                        <m:r>
                          <w:rPr>
                            <w:rFonts w:ascii="Cambria Math" w:hAnsi="Cambria Math"/>
                          </w:rPr>
                          <m:t>σ</m:t>
                        </m:r>
                      </m:e>
                      <m:sub>
                        <m:r>
                          <w:rPr>
                            <w:rFonts w:ascii="Cambria Math" w:hAnsi="Cambria Math"/>
                          </w:rPr>
                          <m:t>1</m:t>
                        </m:r>
                        <m:r>
                          <w:rPr>
                            <w:rFonts w:ascii="Cambria Math" w:hAnsi="Cambria Math"/>
                          </w:rPr>
                          <m:t>p</m:t>
                        </m:r>
                      </m:sub>
                      <m:sup>
                        <m:r>
                          <w:rPr>
                            <w:rFonts w:ascii="Cambria Math" w:hAnsi="Cambria Math"/>
                          </w:rPr>
                          <m:t>2</m:t>
                        </m:r>
                      </m:sup>
                    </m:sSubSup>
                  </m:e>
                  <m:e>
                    <m:sSub>
                      <m:sSubPr>
                        <m:ctrlPr>
                          <w:rPr>
                            <w:rFonts w:ascii="Cambria Math" w:hAnsi="Cambria Math"/>
                          </w:rPr>
                        </m:ctrlPr>
                      </m:sSubPr>
                      <m:e>
                        <m:r>
                          <w:rPr>
                            <w:rFonts w:ascii="Cambria Math" w:hAnsi="Cambria Math"/>
                          </w:rPr>
                          <m:t>σ</m:t>
                        </m:r>
                      </m:e>
                      <m:sub>
                        <m:r>
                          <w:rPr>
                            <w:rFonts w:ascii="Cambria Math" w:hAnsi="Cambria Math"/>
                          </w:rPr>
                          <m:t>21</m:t>
                        </m:r>
                      </m:sub>
                    </m:sSub>
                  </m:e>
                  <m:e>
                    <m:sSub>
                      <m:sSubPr>
                        <m:ctrlPr>
                          <w:rPr>
                            <w:rFonts w:ascii="Cambria Math" w:hAnsi="Cambria Math"/>
                          </w:rPr>
                        </m:ctrlPr>
                      </m:sSubPr>
                      <m:e>
                        <m:r>
                          <w:rPr>
                            <w:rFonts w:ascii="Cambria Math" w:hAnsi="Cambria Math"/>
                          </w:rPr>
                          <m:t>σ</m:t>
                        </m:r>
                      </m:e>
                      <m:sub>
                        <m:r>
                          <w:rPr>
                            <w:rFonts w:ascii="Cambria Math" w:hAnsi="Cambria Math"/>
                          </w:rPr>
                          <m:t>31</m:t>
                        </m:r>
                      </m:sub>
                    </m:sSub>
                  </m:e>
                  <m:e>
                    <m:sSub>
                      <m:sSubPr>
                        <m:ctrlPr>
                          <w:rPr>
                            <w:rFonts w:ascii="Cambria Math" w:hAnsi="Cambria Math"/>
                          </w:rPr>
                        </m:ctrlPr>
                      </m:sSubPr>
                      <m:e>
                        <m:r>
                          <w:rPr>
                            <w:rFonts w:ascii="Cambria Math" w:hAnsi="Cambria Math"/>
                          </w:rPr>
                          <m:t>σ</m:t>
                        </m:r>
                      </m:e>
                      <m:sub>
                        <m:r>
                          <w:rPr>
                            <w:rFonts w:ascii="Cambria Math" w:hAnsi="Cambria Math"/>
                          </w:rPr>
                          <m:t>41</m:t>
                        </m:r>
                      </m:sub>
                    </m:sSub>
                  </m:e>
                </m:mr>
                <m:mr>
                  <m:e>
                    <m:sSub>
                      <m:sSubPr>
                        <m:ctrlPr>
                          <w:rPr>
                            <w:rFonts w:ascii="Cambria Math" w:hAnsi="Cambria Math"/>
                          </w:rPr>
                        </m:ctrlPr>
                      </m:sSubPr>
                      <m:e>
                        <m:r>
                          <w:rPr>
                            <w:rFonts w:ascii="Cambria Math" w:hAnsi="Cambria Math"/>
                          </w:rPr>
                          <m:t>σ</m:t>
                        </m:r>
                      </m:e>
                      <m:sub>
                        <m:r>
                          <w:rPr>
                            <w:rFonts w:ascii="Cambria Math" w:hAnsi="Cambria Math"/>
                          </w:rPr>
                          <m:t>12</m:t>
                        </m:r>
                      </m:sub>
                    </m:sSub>
                  </m:e>
                  <m:e>
                    <m:sSubSup>
                      <m:sSubSupPr>
                        <m:ctrlPr>
                          <w:rPr>
                            <w:rFonts w:ascii="Cambria Math" w:hAnsi="Cambria Math"/>
                          </w:rPr>
                        </m:ctrlPr>
                      </m:sSubSupPr>
                      <m:e>
                        <m:r>
                          <w:rPr>
                            <w:rFonts w:ascii="Cambria Math" w:hAnsi="Cambria Math"/>
                          </w:rPr>
                          <m:t>σ</m:t>
                        </m:r>
                      </m:e>
                      <m:sub>
                        <m:r>
                          <w:rPr>
                            <w:rFonts w:ascii="Cambria Math" w:hAnsi="Cambria Math"/>
                          </w:rPr>
                          <m:t>2</m:t>
                        </m:r>
                        <m:r>
                          <w:rPr>
                            <w:rFonts w:ascii="Cambria Math" w:hAnsi="Cambria Math"/>
                          </w:rPr>
                          <m:t>p</m:t>
                        </m:r>
                      </m:sub>
                      <m:sup>
                        <m:r>
                          <w:rPr>
                            <w:rFonts w:ascii="Cambria Math" w:hAnsi="Cambria Math"/>
                          </w:rPr>
                          <m:t>2</m:t>
                        </m:r>
                      </m:sup>
                    </m:sSubSup>
                  </m:e>
                  <m:e>
                    <m:sSub>
                      <m:sSubPr>
                        <m:ctrlPr>
                          <w:rPr>
                            <w:rFonts w:ascii="Cambria Math" w:hAnsi="Cambria Math"/>
                          </w:rPr>
                        </m:ctrlPr>
                      </m:sSubPr>
                      <m:e>
                        <m:r>
                          <w:rPr>
                            <w:rFonts w:ascii="Cambria Math" w:hAnsi="Cambria Math"/>
                          </w:rPr>
                          <m:t>σ</m:t>
                        </m:r>
                      </m:e>
                      <m:sub>
                        <m:r>
                          <w:rPr>
                            <w:rFonts w:ascii="Cambria Math" w:hAnsi="Cambria Math"/>
                          </w:rPr>
                          <m:t>23</m:t>
                        </m:r>
                      </m:sub>
                    </m:sSub>
                  </m:e>
                  <m:e>
                    <m:sSub>
                      <m:sSubPr>
                        <m:ctrlPr>
                          <w:rPr>
                            <w:rFonts w:ascii="Cambria Math" w:hAnsi="Cambria Math"/>
                          </w:rPr>
                        </m:ctrlPr>
                      </m:sSubPr>
                      <m:e>
                        <m:r>
                          <w:rPr>
                            <w:rFonts w:ascii="Cambria Math" w:hAnsi="Cambria Math"/>
                          </w:rPr>
                          <m:t>σ</m:t>
                        </m:r>
                      </m:e>
                      <m:sub>
                        <m:r>
                          <w:rPr>
                            <w:rFonts w:ascii="Cambria Math" w:hAnsi="Cambria Math"/>
                          </w:rPr>
                          <m:t>24</m:t>
                        </m:r>
                      </m:sub>
                    </m:sSub>
                  </m:e>
                </m:mr>
                <m:mr>
                  <m:e>
                    <m:sSub>
                      <m:sSubPr>
                        <m:ctrlPr>
                          <w:rPr>
                            <w:rFonts w:ascii="Cambria Math" w:hAnsi="Cambria Math"/>
                          </w:rPr>
                        </m:ctrlPr>
                      </m:sSubPr>
                      <m:e>
                        <m:r>
                          <w:rPr>
                            <w:rFonts w:ascii="Cambria Math" w:hAnsi="Cambria Math"/>
                          </w:rPr>
                          <m:t>σ</m:t>
                        </m:r>
                      </m:e>
                      <m:sub>
                        <m:r>
                          <w:rPr>
                            <w:rFonts w:ascii="Cambria Math" w:hAnsi="Cambria Math"/>
                          </w:rPr>
                          <m:t>13</m:t>
                        </m:r>
                      </m:sub>
                    </m:sSub>
                  </m:e>
                  <m:e>
                    <m:sSub>
                      <m:sSubPr>
                        <m:ctrlPr>
                          <w:rPr>
                            <w:rFonts w:ascii="Cambria Math" w:hAnsi="Cambria Math"/>
                          </w:rPr>
                        </m:ctrlPr>
                      </m:sSubPr>
                      <m:e>
                        <m:r>
                          <w:rPr>
                            <w:rFonts w:ascii="Cambria Math" w:hAnsi="Cambria Math"/>
                          </w:rPr>
                          <m:t>σ</m:t>
                        </m:r>
                      </m:e>
                      <m:sub>
                        <m:r>
                          <w:rPr>
                            <w:rFonts w:ascii="Cambria Math" w:hAnsi="Cambria Math"/>
                          </w:rPr>
                          <m:t>12</m:t>
                        </m:r>
                      </m:sub>
                    </m:sSub>
                  </m:e>
                  <m:e>
                    <m:sSubSup>
                      <m:sSubSupPr>
                        <m:ctrlPr>
                          <w:rPr>
                            <w:rFonts w:ascii="Cambria Math" w:hAnsi="Cambria Math"/>
                          </w:rPr>
                        </m:ctrlPr>
                      </m:sSubSupPr>
                      <m:e>
                        <m:r>
                          <w:rPr>
                            <w:rFonts w:ascii="Cambria Math" w:hAnsi="Cambria Math"/>
                          </w:rPr>
                          <m:t>σ</m:t>
                        </m:r>
                      </m:e>
                      <m:sub>
                        <m:r>
                          <w:rPr>
                            <w:rFonts w:ascii="Cambria Math" w:hAnsi="Cambria Math"/>
                          </w:rPr>
                          <m:t>3</m:t>
                        </m:r>
                        <m:r>
                          <w:rPr>
                            <w:rFonts w:ascii="Cambria Math" w:hAnsi="Cambria Math"/>
                          </w:rPr>
                          <m:t>p</m:t>
                        </m:r>
                      </m:sub>
                      <m:sup>
                        <m:r>
                          <w:rPr>
                            <w:rFonts w:ascii="Cambria Math" w:hAnsi="Cambria Math"/>
                          </w:rPr>
                          <m:t>2</m:t>
                        </m:r>
                      </m:sup>
                    </m:sSubSup>
                  </m:e>
                  <m:e>
                    <m:sSub>
                      <m:sSubPr>
                        <m:ctrlPr>
                          <w:rPr>
                            <w:rFonts w:ascii="Cambria Math" w:hAnsi="Cambria Math"/>
                          </w:rPr>
                        </m:ctrlPr>
                      </m:sSubPr>
                      <m:e>
                        <m:r>
                          <w:rPr>
                            <w:rFonts w:ascii="Cambria Math" w:hAnsi="Cambria Math"/>
                          </w:rPr>
                          <m:t>σ</m:t>
                        </m:r>
                      </m:e>
                      <m:sub>
                        <m:r>
                          <w:rPr>
                            <w:rFonts w:ascii="Cambria Math" w:hAnsi="Cambria Math"/>
                          </w:rPr>
                          <m:t>33</m:t>
                        </m:r>
                      </m:sub>
                    </m:sSub>
                  </m:e>
                </m:mr>
                <m:mr>
                  <m:e>
                    <m:sSub>
                      <m:sSubPr>
                        <m:ctrlPr>
                          <w:rPr>
                            <w:rFonts w:ascii="Cambria Math" w:hAnsi="Cambria Math"/>
                          </w:rPr>
                        </m:ctrlPr>
                      </m:sSubPr>
                      <m:e>
                        <m:r>
                          <w:rPr>
                            <w:rFonts w:ascii="Cambria Math" w:hAnsi="Cambria Math"/>
                          </w:rPr>
                          <m:t>σ</m:t>
                        </m:r>
                      </m:e>
                      <m:sub>
                        <m:r>
                          <w:rPr>
                            <w:rFonts w:ascii="Cambria Math" w:hAnsi="Cambria Math"/>
                          </w:rPr>
                          <m:t>14</m:t>
                        </m:r>
                      </m:sub>
                    </m:sSub>
                  </m:e>
                  <m:e>
                    <m:sSub>
                      <m:sSubPr>
                        <m:ctrlPr>
                          <w:rPr>
                            <w:rFonts w:ascii="Cambria Math" w:hAnsi="Cambria Math"/>
                          </w:rPr>
                        </m:ctrlPr>
                      </m:sSubPr>
                      <m:e>
                        <m:r>
                          <w:rPr>
                            <w:rFonts w:ascii="Cambria Math" w:hAnsi="Cambria Math"/>
                          </w:rPr>
                          <m:t>σ</m:t>
                        </m:r>
                      </m:e>
                      <m:sub>
                        <m:r>
                          <w:rPr>
                            <w:rFonts w:ascii="Cambria Math" w:hAnsi="Cambria Math"/>
                          </w:rPr>
                          <m:t>12</m:t>
                        </m:r>
                      </m:sub>
                    </m:sSub>
                  </m:e>
                  <m:e>
                    <m:sSub>
                      <m:sSubPr>
                        <m:ctrlPr>
                          <w:rPr>
                            <w:rFonts w:ascii="Cambria Math" w:hAnsi="Cambria Math"/>
                          </w:rPr>
                        </m:ctrlPr>
                      </m:sSubPr>
                      <m:e>
                        <m:r>
                          <w:rPr>
                            <w:rFonts w:ascii="Cambria Math" w:hAnsi="Cambria Math"/>
                          </w:rPr>
                          <m:t>σ</m:t>
                        </m:r>
                      </m:e>
                      <m:sub>
                        <m:r>
                          <w:rPr>
                            <w:rFonts w:ascii="Cambria Math" w:hAnsi="Cambria Math"/>
                          </w:rPr>
                          <m:t>12</m:t>
                        </m:r>
                      </m:sub>
                    </m:sSub>
                  </m:e>
                  <m:e>
                    <m:sSubSup>
                      <m:sSubSupPr>
                        <m:ctrlPr>
                          <w:rPr>
                            <w:rFonts w:ascii="Cambria Math" w:hAnsi="Cambria Math"/>
                          </w:rPr>
                        </m:ctrlPr>
                      </m:sSubSupPr>
                      <m:e>
                        <m:r>
                          <w:rPr>
                            <w:rFonts w:ascii="Cambria Math" w:hAnsi="Cambria Math"/>
                          </w:rPr>
                          <m:t>σ</m:t>
                        </m:r>
                      </m:e>
                      <m:sub>
                        <m:r>
                          <w:rPr>
                            <w:rFonts w:ascii="Cambria Math" w:hAnsi="Cambria Math"/>
                          </w:rPr>
                          <m:t>4</m:t>
                        </m:r>
                        <m:r>
                          <w:rPr>
                            <w:rFonts w:ascii="Cambria Math" w:hAnsi="Cambria Math"/>
                          </w:rPr>
                          <m:t>p</m:t>
                        </m:r>
                      </m:sub>
                      <m:sup>
                        <m:r>
                          <w:rPr>
                            <w:rFonts w:ascii="Cambria Math" w:hAnsi="Cambria Math"/>
                          </w:rPr>
                          <m:t>2</m:t>
                        </m:r>
                      </m:sup>
                    </m:sSubSup>
                  </m:e>
                </m:mr>
              </m:m>
            </m:e>
          </m:d>
        </m:oMath>
      </m:oMathPara>
    </w:p>
    <w:p w:rsidR="00467DD9" w:rsidRDefault="00E6182D">
      <w:pPr>
        <w:pStyle w:val="Heading4"/>
      </w:pPr>
      <w:bookmarkStart w:id="74" w:name="varying-means-equal-variances-and-varyin"/>
      <w:bookmarkEnd w:id="74"/>
      <w:r>
        <w:t>Varying means, equal variances, and varying covariances (model 5)</w:t>
      </w:r>
    </w:p>
    <w:p w:rsidR="00467DD9" w:rsidRDefault="00E6182D">
      <w:pPr>
        <w:pStyle w:val="FirstParagraph"/>
      </w:pPr>
      <w:r>
        <w:t>This model specifies the vari</w:t>
      </w:r>
      <w:r>
        <w:t xml:space="preserve">ances to be equal across the profiles, but allows the covariances to be freely estimated across the profiles. Like model 4, this model cannot be specified with mclust, though it can be with MPlus. Again, this model </w:t>
      </w:r>
      <w:r>
        <w:rPr>
          <w:i/>
        </w:rPr>
        <w:t>can</w:t>
      </w:r>
      <w:r>
        <w:t xml:space="preserve"> be used with the functions to interfa</w:t>
      </w:r>
      <w:r>
        <w:t>ce to MPlus described below.</w:t>
      </w:r>
    </w:p>
    <w:p w:rsidR="00467DD9" w:rsidRDefault="00E6182D">
      <w:pPr>
        <w:pStyle w:val="BodyText"/>
      </w:pPr>
      <m:oMathPara>
        <m:oMathParaPr>
          <m:jc m:val="center"/>
        </m:oMathParaPr>
        <m:oMath>
          <m:d>
            <m:dPr>
              <m:begChr m:val="["/>
              <m:endChr m:val="]"/>
              <m:ctrlPr>
                <w:rPr>
                  <w:rFonts w:ascii="Cambria Math" w:hAnsi="Cambria Math"/>
                </w:rPr>
              </m:ctrlPr>
            </m:dPr>
            <m:e>
              <m:m>
                <m:mPr>
                  <m:plcHide m:val="1"/>
                  <m:mcs>
                    <m:mc>
                      <m:mcPr>
                        <m:count m:val="4"/>
                        <m:mcJc m:val="center"/>
                      </m:mcPr>
                    </m:mc>
                  </m:mcs>
                  <m:ctrlPr>
                    <w:rPr>
                      <w:rFonts w:ascii="Cambria Math" w:hAnsi="Cambria Math"/>
                    </w:rPr>
                  </m:ctrlPr>
                </m:mPr>
                <m:mr>
                  <m:e>
                    <m:sSubSup>
                      <m:sSubSupPr>
                        <m:ctrlPr>
                          <w:rPr>
                            <w:rFonts w:ascii="Cambria Math" w:hAnsi="Cambria Math"/>
                          </w:rPr>
                        </m:ctrlPr>
                      </m:sSubSupPr>
                      <m:e>
                        <m:r>
                          <w:rPr>
                            <w:rFonts w:ascii="Cambria Math" w:hAnsi="Cambria Math"/>
                          </w:rPr>
                          <m:t>σ</m:t>
                        </m:r>
                      </m:e>
                      <m:sub>
                        <m:r>
                          <w:rPr>
                            <w:rFonts w:ascii="Cambria Math" w:hAnsi="Cambria Math"/>
                          </w:rPr>
                          <m:t>1</m:t>
                        </m:r>
                      </m:sub>
                      <m:sup>
                        <m:r>
                          <w:rPr>
                            <w:rFonts w:ascii="Cambria Math" w:hAnsi="Cambria Math"/>
                          </w:rPr>
                          <m:t>2</m:t>
                        </m:r>
                      </m:sup>
                    </m:sSubSup>
                  </m:e>
                  <m:e>
                    <m:sSub>
                      <m:sSubPr>
                        <m:ctrlPr>
                          <w:rPr>
                            <w:rFonts w:ascii="Cambria Math" w:hAnsi="Cambria Math"/>
                          </w:rPr>
                        </m:ctrlPr>
                      </m:sSubPr>
                      <m:e>
                        <m:r>
                          <w:rPr>
                            <w:rFonts w:ascii="Cambria Math" w:hAnsi="Cambria Math"/>
                          </w:rPr>
                          <m:t>σ</m:t>
                        </m:r>
                      </m:e>
                      <m:sub>
                        <m:r>
                          <w:rPr>
                            <w:rFonts w:ascii="Cambria Math" w:hAnsi="Cambria Math"/>
                          </w:rPr>
                          <m:t>21</m:t>
                        </m:r>
                        <m:r>
                          <w:rPr>
                            <w:rFonts w:ascii="Cambria Math" w:hAnsi="Cambria Math"/>
                          </w:rPr>
                          <m:t>p</m:t>
                        </m:r>
                      </m:sub>
                    </m:sSub>
                  </m:e>
                  <m:e>
                    <m:sSub>
                      <m:sSubPr>
                        <m:ctrlPr>
                          <w:rPr>
                            <w:rFonts w:ascii="Cambria Math" w:hAnsi="Cambria Math"/>
                          </w:rPr>
                        </m:ctrlPr>
                      </m:sSubPr>
                      <m:e>
                        <m:r>
                          <w:rPr>
                            <w:rFonts w:ascii="Cambria Math" w:hAnsi="Cambria Math"/>
                          </w:rPr>
                          <m:t>σ</m:t>
                        </m:r>
                      </m:e>
                      <m:sub>
                        <m:r>
                          <w:rPr>
                            <w:rFonts w:ascii="Cambria Math" w:hAnsi="Cambria Math"/>
                          </w:rPr>
                          <m:t>31</m:t>
                        </m:r>
                        <m:r>
                          <w:rPr>
                            <w:rFonts w:ascii="Cambria Math" w:hAnsi="Cambria Math"/>
                          </w:rPr>
                          <m:t>p</m:t>
                        </m:r>
                      </m:sub>
                    </m:sSub>
                  </m:e>
                  <m:e>
                    <m:sSub>
                      <m:sSubPr>
                        <m:ctrlPr>
                          <w:rPr>
                            <w:rFonts w:ascii="Cambria Math" w:hAnsi="Cambria Math"/>
                          </w:rPr>
                        </m:ctrlPr>
                      </m:sSubPr>
                      <m:e>
                        <m:r>
                          <w:rPr>
                            <w:rFonts w:ascii="Cambria Math" w:hAnsi="Cambria Math"/>
                          </w:rPr>
                          <m:t>σ</m:t>
                        </m:r>
                      </m:e>
                      <m:sub>
                        <m:r>
                          <w:rPr>
                            <w:rFonts w:ascii="Cambria Math" w:hAnsi="Cambria Math"/>
                          </w:rPr>
                          <m:t>41</m:t>
                        </m:r>
                        <m:r>
                          <w:rPr>
                            <w:rFonts w:ascii="Cambria Math" w:hAnsi="Cambria Math"/>
                          </w:rPr>
                          <m:t>p</m:t>
                        </m:r>
                      </m:sub>
                    </m:sSub>
                  </m:e>
                </m:mr>
                <m:mr>
                  <m:e>
                    <m:sSub>
                      <m:sSubPr>
                        <m:ctrlPr>
                          <w:rPr>
                            <w:rFonts w:ascii="Cambria Math" w:hAnsi="Cambria Math"/>
                          </w:rPr>
                        </m:ctrlPr>
                      </m:sSubPr>
                      <m:e>
                        <m:r>
                          <w:rPr>
                            <w:rFonts w:ascii="Cambria Math" w:hAnsi="Cambria Math"/>
                          </w:rPr>
                          <m:t>σ</m:t>
                        </m:r>
                      </m:e>
                      <m:sub>
                        <m:r>
                          <w:rPr>
                            <w:rFonts w:ascii="Cambria Math" w:hAnsi="Cambria Math"/>
                          </w:rPr>
                          <m:t>12</m:t>
                        </m:r>
                        <m:r>
                          <w:rPr>
                            <w:rFonts w:ascii="Cambria Math" w:hAnsi="Cambria Math"/>
                          </w:rPr>
                          <m:t>p</m:t>
                        </m:r>
                      </m:sub>
                    </m:sSub>
                  </m:e>
                  <m:e>
                    <m:sSubSup>
                      <m:sSubSupPr>
                        <m:ctrlPr>
                          <w:rPr>
                            <w:rFonts w:ascii="Cambria Math" w:hAnsi="Cambria Math"/>
                          </w:rPr>
                        </m:ctrlPr>
                      </m:sSubSupPr>
                      <m:e>
                        <m:r>
                          <w:rPr>
                            <w:rFonts w:ascii="Cambria Math" w:hAnsi="Cambria Math"/>
                          </w:rPr>
                          <m:t>σ</m:t>
                        </m:r>
                      </m:e>
                      <m:sub>
                        <m:r>
                          <w:rPr>
                            <w:rFonts w:ascii="Cambria Math" w:hAnsi="Cambria Math"/>
                          </w:rPr>
                          <m:t>2</m:t>
                        </m:r>
                      </m:sub>
                      <m:sup>
                        <m:r>
                          <w:rPr>
                            <w:rFonts w:ascii="Cambria Math" w:hAnsi="Cambria Math"/>
                          </w:rPr>
                          <m:t>2</m:t>
                        </m:r>
                      </m:sup>
                    </m:sSubSup>
                  </m:e>
                  <m:e>
                    <m:sSub>
                      <m:sSubPr>
                        <m:ctrlPr>
                          <w:rPr>
                            <w:rFonts w:ascii="Cambria Math" w:hAnsi="Cambria Math"/>
                          </w:rPr>
                        </m:ctrlPr>
                      </m:sSubPr>
                      <m:e>
                        <m:r>
                          <w:rPr>
                            <w:rFonts w:ascii="Cambria Math" w:hAnsi="Cambria Math"/>
                          </w:rPr>
                          <m:t>σ</m:t>
                        </m:r>
                      </m:e>
                      <m:sub>
                        <m:r>
                          <w:rPr>
                            <w:rFonts w:ascii="Cambria Math" w:hAnsi="Cambria Math"/>
                          </w:rPr>
                          <m:t>23</m:t>
                        </m:r>
                        <m:r>
                          <w:rPr>
                            <w:rFonts w:ascii="Cambria Math" w:hAnsi="Cambria Math"/>
                          </w:rPr>
                          <m:t>p</m:t>
                        </m:r>
                      </m:sub>
                    </m:sSub>
                  </m:e>
                  <m:e>
                    <m:sSub>
                      <m:sSubPr>
                        <m:ctrlPr>
                          <w:rPr>
                            <w:rFonts w:ascii="Cambria Math" w:hAnsi="Cambria Math"/>
                          </w:rPr>
                        </m:ctrlPr>
                      </m:sSubPr>
                      <m:e>
                        <m:r>
                          <w:rPr>
                            <w:rFonts w:ascii="Cambria Math" w:hAnsi="Cambria Math"/>
                          </w:rPr>
                          <m:t>σ</m:t>
                        </m:r>
                      </m:e>
                      <m:sub>
                        <m:r>
                          <w:rPr>
                            <w:rFonts w:ascii="Cambria Math" w:hAnsi="Cambria Math"/>
                          </w:rPr>
                          <m:t>24</m:t>
                        </m:r>
                        <m:r>
                          <w:rPr>
                            <w:rFonts w:ascii="Cambria Math" w:hAnsi="Cambria Math"/>
                          </w:rPr>
                          <m:t>p</m:t>
                        </m:r>
                      </m:sub>
                    </m:sSub>
                  </m:e>
                </m:mr>
                <m:mr>
                  <m:e>
                    <m:sSub>
                      <m:sSubPr>
                        <m:ctrlPr>
                          <w:rPr>
                            <w:rFonts w:ascii="Cambria Math" w:hAnsi="Cambria Math"/>
                          </w:rPr>
                        </m:ctrlPr>
                      </m:sSubPr>
                      <m:e>
                        <m:r>
                          <w:rPr>
                            <w:rFonts w:ascii="Cambria Math" w:hAnsi="Cambria Math"/>
                          </w:rPr>
                          <m:t>σ</m:t>
                        </m:r>
                      </m:e>
                      <m:sub>
                        <m:r>
                          <w:rPr>
                            <w:rFonts w:ascii="Cambria Math" w:hAnsi="Cambria Math"/>
                          </w:rPr>
                          <m:t>13</m:t>
                        </m:r>
                        <m:r>
                          <w:rPr>
                            <w:rFonts w:ascii="Cambria Math" w:hAnsi="Cambria Math"/>
                          </w:rPr>
                          <m:t>p</m:t>
                        </m:r>
                      </m:sub>
                    </m:sSub>
                  </m:e>
                  <m:e>
                    <m:sSub>
                      <m:sSubPr>
                        <m:ctrlPr>
                          <w:rPr>
                            <w:rFonts w:ascii="Cambria Math" w:hAnsi="Cambria Math"/>
                          </w:rPr>
                        </m:ctrlPr>
                      </m:sSubPr>
                      <m:e>
                        <m:r>
                          <w:rPr>
                            <w:rFonts w:ascii="Cambria Math" w:hAnsi="Cambria Math"/>
                          </w:rPr>
                          <m:t>σ</m:t>
                        </m:r>
                      </m:e>
                      <m:sub>
                        <m:r>
                          <w:rPr>
                            <w:rFonts w:ascii="Cambria Math" w:hAnsi="Cambria Math"/>
                          </w:rPr>
                          <m:t>12</m:t>
                        </m:r>
                        <m:r>
                          <w:rPr>
                            <w:rFonts w:ascii="Cambria Math" w:hAnsi="Cambria Math"/>
                          </w:rPr>
                          <m:t>p</m:t>
                        </m:r>
                      </m:sub>
                    </m:sSub>
                  </m:e>
                  <m:e>
                    <m:sSubSup>
                      <m:sSubSupPr>
                        <m:ctrlPr>
                          <w:rPr>
                            <w:rFonts w:ascii="Cambria Math" w:hAnsi="Cambria Math"/>
                          </w:rPr>
                        </m:ctrlPr>
                      </m:sSubSupPr>
                      <m:e>
                        <m:r>
                          <w:rPr>
                            <w:rFonts w:ascii="Cambria Math" w:hAnsi="Cambria Math"/>
                          </w:rPr>
                          <m:t>σ</m:t>
                        </m:r>
                      </m:e>
                      <m:sub>
                        <m:r>
                          <w:rPr>
                            <w:rFonts w:ascii="Cambria Math" w:hAnsi="Cambria Math"/>
                          </w:rPr>
                          <m:t>3</m:t>
                        </m:r>
                      </m:sub>
                      <m:sup>
                        <m:r>
                          <w:rPr>
                            <w:rFonts w:ascii="Cambria Math" w:hAnsi="Cambria Math"/>
                          </w:rPr>
                          <m:t>2</m:t>
                        </m:r>
                      </m:sup>
                    </m:sSubSup>
                  </m:e>
                  <m:e>
                    <m:sSub>
                      <m:sSubPr>
                        <m:ctrlPr>
                          <w:rPr>
                            <w:rFonts w:ascii="Cambria Math" w:hAnsi="Cambria Math"/>
                          </w:rPr>
                        </m:ctrlPr>
                      </m:sSubPr>
                      <m:e>
                        <m:r>
                          <w:rPr>
                            <w:rFonts w:ascii="Cambria Math" w:hAnsi="Cambria Math"/>
                          </w:rPr>
                          <m:t>σ</m:t>
                        </m:r>
                      </m:e>
                      <m:sub>
                        <m:r>
                          <w:rPr>
                            <w:rFonts w:ascii="Cambria Math" w:hAnsi="Cambria Math"/>
                          </w:rPr>
                          <m:t>33</m:t>
                        </m:r>
                        <m:r>
                          <w:rPr>
                            <w:rFonts w:ascii="Cambria Math" w:hAnsi="Cambria Math"/>
                          </w:rPr>
                          <m:t>p</m:t>
                        </m:r>
                      </m:sub>
                    </m:sSub>
                  </m:e>
                </m:mr>
                <m:mr>
                  <m:e>
                    <m:sSub>
                      <m:sSubPr>
                        <m:ctrlPr>
                          <w:rPr>
                            <w:rFonts w:ascii="Cambria Math" w:hAnsi="Cambria Math"/>
                          </w:rPr>
                        </m:ctrlPr>
                      </m:sSubPr>
                      <m:e>
                        <m:r>
                          <w:rPr>
                            <w:rFonts w:ascii="Cambria Math" w:hAnsi="Cambria Math"/>
                          </w:rPr>
                          <m:t>σ</m:t>
                        </m:r>
                      </m:e>
                      <m:sub>
                        <m:r>
                          <w:rPr>
                            <w:rFonts w:ascii="Cambria Math" w:hAnsi="Cambria Math"/>
                          </w:rPr>
                          <m:t>14</m:t>
                        </m:r>
                        <m:r>
                          <w:rPr>
                            <w:rFonts w:ascii="Cambria Math" w:hAnsi="Cambria Math"/>
                          </w:rPr>
                          <m:t>p</m:t>
                        </m:r>
                      </m:sub>
                    </m:sSub>
                  </m:e>
                  <m:e>
                    <m:sSub>
                      <m:sSubPr>
                        <m:ctrlPr>
                          <w:rPr>
                            <w:rFonts w:ascii="Cambria Math" w:hAnsi="Cambria Math"/>
                          </w:rPr>
                        </m:ctrlPr>
                      </m:sSubPr>
                      <m:e>
                        <m:r>
                          <w:rPr>
                            <w:rFonts w:ascii="Cambria Math" w:hAnsi="Cambria Math"/>
                          </w:rPr>
                          <m:t>σ</m:t>
                        </m:r>
                      </m:e>
                      <m:sub>
                        <m:r>
                          <w:rPr>
                            <w:rFonts w:ascii="Cambria Math" w:hAnsi="Cambria Math"/>
                          </w:rPr>
                          <m:t>12</m:t>
                        </m:r>
                        <m:r>
                          <w:rPr>
                            <w:rFonts w:ascii="Cambria Math" w:hAnsi="Cambria Math"/>
                          </w:rPr>
                          <m:t>p</m:t>
                        </m:r>
                      </m:sub>
                    </m:sSub>
                  </m:e>
                  <m:e>
                    <m:sSub>
                      <m:sSubPr>
                        <m:ctrlPr>
                          <w:rPr>
                            <w:rFonts w:ascii="Cambria Math" w:hAnsi="Cambria Math"/>
                          </w:rPr>
                        </m:ctrlPr>
                      </m:sSubPr>
                      <m:e>
                        <m:r>
                          <w:rPr>
                            <w:rFonts w:ascii="Cambria Math" w:hAnsi="Cambria Math"/>
                          </w:rPr>
                          <m:t>σ</m:t>
                        </m:r>
                      </m:e>
                      <m:sub>
                        <m:r>
                          <w:rPr>
                            <w:rFonts w:ascii="Cambria Math" w:hAnsi="Cambria Math"/>
                          </w:rPr>
                          <m:t>12</m:t>
                        </m:r>
                        <m:r>
                          <w:rPr>
                            <w:rFonts w:ascii="Cambria Math" w:hAnsi="Cambria Math"/>
                          </w:rPr>
                          <m:t>p</m:t>
                        </m:r>
                      </m:sub>
                    </m:sSub>
                  </m:e>
                  <m:e>
                    <m:sSubSup>
                      <m:sSubSupPr>
                        <m:ctrlPr>
                          <w:rPr>
                            <w:rFonts w:ascii="Cambria Math" w:hAnsi="Cambria Math"/>
                          </w:rPr>
                        </m:ctrlPr>
                      </m:sSubSupPr>
                      <m:e>
                        <m:r>
                          <w:rPr>
                            <w:rFonts w:ascii="Cambria Math" w:hAnsi="Cambria Math"/>
                          </w:rPr>
                          <m:t>σ</m:t>
                        </m:r>
                      </m:e>
                      <m:sub>
                        <m:r>
                          <w:rPr>
                            <w:rFonts w:ascii="Cambria Math" w:hAnsi="Cambria Math"/>
                          </w:rPr>
                          <m:t>4</m:t>
                        </m:r>
                      </m:sub>
                      <m:sup>
                        <m:r>
                          <w:rPr>
                            <w:rFonts w:ascii="Cambria Math" w:hAnsi="Cambria Math"/>
                          </w:rPr>
                          <m:t>2</m:t>
                        </m:r>
                      </m:sup>
                    </m:sSubSup>
                  </m:e>
                </m:mr>
              </m:m>
            </m:e>
          </m:d>
          <m:r>
            <w:rPr>
              <w:rFonts w:ascii="Cambria Math" w:hAnsi="Cambria Math"/>
            </w:rPr>
            <m:t> </m:t>
          </m:r>
        </m:oMath>
      </m:oMathPara>
    </w:p>
    <w:p w:rsidR="00467DD9" w:rsidRDefault="00E6182D">
      <w:pPr>
        <w:pStyle w:val="Heading4"/>
      </w:pPr>
      <w:bookmarkStart w:id="75" w:name="varying-means-varying-variances-and-vary"/>
      <w:bookmarkEnd w:id="75"/>
      <w:r>
        <w:t>Varying means, varying variances, and varying covariances (model 6)</w:t>
      </w:r>
    </w:p>
    <w:p w:rsidR="00467DD9" w:rsidRDefault="00E6182D">
      <w:pPr>
        <w:pStyle w:val="FirstParagraph"/>
      </w:pPr>
      <w:r>
        <w:t>This model corresponds to the mclust model “VVV”. It allows the varia</w:t>
      </w:r>
      <w:r>
        <w:t>nces and the covariances to be freely estimated across profiles. Thus, it is the most complex model, with the potential to allow for understanding many aspects of the variables that are used to estimate the profiles and how they are related. However, it is</w:t>
      </w:r>
      <w:r>
        <w:t xml:space="preserve"> less parsimonious than all of the other models, and the added parameters should be considered in light of how preferred this model is relative to those with more simple specifications.</w:t>
      </w:r>
    </w:p>
    <w:p w:rsidR="00467DD9" w:rsidRDefault="00E6182D">
      <w:pPr>
        <w:pStyle w:val="BodyText"/>
      </w:pPr>
      <m:oMathPara>
        <m:oMathParaPr>
          <m:jc m:val="center"/>
        </m:oMathParaPr>
        <m:oMath>
          <m:d>
            <m:dPr>
              <m:begChr m:val="["/>
              <m:endChr m:val="]"/>
              <m:ctrlPr>
                <w:rPr>
                  <w:rFonts w:ascii="Cambria Math" w:hAnsi="Cambria Math"/>
                </w:rPr>
              </m:ctrlPr>
            </m:dPr>
            <m:e>
              <m:m>
                <m:mPr>
                  <m:plcHide m:val="1"/>
                  <m:mcs>
                    <m:mc>
                      <m:mcPr>
                        <m:count m:val="4"/>
                        <m:mcJc m:val="center"/>
                      </m:mcPr>
                    </m:mc>
                  </m:mcs>
                  <m:ctrlPr>
                    <w:rPr>
                      <w:rFonts w:ascii="Cambria Math" w:hAnsi="Cambria Math"/>
                    </w:rPr>
                  </m:ctrlPr>
                </m:mPr>
                <m:mr>
                  <m:e>
                    <m:sSubSup>
                      <m:sSubSupPr>
                        <m:ctrlPr>
                          <w:rPr>
                            <w:rFonts w:ascii="Cambria Math" w:hAnsi="Cambria Math"/>
                          </w:rPr>
                        </m:ctrlPr>
                      </m:sSubSupPr>
                      <m:e>
                        <m:r>
                          <w:rPr>
                            <w:rFonts w:ascii="Cambria Math" w:hAnsi="Cambria Math"/>
                          </w:rPr>
                          <m:t>σ</m:t>
                        </m:r>
                      </m:e>
                      <m:sub>
                        <m:r>
                          <w:rPr>
                            <w:rFonts w:ascii="Cambria Math" w:hAnsi="Cambria Math"/>
                          </w:rPr>
                          <m:t>1</m:t>
                        </m:r>
                        <m:r>
                          <w:rPr>
                            <w:rFonts w:ascii="Cambria Math" w:hAnsi="Cambria Math"/>
                          </w:rPr>
                          <m:t>p</m:t>
                        </m:r>
                      </m:sub>
                      <m:sup>
                        <m:r>
                          <w:rPr>
                            <w:rFonts w:ascii="Cambria Math" w:hAnsi="Cambria Math"/>
                          </w:rPr>
                          <m:t>2</m:t>
                        </m:r>
                      </m:sup>
                    </m:sSubSup>
                  </m:e>
                  <m:e>
                    <m:sSub>
                      <m:sSubPr>
                        <m:ctrlPr>
                          <w:rPr>
                            <w:rFonts w:ascii="Cambria Math" w:hAnsi="Cambria Math"/>
                          </w:rPr>
                        </m:ctrlPr>
                      </m:sSubPr>
                      <m:e>
                        <m:r>
                          <w:rPr>
                            <w:rFonts w:ascii="Cambria Math" w:hAnsi="Cambria Math"/>
                          </w:rPr>
                          <m:t>σ</m:t>
                        </m:r>
                      </m:e>
                      <m:sub>
                        <m:r>
                          <w:rPr>
                            <w:rFonts w:ascii="Cambria Math" w:hAnsi="Cambria Math"/>
                          </w:rPr>
                          <m:t>21</m:t>
                        </m:r>
                        <m:r>
                          <w:rPr>
                            <w:rFonts w:ascii="Cambria Math" w:hAnsi="Cambria Math"/>
                          </w:rPr>
                          <m:t>p</m:t>
                        </m:r>
                      </m:sub>
                    </m:sSub>
                  </m:e>
                  <m:e>
                    <m:sSub>
                      <m:sSubPr>
                        <m:ctrlPr>
                          <w:rPr>
                            <w:rFonts w:ascii="Cambria Math" w:hAnsi="Cambria Math"/>
                          </w:rPr>
                        </m:ctrlPr>
                      </m:sSubPr>
                      <m:e>
                        <m:r>
                          <w:rPr>
                            <w:rFonts w:ascii="Cambria Math" w:hAnsi="Cambria Math"/>
                          </w:rPr>
                          <m:t>σ</m:t>
                        </m:r>
                      </m:e>
                      <m:sub>
                        <m:r>
                          <w:rPr>
                            <w:rFonts w:ascii="Cambria Math" w:hAnsi="Cambria Math"/>
                          </w:rPr>
                          <m:t>31</m:t>
                        </m:r>
                        <m:r>
                          <w:rPr>
                            <w:rFonts w:ascii="Cambria Math" w:hAnsi="Cambria Math"/>
                          </w:rPr>
                          <m:t>p</m:t>
                        </m:r>
                      </m:sub>
                    </m:sSub>
                  </m:e>
                  <m:e>
                    <m:sSub>
                      <m:sSubPr>
                        <m:ctrlPr>
                          <w:rPr>
                            <w:rFonts w:ascii="Cambria Math" w:hAnsi="Cambria Math"/>
                          </w:rPr>
                        </m:ctrlPr>
                      </m:sSubPr>
                      <m:e>
                        <m:r>
                          <w:rPr>
                            <w:rFonts w:ascii="Cambria Math" w:hAnsi="Cambria Math"/>
                          </w:rPr>
                          <m:t>σ</m:t>
                        </m:r>
                      </m:e>
                      <m:sub>
                        <m:r>
                          <w:rPr>
                            <w:rFonts w:ascii="Cambria Math" w:hAnsi="Cambria Math"/>
                          </w:rPr>
                          <m:t>41</m:t>
                        </m:r>
                        <m:r>
                          <w:rPr>
                            <w:rFonts w:ascii="Cambria Math" w:hAnsi="Cambria Math"/>
                          </w:rPr>
                          <m:t>p</m:t>
                        </m:r>
                      </m:sub>
                    </m:sSub>
                  </m:e>
                </m:mr>
                <m:mr>
                  <m:e>
                    <m:sSub>
                      <m:sSubPr>
                        <m:ctrlPr>
                          <w:rPr>
                            <w:rFonts w:ascii="Cambria Math" w:hAnsi="Cambria Math"/>
                          </w:rPr>
                        </m:ctrlPr>
                      </m:sSubPr>
                      <m:e>
                        <m:r>
                          <w:rPr>
                            <w:rFonts w:ascii="Cambria Math" w:hAnsi="Cambria Math"/>
                          </w:rPr>
                          <m:t>σ</m:t>
                        </m:r>
                      </m:e>
                      <m:sub>
                        <m:r>
                          <w:rPr>
                            <w:rFonts w:ascii="Cambria Math" w:hAnsi="Cambria Math"/>
                          </w:rPr>
                          <m:t>12</m:t>
                        </m:r>
                        <m:r>
                          <w:rPr>
                            <w:rFonts w:ascii="Cambria Math" w:hAnsi="Cambria Math"/>
                          </w:rPr>
                          <m:t>p</m:t>
                        </m:r>
                      </m:sub>
                    </m:sSub>
                  </m:e>
                  <m:e>
                    <m:sSubSup>
                      <m:sSubSupPr>
                        <m:ctrlPr>
                          <w:rPr>
                            <w:rFonts w:ascii="Cambria Math" w:hAnsi="Cambria Math"/>
                          </w:rPr>
                        </m:ctrlPr>
                      </m:sSubSupPr>
                      <m:e>
                        <m:r>
                          <w:rPr>
                            <w:rFonts w:ascii="Cambria Math" w:hAnsi="Cambria Math"/>
                          </w:rPr>
                          <m:t>σ</m:t>
                        </m:r>
                      </m:e>
                      <m:sub>
                        <m:r>
                          <w:rPr>
                            <w:rFonts w:ascii="Cambria Math" w:hAnsi="Cambria Math"/>
                          </w:rPr>
                          <m:t>2</m:t>
                        </m:r>
                        <m:r>
                          <w:rPr>
                            <w:rFonts w:ascii="Cambria Math" w:hAnsi="Cambria Math"/>
                          </w:rPr>
                          <m:t>p</m:t>
                        </m:r>
                      </m:sub>
                      <m:sup>
                        <m:r>
                          <w:rPr>
                            <w:rFonts w:ascii="Cambria Math" w:hAnsi="Cambria Math"/>
                          </w:rPr>
                          <m:t>2</m:t>
                        </m:r>
                      </m:sup>
                    </m:sSubSup>
                  </m:e>
                  <m:e>
                    <m:sSub>
                      <m:sSubPr>
                        <m:ctrlPr>
                          <w:rPr>
                            <w:rFonts w:ascii="Cambria Math" w:hAnsi="Cambria Math"/>
                          </w:rPr>
                        </m:ctrlPr>
                      </m:sSubPr>
                      <m:e>
                        <m:r>
                          <w:rPr>
                            <w:rFonts w:ascii="Cambria Math" w:hAnsi="Cambria Math"/>
                          </w:rPr>
                          <m:t>σ</m:t>
                        </m:r>
                      </m:e>
                      <m:sub>
                        <m:r>
                          <w:rPr>
                            <w:rFonts w:ascii="Cambria Math" w:hAnsi="Cambria Math"/>
                          </w:rPr>
                          <m:t>23</m:t>
                        </m:r>
                        <m:r>
                          <w:rPr>
                            <w:rFonts w:ascii="Cambria Math" w:hAnsi="Cambria Math"/>
                          </w:rPr>
                          <m:t>p</m:t>
                        </m:r>
                      </m:sub>
                    </m:sSub>
                  </m:e>
                  <m:e>
                    <m:sSub>
                      <m:sSubPr>
                        <m:ctrlPr>
                          <w:rPr>
                            <w:rFonts w:ascii="Cambria Math" w:hAnsi="Cambria Math"/>
                          </w:rPr>
                        </m:ctrlPr>
                      </m:sSubPr>
                      <m:e>
                        <m:r>
                          <w:rPr>
                            <w:rFonts w:ascii="Cambria Math" w:hAnsi="Cambria Math"/>
                          </w:rPr>
                          <m:t>σ</m:t>
                        </m:r>
                      </m:e>
                      <m:sub>
                        <m:r>
                          <w:rPr>
                            <w:rFonts w:ascii="Cambria Math" w:hAnsi="Cambria Math"/>
                          </w:rPr>
                          <m:t>24</m:t>
                        </m:r>
                        <m:r>
                          <w:rPr>
                            <w:rFonts w:ascii="Cambria Math" w:hAnsi="Cambria Math"/>
                          </w:rPr>
                          <m:t>p</m:t>
                        </m:r>
                      </m:sub>
                    </m:sSub>
                  </m:e>
                </m:mr>
                <m:mr>
                  <m:e>
                    <m:sSub>
                      <m:sSubPr>
                        <m:ctrlPr>
                          <w:rPr>
                            <w:rFonts w:ascii="Cambria Math" w:hAnsi="Cambria Math"/>
                          </w:rPr>
                        </m:ctrlPr>
                      </m:sSubPr>
                      <m:e>
                        <m:r>
                          <w:rPr>
                            <w:rFonts w:ascii="Cambria Math" w:hAnsi="Cambria Math"/>
                          </w:rPr>
                          <m:t>σ</m:t>
                        </m:r>
                      </m:e>
                      <m:sub>
                        <m:r>
                          <w:rPr>
                            <w:rFonts w:ascii="Cambria Math" w:hAnsi="Cambria Math"/>
                          </w:rPr>
                          <m:t>13</m:t>
                        </m:r>
                        <m:r>
                          <w:rPr>
                            <w:rFonts w:ascii="Cambria Math" w:hAnsi="Cambria Math"/>
                          </w:rPr>
                          <m:t>p</m:t>
                        </m:r>
                      </m:sub>
                    </m:sSub>
                  </m:e>
                  <m:e>
                    <m:sSub>
                      <m:sSubPr>
                        <m:ctrlPr>
                          <w:rPr>
                            <w:rFonts w:ascii="Cambria Math" w:hAnsi="Cambria Math"/>
                          </w:rPr>
                        </m:ctrlPr>
                      </m:sSubPr>
                      <m:e>
                        <m:r>
                          <w:rPr>
                            <w:rFonts w:ascii="Cambria Math" w:hAnsi="Cambria Math"/>
                          </w:rPr>
                          <m:t>σ</m:t>
                        </m:r>
                      </m:e>
                      <m:sub>
                        <m:r>
                          <w:rPr>
                            <w:rFonts w:ascii="Cambria Math" w:hAnsi="Cambria Math"/>
                          </w:rPr>
                          <m:t>12</m:t>
                        </m:r>
                        <m:r>
                          <w:rPr>
                            <w:rFonts w:ascii="Cambria Math" w:hAnsi="Cambria Math"/>
                          </w:rPr>
                          <m:t>p</m:t>
                        </m:r>
                      </m:sub>
                    </m:sSub>
                  </m:e>
                  <m:e>
                    <m:sSubSup>
                      <m:sSubSupPr>
                        <m:ctrlPr>
                          <w:rPr>
                            <w:rFonts w:ascii="Cambria Math" w:hAnsi="Cambria Math"/>
                          </w:rPr>
                        </m:ctrlPr>
                      </m:sSubSupPr>
                      <m:e>
                        <m:r>
                          <w:rPr>
                            <w:rFonts w:ascii="Cambria Math" w:hAnsi="Cambria Math"/>
                          </w:rPr>
                          <m:t>σ</m:t>
                        </m:r>
                      </m:e>
                      <m:sub>
                        <m:r>
                          <w:rPr>
                            <w:rFonts w:ascii="Cambria Math" w:hAnsi="Cambria Math"/>
                          </w:rPr>
                          <m:t>3</m:t>
                        </m:r>
                        <m:r>
                          <w:rPr>
                            <w:rFonts w:ascii="Cambria Math" w:hAnsi="Cambria Math"/>
                          </w:rPr>
                          <m:t>p</m:t>
                        </m:r>
                      </m:sub>
                      <m:sup>
                        <m:r>
                          <w:rPr>
                            <w:rFonts w:ascii="Cambria Math" w:hAnsi="Cambria Math"/>
                          </w:rPr>
                          <m:t>2</m:t>
                        </m:r>
                      </m:sup>
                    </m:sSubSup>
                  </m:e>
                  <m:e>
                    <m:sSub>
                      <m:sSubPr>
                        <m:ctrlPr>
                          <w:rPr>
                            <w:rFonts w:ascii="Cambria Math" w:hAnsi="Cambria Math"/>
                          </w:rPr>
                        </m:ctrlPr>
                      </m:sSubPr>
                      <m:e>
                        <m:r>
                          <w:rPr>
                            <w:rFonts w:ascii="Cambria Math" w:hAnsi="Cambria Math"/>
                          </w:rPr>
                          <m:t>σ</m:t>
                        </m:r>
                      </m:e>
                      <m:sub>
                        <m:r>
                          <w:rPr>
                            <w:rFonts w:ascii="Cambria Math" w:hAnsi="Cambria Math"/>
                          </w:rPr>
                          <m:t>33</m:t>
                        </m:r>
                        <m:r>
                          <w:rPr>
                            <w:rFonts w:ascii="Cambria Math" w:hAnsi="Cambria Math"/>
                          </w:rPr>
                          <m:t>p</m:t>
                        </m:r>
                      </m:sub>
                    </m:sSub>
                  </m:e>
                </m:mr>
                <m:mr>
                  <m:e>
                    <m:sSub>
                      <m:sSubPr>
                        <m:ctrlPr>
                          <w:rPr>
                            <w:rFonts w:ascii="Cambria Math" w:hAnsi="Cambria Math"/>
                          </w:rPr>
                        </m:ctrlPr>
                      </m:sSubPr>
                      <m:e>
                        <m:r>
                          <w:rPr>
                            <w:rFonts w:ascii="Cambria Math" w:hAnsi="Cambria Math"/>
                          </w:rPr>
                          <m:t>σ</m:t>
                        </m:r>
                      </m:e>
                      <m:sub>
                        <m:r>
                          <w:rPr>
                            <w:rFonts w:ascii="Cambria Math" w:hAnsi="Cambria Math"/>
                          </w:rPr>
                          <m:t>14</m:t>
                        </m:r>
                        <m:r>
                          <w:rPr>
                            <w:rFonts w:ascii="Cambria Math" w:hAnsi="Cambria Math"/>
                          </w:rPr>
                          <m:t>p</m:t>
                        </m:r>
                      </m:sub>
                    </m:sSub>
                  </m:e>
                  <m:e>
                    <m:sSub>
                      <m:sSubPr>
                        <m:ctrlPr>
                          <w:rPr>
                            <w:rFonts w:ascii="Cambria Math" w:hAnsi="Cambria Math"/>
                          </w:rPr>
                        </m:ctrlPr>
                      </m:sSubPr>
                      <m:e>
                        <m:r>
                          <w:rPr>
                            <w:rFonts w:ascii="Cambria Math" w:hAnsi="Cambria Math"/>
                          </w:rPr>
                          <m:t>σ</m:t>
                        </m:r>
                      </m:e>
                      <m:sub>
                        <m:r>
                          <w:rPr>
                            <w:rFonts w:ascii="Cambria Math" w:hAnsi="Cambria Math"/>
                          </w:rPr>
                          <m:t>12</m:t>
                        </m:r>
                        <m:r>
                          <w:rPr>
                            <w:rFonts w:ascii="Cambria Math" w:hAnsi="Cambria Math"/>
                          </w:rPr>
                          <m:t>p</m:t>
                        </m:r>
                      </m:sub>
                    </m:sSub>
                  </m:e>
                  <m:e>
                    <m:sSub>
                      <m:sSubPr>
                        <m:ctrlPr>
                          <w:rPr>
                            <w:rFonts w:ascii="Cambria Math" w:hAnsi="Cambria Math"/>
                          </w:rPr>
                        </m:ctrlPr>
                      </m:sSubPr>
                      <m:e>
                        <m:r>
                          <w:rPr>
                            <w:rFonts w:ascii="Cambria Math" w:hAnsi="Cambria Math"/>
                          </w:rPr>
                          <m:t>σ</m:t>
                        </m:r>
                      </m:e>
                      <m:sub>
                        <m:r>
                          <w:rPr>
                            <w:rFonts w:ascii="Cambria Math" w:hAnsi="Cambria Math"/>
                          </w:rPr>
                          <m:t>12</m:t>
                        </m:r>
                        <m:r>
                          <w:rPr>
                            <w:rFonts w:ascii="Cambria Math" w:hAnsi="Cambria Math"/>
                          </w:rPr>
                          <m:t>p</m:t>
                        </m:r>
                      </m:sub>
                    </m:sSub>
                  </m:e>
                  <m:e>
                    <m:sSubSup>
                      <m:sSubSupPr>
                        <m:ctrlPr>
                          <w:rPr>
                            <w:rFonts w:ascii="Cambria Math" w:hAnsi="Cambria Math"/>
                          </w:rPr>
                        </m:ctrlPr>
                      </m:sSubSupPr>
                      <m:e>
                        <m:r>
                          <w:rPr>
                            <w:rFonts w:ascii="Cambria Math" w:hAnsi="Cambria Math"/>
                          </w:rPr>
                          <m:t>σ</m:t>
                        </m:r>
                      </m:e>
                      <m:sub>
                        <m:r>
                          <w:rPr>
                            <w:rFonts w:ascii="Cambria Math" w:hAnsi="Cambria Math"/>
                          </w:rPr>
                          <m:t>4</m:t>
                        </m:r>
                        <m:r>
                          <w:rPr>
                            <w:rFonts w:ascii="Cambria Math" w:hAnsi="Cambria Math"/>
                          </w:rPr>
                          <m:t>p</m:t>
                        </m:r>
                      </m:sub>
                      <m:sup>
                        <m:r>
                          <w:rPr>
                            <w:rFonts w:ascii="Cambria Math" w:hAnsi="Cambria Math"/>
                          </w:rPr>
                          <m:t>2</m:t>
                        </m:r>
                      </m:sup>
                    </m:sSubSup>
                  </m:e>
                </m:mr>
              </m:m>
            </m:e>
          </m:d>
        </m:oMath>
      </m:oMathPara>
    </w:p>
    <w:p w:rsidR="00467DD9" w:rsidRDefault="00E6182D">
      <w:pPr>
        <w:pStyle w:val="Heading3"/>
      </w:pPr>
      <w:bookmarkStart w:id="76" w:name="appendix-d-additional-details-on-the-mod"/>
      <w:bookmarkEnd w:id="76"/>
      <w:r>
        <w:t>Appendix D: Additional details on the model selection process</w:t>
      </w:r>
    </w:p>
    <w:p w:rsidR="00467DD9" w:rsidRDefault="00E6182D">
      <w:pPr>
        <w:pStyle w:val="FirstParagraph"/>
      </w:pPr>
      <w:r>
        <w:t xml:space="preserve">Looking across the statistics presented, some general ideas about which models are to be preferred emerge. Solutions are interpreted first for each model individually </w:t>
      </w:r>
      <w:r>
        <w:t>and then across models with the goal of choosing a smaller number of models to investigate in more detail.</w:t>
      </w:r>
    </w:p>
    <w:p w:rsidR="00467DD9" w:rsidRDefault="00E6182D">
      <w:pPr>
        <w:pStyle w:val="FigurewithCaption"/>
      </w:pPr>
      <w:r>
        <w:rPr>
          <w:noProof/>
        </w:rPr>
        <w:lastRenderedPageBreak/>
        <w:drawing>
          <wp:inline distT="0" distB="0" distL="0" distR="0">
            <wp:extent cx="5334000" cy="3287447"/>
            <wp:effectExtent l="0" t="0" r="0" b="0"/>
            <wp:docPr id="5" name="Picture" descr="Figure 3 Fit statistics for model 1 solutions"/>
            <wp:cNvGraphicFramePr/>
            <a:graphic xmlns:a="http://schemas.openxmlformats.org/drawingml/2006/main">
              <a:graphicData uri="http://schemas.openxmlformats.org/drawingml/2006/picture">
                <pic:pic xmlns:pic="http://schemas.openxmlformats.org/drawingml/2006/picture">
                  <pic:nvPicPr>
                    <pic:cNvPr id="0" name="Picture" descr="rosenberg-dissertation_files/figure-docx/model1-1.png"/>
                    <pic:cNvPicPr>
                      <a:picLocks noChangeAspect="1" noChangeArrowheads="1"/>
                    </pic:cNvPicPr>
                  </pic:nvPicPr>
                  <pic:blipFill>
                    <a:blip r:embed="rId30"/>
                    <a:stretch>
                      <a:fillRect/>
                    </a:stretch>
                  </pic:blipFill>
                  <pic:spPr bwMode="auto">
                    <a:xfrm>
                      <a:off x="0" y="0"/>
                      <a:ext cx="5334000" cy="3287447"/>
                    </a:xfrm>
                    <a:prstGeom prst="rect">
                      <a:avLst/>
                    </a:prstGeom>
                    <a:noFill/>
                    <a:ln w="9525">
                      <a:noFill/>
                      <a:headEnd/>
                      <a:tailEnd/>
                    </a:ln>
                  </pic:spPr>
                </pic:pic>
              </a:graphicData>
            </a:graphic>
          </wp:inline>
        </w:drawing>
      </w:r>
    </w:p>
    <w:p w:rsidR="00467DD9" w:rsidRDefault="00E6182D">
      <w:pPr>
        <w:pStyle w:val="ImageCaption"/>
      </w:pPr>
      <w:r>
        <w:t>Figure 3 Fit statistics for model 1 solutions</w:t>
      </w:r>
    </w:p>
    <w:p w:rsidR="00467DD9" w:rsidRDefault="00E6182D">
      <w:pPr>
        <w:pStyle w:val="FigurewithCaption"/>
      </w:pPr>
      <w:r>
        <w:rPr>
          <w:noProof/>
        </w:rPr>
        <w:drawing>
          <wp:inline distT="0" distB="0" distL="0" distR="0">
            <wp:extent cx="5334000" cy="3287447"/>
            <wp:effectExtent l="0" t="0" r="0" b="0"/>
            <wp:docPr id="6" name="Picture" descr="Figure 4 Fit statistics for model 2 solutions"/>
            <wp:cNvGraphicFramePr/>
            <a:graphic xmlns:a="http://schemas.openxmlformats.org/drawingml/2006/main">
              <a:graphicData uri="http://schemas.openxmlformats.org/drawingml/2006/picture">
                <pic:pic xmlns:pic="http://schemas.openxmlformats.org/drawingml/2006/picture">
                  <pic:nvPicPr>
                    <pic:cNvPr id="0" name="Picture" descr="rosenberg-dissertation_files/figure-docx/model2-1.png"/>
                    <pic:cNvPicPr>
                      <a:picLocks noChangeAspect="1" noChangeArrowheads="1"/>
                    </pic:cNvPicPr>
                  </pic:nvPicPr>
                  <pic:blipFill>
                    <a:blip r:embed="rId31"/>
                    <a:stretch>
                      <a:fillRect/>
                    </a:stretch>
                  </pic:blipFill>
                  <pic:spPr bwMode="auto">
                    <a:xfrm>
                      <a:off x="0" y="0"/>
                      <a:ext cx="5334000" cy="3287447"/>
                    </a:xfrm>
                    <a:prstGeom prst="rect">
                      <a:avLst/>
                    </a:prstGeom>
                    <a:noFill/>
                    <a:ln w="9525">
                      <a:noFill/>
                      <a:headEnd/>
                      <a:tailEnd/>
                    </a:ln>
                  </pic:spPr>
                </pic:pic>
              </a:graphicData>
            </a:graphic>
          </wp:inline>
        </w:drawing>
      </w:r>
    </w:p>
    <w:p w:rsidR="00467DD9" w:rsidRDefault="00E6182D">
      <w:pPr>
        <w:pStyle w:val="ImageCaption"/>
      </w:pPr>
      <w:r>
        <w:t>Figure 4 Fit statistics for model 2 solutions</w:t>
      </w:r>
    </w:p>
    <w:p w:rsidR="00467DD9" w:rsidRDefault="00E6182D">
      <w:pPr>
        <w:pStyle w:val="BodyText"/>
      </w:pPr>
      <w:r>
        <w:t>For solutions associated with model 1, the decrease (</w:t>
      </w:r>
      <w:r>
        <w:t>indicating a preferred model) in information criteria becomes smaller as the number of profiles increases from 5 to 6 and 6 to 7. A solution associated with 8 profiles did not replicate the log-likelihood and the VLMR and LMR suggest that the solution asso</w:t>
      </w:r>
      <w:r>
        <w:t xml:space="preserve">ciated with 9 profiles did not fit better than that </w:t>
      </w:r>
      <w:r>
        <w:lastRenderedPageBreak/>
        <w:t>with 8 profiles, suggesting that models with 7 or fewer profiles be preferred. Considering these models, the entropy statistic increases by a large amount between the solution associated with 4 and 5 prof</w:t>
      </w:r>
      <w:r>
        <w:t>iles (and then decreases slightly between 5 and 6 and 6 and 7 profile solutions), suggesting (but not providing conclusive evidence) that models 5, 6, or 7 may be preferred. The bootstrapped LRT suggests that, until the log-likelihood is not replicated, ev</w:t>
      </w:r>
      <w:r>
        <w:t>ery more complex model be selected. Taking these pieces of evidence into conclusion, for model 1, solutions associated with 4 through 7 may be considered in more depth, with an emphasis on solutions associated with profiles with 5 and 6 profiles on the bas</w:t>
      </w:r>
      <w:r>
        <w:t>is of the slowing of the decrease in the information criteria associated with the solutions with greater profiles than these, and the increase in the entropy from 4 to 5 (and 6) profile solutions.</w:t>
      </w:r>
    </w:p>
    <w:p w:rsidR="00467DD9" w:rsidRDefault="00E6182D">
      <w:pPr>
        <w:pStyle w:val="BodyText"/>
      </w:pPr>
      <w:r>
        <w:t>For solutions associated with model 2, only those associate</w:t>
      </w:r>
      <w:r>
        <w:t>d with 2-5 profile solutions were associated with log-likelihoods that were replicated. For these four models, the log-likelihood decreased in a mostly consistent way, such that changes in the decrease are not as evident as those associated with model 1. T</w:t>
      </w:r>
      <w:r>
        <w:t xml:space="preserve">he entropy statistic decreases from 2 to 3 profile solutions, increases from 3 to 4 profile solutions, and then decreases slightly from 4 to 5 profile solutions, providing some information that models associated with 4 profiles be preferred to the others. </w:t>
      </w:r>
      <w:r>
        <w:t>All of the LRTs suggest that the more complex model be selected, not providing clear information about which solutions are to be preferred. On the basis of these pieces of evidence, models with 3, 4, and 5 solutions may be considered in more depth. However</w:t>
      </w:r>
      <w:r>
        <w:t>, there is a lack of consistent evidence favoring more or less complex models.</w:t>
      </w:r>
    </w:p>
    <w:p w:rsidR="00467DD9" w:rsidRDefault="00E6182D">
      <w:pPr>
        <w:pStyle w:val="BodyText"/>
      </w:pPr>
      <w:r>
        <w:t>The model 1, six and seven profile solutions are compelling because both show profiles that are distinguished by dimensions of engagement and its conditions (challenge and compe</w:t>
      </w:r>
      <w:r>
        <w:t>tence). Note that for this model, only the means and variances are estimated (and so no covariances are estimated), and the variances are constrained to be the same across the profiles. While this is a very restrictive model, it, along with the model 3 typ</w:t>
      </w:r>
      <w:r>
        <w:t xml:space="preserve">e (which did not lead to solutions for any of the numbers of profiles specified) also is a standard model for LPA, in that it meets the assumption of local independence (of the variables that make up the profiles–unlike for models in which covariances are </w:t>
      </w:r>
      <w:r>
        <w:t xml:space="preserve">estimated) typical common to LPA (see Muthen &amp; Muthen, 2016). While some of the solutions associated with the model 2 type did reach solutions, these demonstrated less appealing properties in terms of their fit statistics as well as their interpretability </w:t>
      </w:r>
      <w:r>
        <w:t>and with respect to concerns of parsimony. Thus, while no covariances are estimated for the model 1 type solutions, there is no requirement that these be specified; their benefit, when models associated with them are preferred, is that they can provide bet</w:t>
      </w:r>
      <w:r>
        <w:t>ter fit: they can be used to better explain or predict the data in a sample, but their inclusion also means that over-fitting the model to the data can become a greater concern.</w:t>
      </w:r>
    </w:p>
    <w:p w:rsidR="00467DD9" w:rsidRDefault="00E6182D">
      <w:pPr>
        <w:pStyle w:val="BodyText"/>
      </w:pPr>
      <w:r>
        <w:t xml:space="preserve">For each solution, alternate solutions associated with higher log-likelihoods </w:t>
      </w:r>
      <w:r>
        <w:t>were explored. One advantage of the six profile solution is that most of its profiles can also be identified in solutions with fewer profiles. For the six profile solutions, this alternate solution was very different, whereas for the seven profile solution</w:t>
      </w:r>
      <w:r>
        <w:t xml:space="preserve">s, this alternate solution was highly similar. The model solutions exhibit a less clear pattern in terms of which profiles appear when. All </w:t>
      </w:r>
      <w:r>
        <w:lastRenderedPageBreak/>
        <w:t>else being equal, on the basis of parsimony, the model 1, six profile solution is preferred and was selected for use</w:t>
      </w:r>
      <w:r>
        <w:t xml:space="preserve"> in subsequent analyses.</w:t>
      </w:r>
    </w:p>
    <w:p w:rsidR="00467DD9" w:rsidRDefault="00E6182D">
      <w:pPr>
        <w:pStyle w:val="Heading3"/>
      </w:pPr>
      <w:bookmarkStart w:id="77" w:name="appendix-e-alternate-model-selected-mode"/>
      <w:bookmarkEnd w:id="77"/>
      <w:r>
        <w:t>Appendix E: Alternate model selected (model type 1, seven profile solution)</w:t>
      </w:r>
    </w:p>
    <w:p w:rsidR="00467DD9" w:rsidRDefault="00E6182D">
      <w:pPr>
        <w:pStyle w:val="FirstParagraph"/>
      </w:pPr>
      <w:r>
        <w:t>This solution is characterized by:</w:t>
      </w:r>
    </w:p>
    <w:p w:rsidR="00467DD9" w:rsidRDefault="00E6182D">
      <w:pPr>
        <w:pStyle w:val="Compact"/>
        <w:numPr>
          <w:ilvl w:val="0"/>
          <w:numId w:val="8"/>
        </w:numPr>
      </w:pPr>
      <w:r>
        <w:t xml:space="preserve">A </w:t>
      </w:r>
      <w:r>
        <w:rPr>
          <w:i/>
        </w:rPr>
        <w:t>full</w:t>
      </w:r>
      <w:r>
        <w:t xml:space="preserve"> profile, profile 7</w:t>
      </w:r>
    </w:p>
    <w:p w:rsidR="00467DD9" w:rsidRDefault="00E6182D">
      <w:pPr>
        <w:pStyle w:val="Compact"/>
        <w:numPr>
          <w:ilvl w:val="0"/>
          <w:numId w:val="8"/>
        </w:numPr>
      </w:pPr>
      <w:r>
        <w:t xml:space="preserve">A </w:t>
      </w:r>
      <w:r>
        <w:rPr>
          <w:i/>
        </w:rPr>
        <w:t>universally low</w:t>
      </w:r>
      <w:r>
        <w:t xml:space="preserve"> profile, profile 1</w:t>
      </w:r>
    </w:p>
    <w:p w:rsidR="00467DD9" w:rsidRDefault="00E6182D">
      <w:pPr>
        <w:pStyle w:val="Compact"/>
        <w:numPr>
          <w:ilvl w:val="0"/>
          <w:numId w:val="8"/>
        </w:numPr>
      </w:pPr>
      <w:r>
        <w:t xml:space="preserve">A </w:t>
      </w:r>
      <w:r>
        <w:rPr>
          <w:i/>
        </w:rPr>
        <w:t>competent but not engaged or challenged</w:t>
      </w:r>
      <w:r>
        <w:t xml:space="preserve"> </w:t>
      </w:r>
      <w:r>
        <w:t>profile, profile 2, characterized by high competence and moderate (low) or low levels of engagement and challenge</w:t>
      </w:r>
    </w:p>
    <w:p w:rsidR="00467DD9" w:rsidRDefault="00E6182D">
      <w:pPr>
        <w:pStyle w:val="Compact"/>
        <w:numPr>
          <w:ilvl w:val="0"/>
          <w:numId w:val="8"/>
        </w:numPr>
      </w:pPr>
      <w:r>
        <w:t xml:space="preserve">A </w:t>
      </w:r>
      <w:r>
        <w:rPr>
          <w:i/>
        </w:rPr>
        <w:t>moderately low</w:t>
      </w:r>
      <w:r>
        <w:t xml:space="preserve"> profile, profile 3, characterized by moderately low levels of all of the variables</w:t>
      </w:r>
    </w:p>
    <w:p w:rsidR="00467DD9" w:rsidRDefault="00E6182D">
      <w:pPr>
        <w:pStyle w:val="Compact"/>
        <w:numPr>
          <w:ilvl w:val="0"/>
          <w:numId w:val="8"/>
        </w:numPr>
      </w:pPr>
      <w:r>
        <w:t xml:space="preserve">A </w:t>
      </w:r>
      <w:r>
        <w:rPr>
          <w:i/>
        </w:rPr>
        <w:t>challenged</w:t>
      </w:r>
      <w:r>
        <w:t xml:space="preserve"> profile, profile 4, character</w:t>
      </w:r>
      <w:r>
        <w:t>ized by high challenge, moderate (high) levels of engagement, and moderate (low) levels of competence</w:t>
      </w:r>
    </w:p>
    <w:p w:rsidR="00467DD9" w:rsidRDefault="00E6182D">
      <w:pPr>
        <w:pStyle w:val="Compact"/>
        <w:numPr>
          <w:ilvl w:val="0"/>
          <w:numId w:val="8"/>
        </w:numPr>
      </w:pPr>
      <w:r>
        <w:t xml:space="preserve">A </w:t>
      </w:r>
      <w:r>
        <w:rPr>
          <w:i/>
        </w:rPr>
        <w:t>highly challenged</w:t>
      </w:r>
      <w:r>
        <w:t xml:space="preserve"> profile, profile 5, characterized by patterns similar to those of the challenged profile, but with higher challenge and with low level</w:t>
      </w:r>
      <w:r>
        <w:t>s of both engagement and challenge</w:t>
      </w:r>
    </w:p>
    <w:p w:rsidR="00467DD9" w:rsidRDefault="00E6182D">
      <w:pPr>
        <w:pStyle w:val="Compact"/>
        <w:numPr>
          <w:ilvl w:val="0"/>
          <w:numId w:val="8"/>
        </w:numPr>
      </w:pPr>
      <w:r>
        <w:t xml:space="preserve">A </w:t>
      </w:r>
      <w:r>
        <w:rPr>
          <w:i/>
        </w:rPr>
        <w:t>challenged but not engaged or competent</w:t>
      </w:r>
      <w:r>
        <w:t xml:space="preserve"> profile, profile 6, characterized by low levels of challenge, and high levels of engagement and competence</w:t>
      </w:r>
    </w:p>
    <w:p w:rsidR="00467DD9" w:rsidRDefault="00E6182D">
      <w:pPr>
        <w:pStyle w:val="FirstParagraph"/>
      </w:pPr>
      <w:r>
        <w:rPr>
          <w:noProof/>
        </w:rPr>
        <w:lastRenderedPageBreak/>
        <w:drawing>
          <wp:inline distT="0" distB="0" distL="0" distR="0">
            <wp:extent cx="5334000" cy="3294062"/>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rosenberg-dissertation_files/figure-docx/m1_7p-1.png"/>
                    <pic:cNvPicPr>
                      <a:picLocks noChangeAspect="1" noChangeArrowheads="1"/>
                    </pic:cNvPicPr>
                  </pic:nvPicPr>
                  <pic:blipFill>
                    <a:blip r:embed="rId32"/>
                    <a:stretch>
                      <a:fillRect/>
                    </a:stretch>
                  </pic:blipFill>
                  <pic:spPr bwMode="auto">
                    <a:xfrm>
                      <a:off x="0" y="0"/>
                      <a:ext cx="5334000" cy="3294062"/>
                    </a:xfrm>
                    <a:prstGeom prst="rect">
                      <a:avLst/>
                    </a:prstGeom>
                    <a:noFill/>
                    <a:ln w="9525">
                      <a:noFill/>
                      <a:headEnd/>
                      <a:tailEnd/>
                    </a:ln>
                  </pic:spPr>
                </pic:pic>
              </a:graphicData>
            </a:graphic>
          </wp:inline>
        </w:drawing>
      </w:r>
      <w:r>
        <w:rPr>
          <w:noProof/>
        </w:rPr>
        <w:drawing>
          <wp:inline distT="0" distB="0" distL="0" distR="0">
            <wp:extent cx="5334000" cy="3294062"/>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rosenberg-dissertation_files/figure-docx/m1_7p-2.png"/>
                    <pic:cNvPicPr>
                      <a:picLocks noChangeAspect="1" noChangeArrowheads="1"/>
                    </pic:cNvPicPr>
                  </pic:nvPicPr>
                  <pic:blipFill>
                    <a:blip r:embed="rId33"/>
                    <a:stretch>
                      <a:fillRect/>
                    </a:stretch>
                  </pic:blipFill>
                  <pic:spPr bwMode="auto">
                    <a:xfrm>
                      <a:off x="0" y="0"/>
                      <a:ext cx="5334000" cy="3294062"/>
                    </a:xfrm>
                    <a:prstGeom prst="rect">
                      <a:avLst/>
                    </a:prstGeom>
                    <a:noFill/>
                    <a:ln w="9525">
                      <a:noFill/>
                      <a:headEnd/>
                      <a:tailEnd/>
                    </a:ln>
                  </pic:spPr>
                </pic:pic>
              </a:graphicData>
            </a:graphic>
          </wp:inline>
        </w:drawing>
      </w:r>
    </w:p>
    <w:p w:rsidR="00467DD9" w:rsidRDefault="00E6182D">
      <w:pPr>
        <w:pStyle w:val="BodyText"/>
      </w:pPr>
      <w:r>
        <w:t>The number of observations associated with each of the profiles is no</w:t>
      </w:r>
      <w:r>
        <w:t>t very balanced, with few (</w:t>
      </w:r>
      <w:r>
        <w:rPr>
          <w:i/>
        </w:rPr>
        <w:t>n</w:t>
      </w:r>
      <w:r>
        <w:t xml:space="preserve"> = 181) observations associated with the universally low profile and few (</w:t>
      </w:r>
      <w:r>
        <w:rPr>
          <w:i/>
        </w:rPr>
        <w:t>n</w:t>
      </w:r>
      <w:r>
        <w:t xml:space="preserve"> = 222) observations associated with the highly challenged profile. The number of observations associated with the other profiles ranged from 317 to 651.</w:t>
      </w:r>
      <w:r>
        <w:t xml:space="preserve"> Distinct from other solutions, none of the other five profiles were found in the other model 1 solutions. Two pairs of the profiles–challenged and highly challenged and universally low and moderately low–exhibited similar patterns among the variables that</w:t>
      </w:r>
      <w:r>
        <w:t xml:space="preserve"> were distinguished by different mean levels. The log-likelihood was replicated twice, with the next lowest log-likelihood being </w:t>
      </w:r>
      <w:r>
        <w:lastRenderedPageBreak/>
        <w:t>replicate four times, possibly warranting further investigation. Taken together, this solution raises questions about whether i</w:t>
      </w:r>
      <w:r>
        <w:t>t may be too complex, possibly suggesting preference for model 1 five and six profile solutions.</w:t>
      </w:r>
    </w:p>
    <w:sectPr w:rsidR="00467DD9">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6182D" w:rsidRDefault="00E6182D">
      <w:pPr>
        <w:spacing w:after="0"/>
      </w:pPr>
      <w:r>
        <w:separator/>
      </w:r>
    </w:p>
  </w:endnote>
  <w:endnote w:type="continuationSeparator" w:id="0">
    <w:p w:rsidR="00E6182D" w:rsidRDefault="00E6182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6FF" w:usb1="400004FF" w:usb2="00000000" w:usb3="00000000" w:csb0="0000019F"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2AFF" w:usb1="C000ACFF"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6182D" w:rsidRDefault="00E6182D">
      <w:r>
        <w:separator/>
      </w:r>
    </w:p>
  </w:footnote>
  <w:footnote w:type="continuationSeparator" w:id="0">
    <w:p w:rsidR="00E6182D" w:rsidRDefault="00E6182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AF491228"/>
    <w:multiLevelType w:val="multilevel"/>
    <w:tmpl w:val="4238D3E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74CAE88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44D269C7"/>
    <w:multiLevelType w:val="multilevel"/>
    <w:tmpl w:val="D6B0AC8C"/>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3" w15:restartNumberingAfterBreak="0">
    <w:nsid w:val="79406A68"/>
    <w:multiLevelType w:val="multilevel"/>
    <w:tmpl w:val="E8DA867E"/>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num w:numId="1">
    <w:abstractNumId w:val="1"/>
  </w:num>
  <w:num w:numId="2">
    <w:abstractNumId w:val="0"/>
  </w:num>
  <w:num w:numId="3">
    <w:abstractNumId w:val="2"/>
  </w:num>
  <w:num w:numId="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6">
    <w:abstractNumId w:val="2"/>
  </w:num>
  <w:num w:numId="7">
    <w:abstractNumId w:val="2"/>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8"/>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0D07"/>
    <w:rsid w:val="00011C8B"/>
    <w:rsid w:val="00467DD9"/>
    <w:rsid w:val="004E29B3"/>
    <w:rsid w:val="00590D07"/>
    <w:rsid w:val="00784D58"/>
    <w:rsid w:val="008D6863"/>
    <w:rsid w:val="00B86B75"/>
    <w:rsid w:val="00BC48D5"/>
    <w:rsid w:val="00BE0102"/>
    <w:rsid w:val="00C36279"/>
    <w:rsid w:val="00E315A3"/>
    <w:rsid w:val="00E6182D"/>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025ED32"/>
  <w15:docId w15:val="{B05C7789-EB58-BB41-A71F-51E8D5EF20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https://doi.org/10.1007/978-1-4614-2018-7_37" TargetMode="External"/><Relationship Id="rId26" Type="http://schemas.openxmlformats.org/officeDocument/2006/relationships/hyperlink" Target="http://faculty.sites.uci.edu/childcare/files/2013/07/SL-Outcomes-2011-Pilot_Edited_8.19.pdf" TargetMode="External"/><Relationship Id="rId3" Type="http://schemas.openxmlformats.org/officeDocument/2006/relationships/settings" Target="settings.xml"/><Relationship Id="rId21" Type="http://schemas.openxmlformats.org/officeDocument/2006/relationships/hyperlink" Target="http://dx.doi.org/10.1016/j.learninstruc.2017.07.007" TargetMode="External"/><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doi.org/10.1002/j.2161-0045.2015.00097.x" TargetMode="External"/><Relationship Id="rId25" Type="http://schemas.openxmlformats.org/officeDocument/2006/relationships/hyperlink" Target="http://doi.org/10.1007/s10964-007-9241-z" TargetMode="External"/><Relationship Id="rId33" Type="http://schemas.openxmlformats.org/officeDocument/2006/relationships/image" Target="media/image14.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dx.doi.org/10.1037/edu0000214" TargetMode="External"/><Relationship Id="rId29" Type="http://schemas.openxmlformats.org/officeDocument/2006/relationships/hyperlink" Target="doi:10.1007/s10648-016-9358-2"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doi:10.1080/00461520.2014.1002924" TargetMode="External"/><Relationship Id="rId32" Type="http://schemas.openxmlformats.org/officeDocument/2006/relationships/image" Target="media/image13.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dx.doi.org/10.1002/tea.21409" TargetMode="External"/><Relationship Id="rId28" Type="http://schemas.openxmlformats.org/officeDocument/2006/relationships/hyperlink" Target="https://hadley.shinyapps.io/cran-downloads/" TargetMode="External"/><Relationship Id="rId10" Type="http://schemas.openxmlformats.org/officeDocument/2006/relationships/image" Target="media/image4.png"/><Relationship Id="rId19" Type="http://schemas.openxmlformats.org/officeDocument/2006/relationships/hyperlink" Target="https://www.journals.uio.no/index.php/nordina/article/view/2047" TargetMode="External"/><Relationship Id="rId31"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jrosen48.github.io/r-markdown/comparing-mplus-mclust.html" TargetMode="External"/><Relationship Id="rId27" Type="http://schemas.openxmlformats.org/officeDocument/2006/relationships/hyperlink" Target="https://jakewestfall.shinyapps.io/pangea/" TargetMode="External"/><Relationship Id="rId30" Type="http://schemas.openxmlformats.org/officeDocument/2006/relationships/image" Target="media/image11.png"/><Relationship Id="rId35" Type="http://schemas.openxmlformats.org/officeDocument/2006/relationships/theme" Target="theme/theme1.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TotalTime>
  <Pages>52</Pages>
  <Words>20755</Words>
  <Characters>118305</Characters>
  <Application>Microsoft Office Word</Application>
  <DocSecurity>0</DocSecurity>
  <Lines>985</Lines>
  <Paragraphs>277</Paragraphs>
  <ScaleCrop>false</ScaleCrop>
  <Company/>
  <LinksUpToDate>false</LinksUpToDate>
  <CharactersWithSpaces>138783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Understanding Work With Data in Summer STEM Programs Through An Experience Sampling Method Approach</dc:title>
  <dc:creator>Joshua M. Rosenberg</dc:creator>
  <cp:lastModifiedBy>Joshua Rosenberg</cp:lastModifiedBy>
  <cp:revision>2</cp:revision>
  <dcterms:created xsi:type="dcterms:W3CDTF">2018-04-27T03:12:00Z</dcterms:created>
  <dcterms:modified xsi:type="dcterms:W3CDTF">2018-04-27T03:15:00Z</dcterms:modified>
</cp:coreProperties>
</file>