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10.png" ContentType="image/png"/>
  <Override PartName="/word/media/rId111.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2018-04-26</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Heddy, &amp; Lombardi, 2015; Skinner &amp; Pitzer, 2012). In recognition of its dynamic nature, some engagement scholars have usefully drawn upon flow theory (Csikszentmihalyi, 1990, 1997) to identify not only dimensions of engagement, but also other, subjective, characteristics that effect engagement. This past research, drawn upon in the present study, has considered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engaging in work with data..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present a multi-dimensional approach to understanding engagement that considers engagement and the two influencers of engagement (perceptions of competence and challenge) in order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Scholars have conceived of working with data in different ways, but some core components have emerged.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w:t>
      </w:r>
    </w:p>
    <w:p>
      <w:pPr>
        <w:pStyle w:val="Compact"/>
        <w:numPr>
          <w:numId w:val="1001"/>
          <w:ilvl w:val="0"/>
        </w:numPr>
      </w:pPr>
      <w:r>
        <w:t xml:space="preserve">Creating data through constructing measures and collecting data</w:t>
      </w:r>
    </w:p>
    <w:p>
      <w:pPr>
        <w:pStyle w:val="Compact"/>
        <w:numPr>
          <w:numId w:val="1001"/>
          <w:ilvl w:val="0"/>
        </w:numPr>
      </w:pPr>
      <w:r>
        <w:t xml:space="preserve">Accounting for variability in data through models, or data modeling (English, 2012; Hancock et al., 1992; Lehrer &amp; Romberg, 1996; Lesh et al., 2008)</w:t>
      </w:r>
    </w:p>
    <w:p>
      <w:pPr>
        <w:pStyle w:val="FirstParagraph"/>
      </w:pPr>
      <w:r>
        <w:t xml:space="preserve">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In the present studies, these different approaches to working with data are distilled into five key aspects (see Figure 1) that guide the conceptualization of this study:</w:t>
      </w:r>
    </w:p>
    <w:p>
      <w:pPr>
        <w:pStyle w:val="Compact"/>
        <w:numPr>
          <w:numId w:val="1002"/>
          <w:ilvl w:val="0"/>
        </w:numPr>
      </w:pPr>
      <w:r>
        <w:t xml:space="preserve">Asking questions: Generating questions that can be answered with empirical evidence</w:t>
      </w:r>
    </w:p>
    <w:p>
      <w:pPr>
        <w:pStyle w:val="Compact"/>
        <w:numPr>
          <w:numId w:val="1002"/>
          <w:ilvl w:val="0"/>
        </w:numPr>
      </w:pPr>
      <w:r>
        <w:t xml:space="preserve">Making observations: Watching phenomena and noticing what is happening with respect to the phenomena or problem being investigated</w:t>
      </w:r>
    </w:p>
    <w:p>
      <w:pPr>
        <w:pStyle w:val="Compact"/>
        <w:numPr>
          <w:numId w:val="1002"/>
          <w:ilvl w:val="0"/>
        </w:numPr>
      </w:pPr>
      <w:r>
        <w:t xml:space="preserve">Generating data: The process of figuring out how or why to inscribe an observation as data about a phenomena, as well as generating coding frames or tools for measuring</w:t>
      </w:r>
    </w:p>
    <w:p>
      <w:pPr>
        <w:pStyle w:val="Compact"/>
        <w:numPr>
          <w:numId w:val="1002"/>
          <w:ilvl w:val="0"/>
        </w:numPr>
      </w:pPr>
      <w:r>
        <w:t xml:space="preserve">Data modeling: Includes simple statistics, such as the mean and variance, as well as more complicated models, such as linear models and extensions of the linear model</w:t>
      </w:r>
    </w:p>
    <w:p>
      <w:pPr>
        <w:pStyle w:val="Compact"/>
        <w:numPr>
          <w:numId w:val="1002"/>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I will discuss later, these factors might have the potential to impact engagement through the proximal conditions of challenge and competence.</w:t>
      </w:r>
    </w:p>
    <w:p>
      <w:pPr>
        <w:pStyle w:val="Heading2"/>
      </w:pPr>
      <w:bookmarkStart w:id="25" w:name="the-role-of-work-with-data-in-the-curriculum"/>
      <w:bookmarkEnd w:id="25"/>
      <w:r>
        <w:t xml:space="preserve">The role of work with data in the curriculum</w:t>
      </w:r>
    </w:p>
    <w:p>
      <w:pPr>
        <w:pStyle w:val="FirstParagraph"/>
      </w:pPr>
      <w:r>
        <w:t xml:space="preserve">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is already known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Research related to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p>
    <w:p>
      <w:pPr>
        <w:pStyle w:val="Compact"/>
        <w:numPr>
          <w:numId w:val="1003"/>
          <w:ilvl w:val="0"/>
        </w:numPr>
      </w:pPr>
      <w:r>
        <w:t xml:space="preserve">Specific cognitive outcomes</w:t>
      </w:r>
    </w:p>
    <w:p>
      <w:pPr>
        <w:pStyle w:val="Compact"/>
        <w:numPr>
          <w:numId w:val="1003"/>
          <w:ilvl w:val="0"/>
        </w:numPr>
      </w:pPr>
      <w:r>
        <w:t xml:space="preserve">Learners’ capability to participate in each of the aspects of work with data</w:t>
      </w:r>
    </w:p>
    <w:p>
      <w:pPr>
        <w:pStyle w:val="Compact"/>
        <w:numPr>
          <w:numId w:val="1003"/>
          <w:ilvl w:val="0"/>
        </w:numPr>
      </w:pPr>
      <w:r>
        <w:t xml:space="preserve">Strategies to address key challenges of engaging in each of the aspects of work with data</w:t>
      </w:r>
    </w:p>
    <w:p>
      <w:pPr>
        <w:pStyle w:val="FirstParagraph"/>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7" w:name="engagement-in-stem-domains"/>
      <w:bookmarkEnd w:id="27"/>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 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8" w:name="using-esm-to-study-the-dynamics-of-engagement"/>
      <w:bookmarkEnd w:id="28"/>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9" w:name="a-person-oriented-approach-to-momentary-engagement"/>
      <w:bookmarkEnd w:id="29"/>
      <w:r>
        <w:t xml:space="preserve">A Person-Oriented Approach to Momentary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In the context of the present study, these profiles seek to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1" w:name="conceptual-framework-and-research-questions"/>
      <w:bookmarkEnd w:id="31"/>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4"/>
          <w:ilvl w:val="0"/>
        </w:numPr>
      </w:pPr>
      <w:r>
        <w:t xml:space="preserve">Asking questions or identifying problems</w:t>
      </w:r>
    </w:p>
    <w:p>
      <w:pPr>
        <w:pStyle w:val="Compact"/>
        <w:numPr>
          <w:numId w:val="1004"/>
          <w:ilvl w:val="0"/>
        </w:numPr>
      </w:pPr>
      <w:r>
        <w:t xml:space="preserve">Making observations</w:t>
      </w:r>
    </w:p>
    <w:p>
      <w:pPr>
        <w:pStyle w:val="Compact"/>
        <w:numPr>
          <w:numId w:val="1004"/>
          <w:ilvl w:val="0"/>
        </w:numPr>
      </w:pPr>
      <w:r>
        <w:t xml:space="preserve">Generating data</w:t>
      </w:r>
    </w:p>
    <w:p>
      <w:pPr>
        <w:pStyle w:val="Compact"/>
        <w:numPr>
          <w:numId w:val="1004"/>
          <w:ilvl w:val="0"/>
        </w:numPr>
      </w:pPr>
      <w:r>
        <w:t xml:space="preserve">Data modeling</w:t>
      </w:r>
    </w:p>
    <w:p>
      <w:pPr>
        <w:pStyle w:val="Compact"/>
        <w:numPr>
          <w:numId w:val="1004"/>
          <w:ilvl w:val="0"/>
        </w:numPr>
      </w:pPr>
      <w:r>
        <w:t xml:space="preserve">Interpreting and communicating findings</w:t>
      </w:r>
    </w:p>
    <w:p>
      <w:pPr>
        <w:pStyle w:val="FirstParagraph"/>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BodyText"/>
      </w:pPr>
      <w:r>
        <w:t xml:space="preserve">The four research questions are as follows:</w:t>
      </w:r>
    </w:p>
    <w:p>
      <w:pPr>
        <w:pStyle w:val="Compact"/>
        <w:numPr>
          <w:numId w:val="1005"/>
          <w:ilvl w:val="0"/>
        </w:numPr>
      </w:pPr>
      <w:r>
        <w:t xml:space="preserve">What is the frequency and nature of opportunities for youth to engage in each of the five aspects of work with data in summer STEM programs?</w:t>
      </w:r>
    </w:p>
    <w:p>
      <w:pPr>
        <w:pStyle w:val="Compact"/>
        <w:numPr>
          <w:numId w:val="1005"/>
          <w:ilvl w:val="0"/>
        </w:numPr>
      </w:pPr>
      <w:r>
        <w:t xml:space="preserve">What profiles of youth engagement and its conditions emerge from experiential data collected in the programs?</w:t>
      </w:r>
    </w:p>
    <w:p>
      <w:pPr>
        <w:pStyle w:val="Compact"/>
        <w:numPr>
          <w:numId w:val="1005"/>
          <w:ilvl w:val="0"/>
        </w:numPr>
      </w:pPr>
      <w:r>
        <w:t xml:space="preserve">How do data practices relate to youth engagement in the programs?</w:t>
      </w:r>
    </w:p>
    <w:p>
      <w:pPr>
        <w:pStyle w:val="Compact"/>
        <w:numPr>
          <w:numId w:val="1005"/>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4" w:name="participants"/>
      <w:bookmarkEnd w:id="34"/>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5" w:name="context"/>
      <w:bookmarkEnd w:id="35"/>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6" w:name="procedure"/>
      <w:bookmarkEnd w:id="36"/>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PECs.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youth, program, and moment is examined.</w:t>
      </w:r>
    </w:p>
    <w:p>
      <w:pPr>
        <w:pStyle w:val="Heading3"/>
      </w:pPr>
      <w:bookmarkStart w:id="44" w:name="analysis-for-research-question-1"/>
      <w:bookmarkEnd w:id="44"/>
      <w:r>
        <w:t xml:space="preserve">Analysis for Research Question #1</w:t>
      </w:r>
    </w:p>
    <w:p>
      <w:pPr>
        <w:pStyle w:val="FirstParagraph"/>
      </w:pPr>
      <w:r>
        <w:t xml:space="preserve">First, the frequency of the codes for work with data (and the composite code)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work with data and b) other aspects of the instructional context that impacts student work with data.</w:t>
      </w:r>
    </w:p>
    <w:p>
      <w:pPr>
        <w:pStyle w:val="Heading3"/>
      </w:pPr>
      <w:bookmarkStart w:id="45" w:name="analysis-for-research-question-2"/>
      <w:bookmarkEnd w:id="45"/>
      <w:r>
        <w:t xml:space="preserve">Analysis for Research Question #2</w:t>
      </w:r>
    </w:p>
    <w:p>
      <w:pPr>
        <w:pStyle w:val="Heading4"/>
      </w:pPr>
      <w:bookmarkStart w:id="46" w:name="background-on-creating-profiles-using-latent-profile-analysis-lpa"/>
      <w:bookmarkEnd w:id="46"/>
      <w:r>
        <w:t xml:space="preserve">Background on creating profiles using Latent Profile Analysis (LPA)</w:t>
      </w:r>
    </w:p>
    <w:p>
      <w:pPr>
        <w:pStyle w:val="FirstParagraph"/>
      </w:pPr>
      <w:r>
        <w:t xml:space="preserve">This question addresses what profiles emerged from the data. This section first provides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BodyText"/>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Heading4"/>
      </w:pPr>
      <w:bookmarkStart w:id="47" w:name="selecting-a-model-on-the-basis-of-fit-indices-and-other-techniques"/>
      <w:bookmarkEnd w:id="47"/>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BodyText"/>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BodyText"/>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Heading3"/>
      </w:pPr>
      <w:bookmarkStart w:id="48" w:name="statistical-software-developed"/>
      <w:bookmarkEnd w:id="4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9" w:name="analysis-for-research-question-3"/>
      <w:bookmarkEnd w:id="49"/>
      <w:r>
        <w:t xml:space="preserve">Analysis for Research Question #3</w:t>
      </w:r>
    </w:p>
    <w:p>
      <w:pPr>
        <w:pStyle w:val="FirstParagraph"/>
      </w:pPr>
      <w:r>
        <w:t xml:space="preserve">Broadly, this question is focused on how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work with data are interpreted and presented.</w:t>
      </w:r>
    </w:p>
    <w:p>
      <w:pPr>
        <w:pStyle w:val="BodyText"/>
      </w:pPr>
      <w:r>
        <w:t xml:space="preserve">To answer this question, on how well the aspects of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50" w:name="analysis-for-research-question-4"/>
      <w:bookmarkEnd w:id="50"/>
      <w:r>
        <w:t xml:space="preserve">Analysis for Research Question #4</w:t>
      </w:r>
    </w:p>
    <w:p>
      <w:pPr>
        <w:pStyle w:val="FirstParagraph"/>
      </w:pPr>
      <w:r>
        <w:t xml:space="preserve">Research question #4 is focused on how the relationships of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BodyText"/>
      </w:pPr>
      <w:r>
        <w:t xml:space="preserve">To answer this question, on how youth characteristics impacts relationships between work with data and the PECs, the direct effects of pre-program interest in STEM, gender, and under-represented minority [URM] status, without other predictor variables, were explored. Then, models with these variables and the composite variable for work with data was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2"/>
      </w:pPr>
      <w:bookmarkStart w:id="51" w:name="sensitivity-analysis"/>
      <w:bookmarkEnd w:id="51"/>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2" w:name="results"/>
      <w:bookmarkEnd w:id="52"/>
      <w:r>
        <w:t xml:space="preserve">Results</w:t>
      </w:r>
    </w:p>
    <w:p>
      <w:pPr>
        <w:pStyle w:val="FirstParagraph"/>
      </w:pPr>
      <w:r>
        <w:t xml:space="preserve">I present results associated with the preliminary analysis and the four research questions.</w:t>
      </w:r>
    </w:p>
    <w:p>
      <w:pPr>
        <w:pStyle w:val="Heading2"/>
      </w:pPr>
      <w:bookmarkStart w:id="53" w:name="results-from-the-preliminary-analysis"/>
      <w:bookmarkEnd w:id="53"/>
      <w:r>
        <w:t xml:space="preserve">Results from the preliminary analysis</w:t>
      </w:r>
    </w:p>
    <w:p>
      <w:pPr>
        <w:pStyle w:val="Heading3"/>
      </w:pPr>
      <w:bookmarkStart w:id="54" w:name="descriptive-statistics-for-study-variables"/>
      <w:bookmarkEnd w:id="54"/>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work with data was constructed as the sum of each of the five dichotomous variables that represented the aspects of work with data; thus, its possible values ranged between zero and five.</w:t>
      </w:r>
    </w:p>
    <w:p>
      <w:pPr>
        <w:pStyle w:val="Heading3"/>
      </w:pPr>
      <w:bookmarkStart w:id="55" w:name="correlations-among-study-variables"/>
      <w:bookmarkEnd w:id="55"/>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2"/>
      </w:pPr>
      <w:bookmarkStart w:id="56" w:name="results-for-research-question-1"/>
      <w:bookmarkEnd w:id="56"/>
      <w:r>
        <w:t xml:space="preserve">Results for Research Question #1</w:t>
      </w:r>
    </w:p>
    <w:p>
      <w:pPr>
        <w:pStyle w:val="Heading3"/>
      </w:pPr>
      <w:bookmarkStart w:id="57" w:name="frequency-of-work-with-data"/>
      <w:bookmarkEnd w:id="57"/>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program_name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total_segments</w:t>
            </w:r>
          </w:p>
        </w:tc>
      </w:tr>
      <w:tr>
        <w:tc>
          <w:p>
            <w:pPr>
              <w:pStyle w:val="Compact"/>
              <w:jc w:val="left"/>
            </w:pPr>
            <w:r>
              <w:t xml:space="preserve">Island Explorers</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4</w:t>
            </w:r>
          </w:p>
        </w:tc>
        <w:tc>
          <w:p>
            <w:pPr>
              <w:pStyle w:val="Compact"/>
              <w:jc w:val="right"/>
            </w:pPr>
            <w:r>
              <w:t xml:space="preserve">6</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15</w:t>
            </w:r>
          </w:p>
        </w:tc>
        <w:tc>
          <w:p>
            <w:pPr>
              <w:pStyle w:val="Compact"/>
              <w:jc w:val="right"/>
            </w:pPr>
            <w:r>
              <w:t xml:space="preserve">10</w:t>
            </w:r>
          </w:p>
        </w:tc>
        <w:tc>
          <w:p>
            <w:pPr>
              <w:pStyle w:val="Compact"/>
              <w:jc w:val="right"/>
            </w:pPr>
            <w:r>
              <w:t xml:space="preserve">12</w:t>
            </w:r>
          </w:p>
        </w:tc>
        <w:tc>
          <w:p>
            <w:pPr>
              <w:pStyle w:val="Compact"/>
              <w:jc w:val="right"/>
            </w:pPr>
            <w:r>
              <w:t xml:space="preserve">7</w:t>
            </w:r>
          </w:p>
        </w:tc>
        <w:tc>
          <w:p>
            <w:pPr>
              <w:pStyle w:val="Compact"/>
              <w:jc w:val="right"/>
            </w:pPr>
            <w:r>
              <w:t xml:space="preserve">12</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13</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18</w:t>
            </w:r>
          </w:p>
        </w:tc>
        <w:tc>
          <w:p>
            <w:pPr>
              <w:pStyle w:val="Compact"/>
              <w:jc w:val="right"/>
            </w:pPr>
            <w:r>
              <w:t xml:space="preserve">10</w:t>
            </w:r>
          </w:p>
        </w:tc>
        <w:tc>
          <w:p>
            <w:pPr>
              <w:pStyle w:val="Compact"/>
              <w:jc w:val="right"/>
            </w:pPr>
            <w:r>
              <w:t xml:space="preserve">22</w:t>
            </w:r>
          </w:p>
        </w:tc>
        <w:tc>
          <w:p>
            <w:pPr>
              <w:pStyle w:val="Compact"/>
              <w:jc w:val="right"/>
            </w:pPr>
            <w:r>
              <w:t xml:space="preserve">15</w:t>
            </w:r>
          </w:p>
        </w:tc>
        <w:tc>
          <w:p>
            <w:pPr>
              <w:pStyle w:val="Compact"/>
              <w:jc w:val="right"/>
            </w:pPr>
            <w:r>
              <w:t xml:space="preserve">18</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4</w:t>
            </w:r>
          </w:p>
        </w:tc>
        <w:tc>
          <w:p>
            <w:pPr>
              <w:pStyle w:val="Compact"/>
              <w:jc w:val="right"/>
            </w:pPr>
            <w:r>
              <w:t xml:space="preserve">2</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9</w:t>
            </w:r>
          </w:p>
        </w:tc>
        <w:tc>
          <w:p>
            <w:pPr>
              <w:pStyle w:val="Compact"/>
              <w:jc w:val="right"/>
            </w:pPr>
            <w:r>
              <w:t xml:space="preserve">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8</w:t>
            </w:r>
          </w:p>
        </w:tc>
        <w:tc>
          <w:p>
            <w:pPr>
              <w:pStyle w:val="Compact"/>
              <w:jc w:val="right"/>
            </w:pPr>
            <w:r>
              <w:t xml:space="preserve">12</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14</w:t>
            </w:r>
          </w:p>
        </w:tc>
        <w:tc>
          <w:p>
            <w:pPr>
              <w:pStyle w:val="Compact"/>
              <w:jc w:val="right"/>
            </w:pPr>
            <w:r>
              <w:t xml:space="preserve">7</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bl>
    <w:p>
      <w:pPr>
        <w:pStyle w:val="Heading3"/>
      </w:pPr>
      <w:bookmarkStart w:id="58" w:name="nature-of-work-with-data"/>
      <w:bookmarkEnd w:id="58"/>
      <w:r>
        <w:t xml:space="preserve">Nature of work with data</w:t>
      </w:r>
    </w:p>
    <w:p>
      <w:pPr>
        <w:pStyle w:val="FirstParagraph"/>
      </w:pPr>
      <w:r>
        <w:t xml:space="preserve">Each of the segments of video was coded. Youth engage in work with data in ways that on occasion diverged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aspects of work with data.</w:t>
      </w:r>
    </w:p>
    <w:p>
      <w:pPr>
        <w:pStyle w:val="BodyText"/>
      </w:pPr>
      <w:r>
        <w:t xml:space="preserve">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w:t>
      </w:r>
    </w:p>
    <w:p>
      <w:pPr>
        <w:pStyle w:val="BodyText"/>
      </w:pPr>
      <w:r>
        <w:t xml:space="preserve">Some of the guiding questions for the qualitative coding were as follows:</w:t>
      </w:r>
    </w:p>
    <w:p>
      <w:pPr>
        <w:pStyle w:val="Compact"/>
        <w:numPr>
          <w:numId w:val="1006"/>
          <w:ilvl w:val="0"/>
        </w:numPr>
      </w:pPr>
      <w:r>
        <w:t xml:space="preserve">When asking questions or defining problems is coded, what, if any are the questions or problems? Who is asking the question (i.e teacher or student)</w:t>
      </w:r>
    </w:p>
    <w:p>
      <w:pPr>
        <w:pStyle w:val="Compact"/>
        <w:numPr>
          <w:numId w:val="1006"/>
          <w:ilvl w:val="0"/>
        </w:numPr>
      </w:pPr>
      <w:r>
        <w:t xml:space="preserve">When making observations is coded, what are youth doing?</w:t>
      </w:r>
    </w:p>
    <w:p>
      <w:pPr>
        <w:pStyle w:val="Compact"/>
        <w:numPr>
          <w:numId w:val="1006"/>
          <w:ilvl w:val="0"/>
        </w:numPr>
      </w:pPr>
      <w:r>
        <w:t xml:space="preserve">When generating data is coded, how, if they are, are youth collecting or recording data?</w:t>
      </w:r>
    </w:p>
    <w:p>
      <w:pPr>
        <w:pStyle w:val="Compact"/>
        <w:numPr>
          <w:numId w:val="1006"/>
          <w:ilvl w:val="0"/>
        </w:numPr>
      </w:pPr>
      <w:r>
        <w:t xml:space="preserve">When analyzing or modeling data is coded, what analysis are they doing, or what models are they using? Are they talking about variability or uncertainty? If so, how?</w:t>
      </w:r>
    </w:p>
    <w:p>
      <w:pPr>
        <w:pStyle w:val="Compact"/>
        <w:numPr>
          <w:numId w:val="1006"/>
          <w:ilvl w:val="0"/>
        </w:numPr>
      </w:pPr>
      <w:r>
        <w:t xml:space="preserve">When interpreting and communicating findings is coded, what are youth interpreting or how are they communicating?</w:t>
      </w:r>
    </w:p>
    <w:p>
      <w:pPr>
        <w:pStyle w:val="Heading4"/>
      </w:pPr>
      <w:bookmarkStart w:id="59" w:name="asking-questions-or-identifying-problems"/>
      <w:bookmarkEnd w:id="59"/>
      <w:r>
        <w:t xml:space="preserve">Asking questions or identifying problems</w:t>
      </w:r>
    </w:p>
    <w:p>
      <w:pPr>
        <w:pStyle w:val="FirstParagraph"/>
      </w:pPr>
      <w:r>
        <w:t xml:space="preserve">Asking questions occurred in 92 of the segments. In the 92 segments that were coded with asking questions, the qualitative coders identified 36 segments, that were focused on asking questions in ways that clearly aligned with the coding frame.</w:t>
      </w:r>
    </w:p>
    <w:p>
      <w:pPr>
        <w:pStyle w:val="BodyText"/>
      </w:pPr>
      <w:r>
        <w:t xml:space="preserve">Qualitative coding showed that this aspect of work with data was highly variable. When the qualitative coding revealed this code to be present, it was often when youth were trying to better understand the phenomenon or problem they were investigating. It was not always always focused on predicting, conjecturing, or hypothesizing, and when it was not present, it was applied to instances in which the youth were asking generic questions (i.e., about how they do an assignment) or when the instructor was asking youth questions (i.e., math-related questions).</w:t>
      </w:r>
    </w:p>
    <w:p>
      <w:pPr>
        <w:pStyle w:val="Heading4"/>
      </w:pPr>
      <w:bookmarkStart w:id="60" w:name="making-observations"/>
      <w:bookmarkEnd w:id="60"/>
      <w:r>
        <w:t xml:space="preserve">Making observations</w:t>
      </w:r>
    </w:p>
    <w:p>
      <w:pPr>
        <w:pStyle w:val="FirstParagraph"/>
      </w:pPr>
      <w:r>
        <w:t xml:space="preserve">Making observations occurred in 57 of the segments, 49 which were clearly aligned with the coding frame. Many of the times, this code was in conjunction with observing phenomenon in the field, or, in the case of engineering-focused programs, noticing what was going on with a particular design. When qualitative coders determined this was not present, it was usually due to the observations being of the instructor.</w:t>
      </w:r>
    </w:p>
    <w:p>
      <w:pPr>
        <w:pStyle w:val="Heading4"/>
      </w:pPr>
      <w:bookmarkStart w:id="61" w:name="generating-data"/>
      <w:bookmarkEnd w:id="61"/>
      <w:r>
        <w:t xml:space="preserve">Generating data</w:t>
      </w:r>
    </w:p>
    <w:p>
      <w:pPr>
        <w:pStyle w:val="FirstParagraph"/>
      </w:pPr>
      <w:r>
        <w:t xml:space="preserve">Generating data occurred in 102 segments, 48 which were aligned with the coding frame. When present based on qualtitative codes, youth were writing down observations, recording information from experiments, or recording the results of a trial (in engineering contexts). When not present, this was often youth were writing down what the youth activity leader was saying, or was focused on collecting specimens, but not inscribing them as data.</w:t>
      </w:r>
    </w:p>
    <w:p>
      <w:pPr>
        <w:pStyle w:val="Heading4"/>
      </w:pPr>
      <w:bookmarkStart w:id="62" w:name="data-modeling"/>
      <w:bookmarkEnd w:id="62"/>
      <w:r>
        <w:t xml:space="preserve">Data modeling</w:t>
      </w:r>
    </w:p>
    <w:p>
      <w:pPr>
        <w:pStyle w:val="FirstParagraph"/>
      </w:pPr>
      <w:r>
        <w:t xml:space="preserve">Data modeling occurred in 68 segments, 49 which were aligned with the coding frame. When present, youth used statistical models or real-world, designed models to make predictions about phenomena. When not present, the instructor was using a model, or the model was not a model of data in any sense (i.e., was not based on data generated from observations or through other methods).</w:t>
      </w:r>
    </w:p>
    <w:p>
      <w:pPr>
        <w:pStyle w:val="Heading4"/>
      </w:pPr>
      <w:bookmarkStart w:id="63" w:name="interpreting-and-communicating-findings"/>
      <w:bookmarkEnd w:id="63"/>
      <w:r>
        <w:t xml:space="preserve">Interpreting and communicating findings</w:t>
      </w:r>
    </w:p>
    <w:p>
      <w:pPr>
        <w:pStyle w:val="FirstParagraph"/>
      </w:pPr>
      <w:r>
        <w:t xml:space="preserve">Codes for interperting and communicating were present in 103 segments, 49 which were aligned with the coding frame. When present based on the qualitative codes, youth were sharing what they found from an experiment or investigation. This also involved instances in which youth were debating over the results of an investigation with other youth and youth activity leaders. When not present, which was common, youth were communicating in other ways, such as trying to find out the answer to a question.</w:t>
      </w:r>
    </w:p>
    <w:p>
      <w:pPr>
        <w:pStyle w:val="Heading3"/>
      </w:pPr>
      <w:bookmarkStart w:id="64" w:name="summary-of-findings-for-research-question-1"/>
      <w:bookmarkEnd w:id="64"/>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1"/>
      </w:pPr>
      <w:bookmarkStart w:id="65" w:name="results-for-research-question-2"/>
      <w:bookmarkEnd w:id="65"/>
      <w:r>
        <w:t xml:space="preserve">Results for Research Question #2</w:t>
      </w:r>
    </w:p>
    <w:p>
      <w:pPr>
        <w:pStyle w:val="Heading3"/>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Following from the in-depth exploration of a wide range of models and the candidate solutions (described in the Appendix), a specific model is selected for use in subsequent analyses. This model was selected on the basis of a range of criteria including fit statistics, statistical tests, and concerns of interpretability and parsimony. In particular, the model one type, six profile, and model one type, seven profile solutions are described. Tthis model demonstrated superior fit on the basis of the information criteria (AIC and BIC) and on the basis of the measure of classification accuracy (entropy). It was also highly interpretable. Descriptions of other candidate solutions are included in the appendix. For this and other soltuions,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6</w:t>
      </w:r>
    </w:p>
    <w:p>
      <w:pPr>
        <w:pStyle w:val="Compact"/>
        <w:numPr>
          <w:numId w:val="1007"/>
          <w:ilvl w:val="0"/>
        </w:numPr>
      </w:pPr>
      <w:r>
        <w:t xml:space="preserve">An</w:t>
      </w:r>
      <w:r>
        <w:t xml:space="preserve"> </w:t>
      </w:r>
      <w:r>
        <w:rPr>
          <w:i/>
        </w:rPr>
        <w:t xml:space="preserve">universally low</w:t>
      </w:r>
      <w:r>
        <w:t xml:space="preserve"> </w:t>
      </w:r>
      <w:r>
        <w:t xml:space="preserve">profile, profile 2</w:t>
      </w:r>
    </w:p>
    <w:p>
      <w:pPr>
        <w:pStyle w:val="Compact"/>
        <w:numPr>
          <w:numId w:val="1007"/>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7"/>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7"/>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7"/>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 Communicating and interpreting findings was positively related to the</w:t>
      </w:r>
      <w:r>
        <w:t xml:space="preserve"> </w:t>
      </w:r>
      <w:r>
        <w:rPr>
          <w:i/>
        </w:rPr>
        <w:t xml:space="preserve">Only behavioral</w:t>
      </w:r>
      <w:r>
        <w:t xml:space="preserve"> </w:t>
      </w:r>
      <w:r>
        <w:t xml:space="preserve">profile (</w:t>
      </w:r>
      <w:r>
        <w:rPr>
          <w:i/>
        </w:rPr>
        <w:t xml:space="preserve">B</w:t>
      </w:r>
      <w:r>
        <w:t xml:space="preserve"> </w:t>
      </w:r>
      <w:r>
        <w:t xml:space="preserve">= 0.025 (0.014),</w:t>
      </w:r>
      <w:r>
        <w:t xml:space="preserve"> </w:t>
      </w:r>
      <w:r>
        <w:rPr>
          <w:i/>
        </w:rPr>
        <w:t xml:space="preserve">p</w:t>
      </w:r>
      <w:r>
        <w:t xml:space="preserve"> </w:t>
      </w:r>
      <w:r>
        <w:t xml:space="preserve">= .043).</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and for the effect of communicating and interpreting findings, 9.41% would need to be due to bias.</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3"/>
      <w:bookmarkEnd w:id="74"/>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pre-interest-gender-and-urm-status-interactions-work-with-data-composite"/>
      <w:bookmarkEnd w:id="77"/>
      <w:r>
        <w:t xml:space="preserve">Pre-interest, gender, and URM status interactions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add% of the effect would need to be due to bias to invalidate the inference.</w:t>
      </w:r>
    </w:p>
    <w:p>
      <w:pPr>
        <w:pStyle w:val="BodyText"/>
      </w:pPr>
      <w:r>
        <w:t xml:space="preserve">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8" w:name="summary-of-findings-for-research-question-4"/>
      <w:bookmarkEnd w:id="78"/>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w:t>
      </w:r>
    </w:p>
    <w:p>
      <w:pPr>
        <w:pStyle w:val="Heading1"/>
      </w:pPr>
      <w:bookmarkStart w:id="79" w:name="discussion"/>
      <w:bookmarkEnd w:id="79"/>
      <w:r>
        <w:t xml:space="preserve">Discussion</w:t>
      </w:r>
    </w:p>
    <w:p>
      <w:pPr>
        <w:pStyle w:val="Heading2"/>
      </w:pPr>
      <w:bookmarkStart w:id="80" w:name="key-findings"/>
      <w:bookmarkEnd w:id="80"/>
      <w:r>
        <w:t xml:space="preserve">Key Findings</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w:t>
      </w:r>
    </w:p>
    <w:p>
      <w:pPr>
        <w:pStyle w:val="BodyText"/>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w:t>
      </w:r>
    </w:p>
    <w:p>
      <w:pPr>
        <w:pStyle w:val="BodyText"/>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very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w:t>
      </w:r>
    </w:p>
    <w:p>
      <w:pPr>
        <w:pStyle w:val="BodyText"/>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w:t>
      </w:r>
    </w:p>
    <w:p>
      <w:pPr>
        <w:pStyle w:val="Heading2"/>
      </w:pPr>
      <w:bookmarkStart w:id="81" w:name="limitations-of-the-study"/>
      <w:bookmarkEnd w:id="81"/>
      <w:r>
        <w:t xml:space="preserve">Limitations of the Study</w:t>
      </w:r>
    </w:p>
    <w:p>
      <w:pPr>
        <w:pStyle w:val="FirstParagraph"/>
      </w:pPr>
      <w:r>
        <w:t xml:space="preserve">First, this study does not consider outcomes from engaging, such as the products of neither youths’ work, nor the specific cognitive capabilities they develop through their participation.</w:t>
      </w:r>
    </w:p>
    <w:p>
      <w:pPr>
        <w:pStyle w:val="BodyText"/>
      </w:pPr>
      <w:r>
        <w:t xml:space="preserve">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w:t>
      </w:r>
    </w:p>
    <w:p>
      <w:pPr>
        <w:pStyle w:val="BodyText"/>
      </w:pPr>
      <w:r>
        <w:t xml:space="preserve">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BodyText"/>
      </w:pPr>
      <w:r>
        <w:t xml:space="preserve">How instructional support for work with data was measured seems to have been an issue, given the qualitative coding.</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BodyText"/>
      </w:pPr>
      <w:r>
        <w:t xml:space="preserve">These programs were not designed to support work with data …</w:t>
      </w:r>
    </w:p>
    <w:p>
      <w:pPr>
        <w:pStyle w:val="BodyText"/>
      </w:pPr>
      <w:r>
        <w:t xml:space="preserve">You don’t need to say this here (though you might in the discussion), but it may be that either the analytic approach you used (LPA) or the particular 5 variables you chose to focus on are not the ideal way to capture engagement that varies by program activity – something else may vary more by program activity.</w:t>
      </w:r>
    </w:p>
    <w:p>
      <w:pPr>
        <w:pStyle w:val="BodyText"/>
      </w:pPr>
      <w:r>
        <w:t xml:space="preserve">Engage students in complete cycles of investigation</w:t>
      </w:r>
    </w:p>
    <w:p>
      <w:pPr>
        <w:pStyle w:val="BodyText"/>
      </w:pPr>
      <w:r>
        <w:t xml:space="preserve">Support engagement in specific moments</w:t>
      </w:r>
    </w:p>
    <w:p>
      <w:pPr>
        <w:pStyle w:val="BodyText"/>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5"/>
      </w:pPr>
      <w:bookmarkStart w:id="82" w:name="affordances"/>
      <w:bookmarkEnd w:id="82"/>
      <w:r>
        <w:t xml:space="preserve">Affordances</w:t>
      </w:r>
    </w:p>
    <w:p>
      <w:pPr>
        <w:pStyle w:val="FirstParagraph"/>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3" w:name="constraints"/>
      <w:bookmarkEnd w:id="83"/>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4" w:name="recommendations-for-future-research"/>
      <w:bookmarkEnd w:id="84"/>
      <w:r>
        <w:t xml:space="preserve">Recommendations for Future Research</w:t>
      </w:r>
    </w:p>
    <w:p>
      <w:pPr>
        <w:pStyle w:val="FirstParagraph"/>
      </w:pPr>
      <w:r>
        <w:t xml:space="preserve">Explore work with data in settings designed to support it … There are increasingly</w:t>
      </w:r>
      <w:r>
        <w:t xml:space="preserve"> </w:t>
      </w:r>
      <w:r>
        <w:t xml:space="preserve">“</w:t>
      </w:r>
      <w:r>
        <w:t xml:space="preserve">data camps</w:t>
      </w:r>
      <w:r>
        <w:t xml:space="preserve">”</w:t>
      </w:r>
      <w:r>
        <w:t xml:space="preserve"> </w:t>
      </w:r>
      <w:r>
        <w:t xml:space="preserve">…</w:t>
      </w:r>
    </w:p>
    <w:p>
      <w:pPr>
        <w:pStyle w:val="BodyText"/>
      </w:pPr>
      <w:r>
        <w:t xml:space="preserve">Measure student work with data as well as instructional support for work with data … Measuring what students do in addition to what teachers do is important …</w:t>
      </w:r>
    </w:p>
    <w:p>
      <w:pPr>
        <w:pStyle w:val="BodyText"/>
      </w:pPr>
      <w:r>
        <w:t xml:space="preserve">Explore changes in longer-term outcomes… changes in longer-term outcomes, such as future plans and goals, are an important goal for summer STEM educators and other stakeholders in such programs …</w:t>
      </w:r>
    </w:p>
    <w:p>
      <w:pPr>
        <w:pStyle w:val="Heading1"/>
      </w:pPr>
      <w:bookmarkStart w:id="85" w:name="references"/>
      <w:bookmarkEnd w:id="85"/>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86">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7">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88">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9">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0">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1">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2">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3">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94">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5">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96">
        <w:r>
          <w:rPr>
            <w:rStyle w:val="Hyperlink"/>
          </w:rPr>
          <w:t xml:space="preserve">https://jakewestfall.shinyapps.io/pangea/</w:t>
        </w:r>
      </w:hyperlink>
      <w:r>
        <w:br w:type="textWrapping"/>
      </w:r>
      <w:r>
        <w:t xml:space="preserve">Wickham, H. (2018). CRAN downloads. Retrieved from</w:t>
      </w:r>
      <w:r>
        <w:t xml:space="preserve"> </w:t>
      </w:r>
      <w:hyperlink r:id="rId97">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98">
        <w:r>
          <w:rPr>
            <w:rStyle w:val="Hyperlink"/>
          </w:rPr>
          <w:t xml:space="preserve">doi:10.1007/s10648-016-9358-2</w:t>
        </w:r>
      </w:hyperlink>
    </w:p>
    <w:p>
      <w:pPr>
        <w:pStyle w:val="Heading1"/>
      </w:pPr>
      <w:bookmarkStart w:id="99" w:name="appendix"/>
      <w:bookmarkEnd w:id="99"/>
      <w:r>
        <w:t xml:space="preserve">Appendix</w:t>
      </w:r>
    </w:p>
    <w:p>
      <w:pPr>
        <w:pStyle w:val="Heading2"/>
      </w:pPr>
      <w:bookmarkStart w:id="100" w:name="appendix-a-stem-pqa-alignment"/>
      <w:bookmarkEnd w:id="100"/>
      <w:r>
        <w:t xml:space="preserve">Appendix A: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3"/>
      </w:pPr>
      <w:bookmarkStart w:id="101" w:name="appendix-b-program-descriptions"/>
      <w:bookmarkEnd w:id="101"/>
      <w:r>
        <w:t xml:space="preserve">Appendix B: Program descriptions</w:t>
      </w:r>
    </w:p>
    <w:p>
      <w:pPr>
        <w:pStyle w:val="Heading3"/>
      </w:pPr>
      <w:bookmarkStart w:id="102" w:name="appendix-c-model-specifications-details"/>
      <w:bookmarkEnd w:id="102"/>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3" w:name="varying-means-equal-variances-and-covariances-fixed-to-0-model-1"/>
      <w:bookmarkEnd w:id="103"/>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04" w:name="varying-means-equal-variances-and-equal-covariances-model-2"/>
      <w:bookmarkEnd w:id="104"/>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05" w:name="varying-means-varying-variances-and-covariances-fixed-to-0-model-3"/>
      <w:bookmarkEnd w:id="105"/>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6" w:name="varying-means-varying-variances-and-equal-covariances-model-4"/>
      <w:bookmarkEnd w:id="106"/>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7" w:name="varying-means-equal-variances-and-varying-covariances-model-5"/>
      <w:bookmarkEnd w:id="107"/>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8" w:name="varying-means-varying-variances-and-varying-covariances-model-6"/>
      <w:bookmarkEnd w:id="108"/>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9" w:name="appendix-d-additional-details-on-the-model-selection-process"/>
      <w:bookmarkEnd w:id="109"/>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0"/>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1"/>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2" w:name="appendix-e-alternate-model-selected-model-type-1-seven-profile-solution"/>
      <w:bookmarkEnd w:id="112"/>
      <w:r>
        <w:t xml:space="preserve">Appendix E: Alternate model selected (model type 1, seven profile solution)</w:t>
      </w:r>
    </w:p>
    <w:p>
      <w:pPr>
        <w:pStyle w:val="FirstParagraph"/>
      </w:pPr>
      <w:r>
        <w:t xml:space="preserve">This solution is characterized by:</w:t>
      </w:r>
    </w:p>
    <w:p>
      <w:pPr>
        <w:pStyle w:val="Compact"/>
        <w:numPr>
          <w:numId w:val="1008"/>
          <w:ilvl w:val="0"/>
        </w:numPr>
      </w:pPr>
      <w:r>
        <w:t xml:space="preserve">A</w:t>
      </w:r>
      <w:r>
        <w:t xml:space="preserve"> </w:t>
      </w:r>
      <w:r>
        <w:rPr>
          <w:i/>
        </w:rPr>
        <w:t xml:space="preserve">full</w:t>
      </w:r>
      <w:r>
        <w:t xml:space="preserve"> </w:t>
      </w:r>
      <w:r>
        <w:t xml:space="preserve">profile, profile 7</w:t>
      </w:r>
    </w:p>
    <w:p>
      <w:pPr>
        <w:pStyle w:val="Compact"/>
        <w:numPr>
          <w:numId w:val="1008"/>
          <w:ilvl w:val="0"/>
        </w:numPr>
      </w:pPr>
      <w:r>
        <w:t xml:space="preserve">A</w:t>
      </w:r>
      <w:r>
        <w:t xml:space="preserve"> </w:t>
      </w:r>
      <w:r>
        <w:rPr>
          <w:i/>
        </w:rPr>
        <w:t xml:space="preserve">universally low</w:t>
      </w:r>
      <w:r>
        <w:t xml:space="preserve"> </w:t>
      </w:r>
      <w:r>
        <w:t xml:space="preserve">profile, profile 1</w:t>
      </w:r>
    </w:p>
    <w:p>
      <w:pPr>
        <w:pStyle w:val="Compact"/>
        <w:numPr>
          <w:numId w:val="1008"/>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8"/>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8"/>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8"/>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8"/>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c44f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7e17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86eb1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98" Target="doi:10.1007/s10648-016-9358-2" TargetMode="External" /><Relationship Type="http://schemas.openxmlformats.org/officeDocument/2006/relationships/hyperlink" Id="rId93" Target="doi:10.1080/00461520.2014.1002924" TargetMode="External" /><Relationship Type="http://schemas.openxmlformats.org/officeDocument/2006/relationships/hyperlink" Id="rId86" Target="http://doi.org/10.1002/j.2161-0045.2015.00097.x" TargetMode="External" /><Relationship Type="http://schemas.openxmlformats.org/officeDocument/2006/relationships/hyperlink" Id="rId94" Target="http://doi.org/10.1007/s10964-007-9241-z" TargetMode="External" /><Relationship Type="http://schemas.openxmlformats.org/officeDocument/2006/relationships/hyperlink" Id="rId90" Target="http://dx.doi.org/10.1016/j.learninstruc.2017.07.007" TargetMode="External" /><Relationship Type="http://schemas.openxmlformats.org/officeDocument/2006/relationships/hyperlink" Id="rId89" Target="http://dx.doi.org/10.1037/edu0000214" TargetMode="External" /><Relationship Type="http://schemas.openxmlformats.org/officeDocument/2006/relationships/hyperlink" Id="rId95" Target="http://faculty.sites.uci.edu/childcare/files/2013/07/SL-Outcomes-2011-Pilot_Edited_8.19.pdf" TargetMode="External" /><Relationship Type="http://schemas.openxmlformats.org/officeDocument/2006/relationships/hyperlink" Id="rId87" Target="https://doi.org/10.1007/978-1-4614-2018-7_37" TargetMode="External" /><Relationship Type="http://schemas.openxmlformats.org/officeDocument/2006/relationships/hyperlink" Id="rId92" Target="https://dx.doi.org/10.1002/tea.21409" TargetMode="External" /><Relationship Type="http://schemas.openxmlformats.org/officeDocument/2006/relationships/hyperlink" Id="rId97" Target="https://hadley.shinyapps.io/cran-downloads/" TargetMode="External" /><Relationship Type="http://schemas.openxmlformats.org/officeDocument/2006/relationships/hyperlink" Id="rId96" Target="https://jakewestfall.shinyapps.io/pangea/" TargetMode="External" /><Relationship Type="http://schemas.openxmlformats.org/officeDocument/2006/relationships/hyperlink" Id="rId91" Target="https://jrosen48.github.io/r-markdown/comparing-mplus-mclust.html" TargetMode="External" /><Relationship Type="http://schemas.openxmlformats.org/officeDocument/2006/relationships/hyperlink" Id="rId88"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8" Target="doi:10.1007/s10648-016-9358-2" TargetMode="External" /><Relationship Type="http://schemas.openxmlformats.org/officeDocument/2006/relationships/hyperlink" Id="rId93" Target="doi:10.1080/00461520.2014.1002924" TargetMode="External" /><Relationship Type="http://schemas.openxmlformats.org/officeDocument/2006/relationships/hyperlink" Id="rId86" Target="http://doi.org/10.1002/j.2161-0045.2015.00097.x" TargetMode="External" /><Relationship Type="http://schemas.openxmlformats.org/officeDocument/2006/relationships/hyperlink" Id="rId94" Target="http://doi.org/10.1007/s10964-007-9241-z" TargetMode="External" /><Relationship Type="http://schemas.openxmlformats.org/officeDocument/2006/relationships/hyperlink" Id="rId90" Target="http://dx.doi.org/10.1016/j.learninstruc.2017.07.007" TargetMode="External" /><Relationship Type="http://schemas.openxmlformats.org/officeDocument/2006/relationships/hyperlink" Id="rId89" Target="http://dx.doi.org/10.1037/edu0000214" TargetMode="External" /><Relationship Type="http://schemas.openxmlformats.org/officeDocument/2006/relationships/hyperlink" Id="rId95" Target="http://faculty.sites.uci.edu/childcare/files/2013/07/SL-Outcomes-2011-Pilot_Edited_8.19.pdf" TargetMode="External" /><Relationship Type="http://schemas.openxmlformats.org/officeDocument/2006/relationships/hyperlink" Id="rId87" Target="https://doi.org/10.1007/978-1-4614-2018-7_37" TargetMode="External" /><Relationship Type="http://schemas.openxmlformats.org/officeDocument/2006/relationships/hyperlink" Id="rId92" Target="https://dx.doi.org/10.1002/tea.21409" TargetMode="External" /><Relationship Type="http://schemas.openxmlformats.org/officeDocument/2006/relationships/hyperlink" Id="rId97" Target="https://hadley.shinyapps.io/cran-downloads/" TargetMode="External" /><Relationship Type="http://schemas.openxmlformats.org/officeDocument/2006/relationships/hyperlink" Id="rId96" Target="https://jakewestfall.shinyapps.io/pangea/" TargetMode="External" /><Relationship Type="http://schemas.openxmlformats.org/officeDocument/2006/relationships/hyperlink" Id="rId91" Target="https://jrosen48.github.io/r-markdown/comparing-mplus-mclust.html" TargetMode="External" /><Relationship Type="http://schemas.openxmlformats.org/officeDocument/2006/relationships/hyperlink" Id="rId88"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2018-04-26T18:00:03Z</dcterms:created>
  <dcterms:modified xsi:type="dcterms:W3CDTF">2018-04-26T18:00:03Z</dcterms:modified>
</cp:coreProperties>
</file>