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120.png" ContentType="image/png"/>
  <Override PartName="/word/media/rId121.png" ContentType="image/png"/>
  <Override PartName="/word/media/rId117.png" ContentType="image/png"/>
  <Override PartName="/word/media/rId118.png" ContentType="image/png"/>
  <Override PartName="/word/media/rId67.png" ContentType="image/png"/>
  <Override PartName="/word/media/rId68.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2018-05-01</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educational contexts (Lee &amp; Wilkerson, 2018; Wild &amp; Pfannkuch, 1999). Aspects of work with data cut across STEM domains and are recognized as core competencies in both the Next Generation Science Standards and the Common Core State Standards in mathematics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Past research has shown that how engaged learners and youth are is a predictor of key outcomes, such as their well-being, achievement and pursuit of an area of study or career (Sinatra, Heddy, &amp; Lombardi, 2015; Wang, Chow, Hofkens, &amp; Salmela-Aro, 2015; Wang &amp; Eccles, 2012).</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w:t>
      </w:r>
    </w:p>
    <w:p>
      <w:pPr>
        <w:pStyle w:val="BodyText"/>
      </w:pPr>
      <w:r>
        <w:t xml:space="preserve">The purpose of this study, then, is to understand learners’ experience of working with data through the lens of engagement.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The framework for this study is informed by work on STEM practices,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some core components have emerged (see Lee and Wikerson [in press] for a review and Wild and Pfannkuch [1999], Franklin et al. [2007], Lehrer and Schauble [2004] for specific examples from past research). Different approaches to working with data that have been articulated in prior studies are distilled into five key aspects (see Figure 1) that guide their conceptualization in this study:</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w:t>
      </w:r>
    </w:p>
    <w:p>
      <w:pPr>
        <w:pStyle w:val="Heading2"/>
      </w:pPr>
      <w:bookmarkStart w:id="25" w:name="the-role-of-work-with-data-in-the-curriculum"/>
      <w:bookmarkEnd w:id="25"/>
      <w:r>
        <w:t xml:space="preserve">The role of work with data in the curriculum</w:t>
      </w:r>
    </w:p>
    <w:p>
      <w:pPr>
        <w:pStyle w:val="FirstParagraph"/>
      </w:pPr>
      <w:r>
        <w:t xml:space="preserve">Work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examined.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do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 Engagement is also considered to be dynamic and changing in response to individual, situation or moment, and broader contextual factors, such as the family, classroom, or outside-of-school programs.</w:t>
      </w:r>
    </w:p>
    <w:p>
      <w:pPr>
        <w:pStyle w:val="BodyText"/>
      </w:pPr>
      <w:r>
        <w:t xml:space="preserve">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w:t>
      </w:r>
    </w:p>
    <w:p>
      <w:pPr>
        <w:pStyle w:val="BodyText"/>
      </w:pPr>
      <w:r>
        <w:t xml:space="preserve">I review a few other youth characteristics that impact engagement.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9" w:name="using-esm-to-study-the-dynamics-of-engagement"/>
      <w:bookmarkEnd w:id="29"/>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0" w:name="a-place-for-profiles"/>
      <w:bookmarkEnd w:id="30"/>
      <w:r>
        <w:t xml:space="preserve">A place for profiles</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or engagement as reported by youth via ESM during particular moments. Note that ESM involves asking youth about to report on their experience at the time they were signaled.</w:t>
      </w:r>
    </w:p>
    <w:p>
      <w:pPr>
        <w:pStyle w:val="BodyText"/>
      </w:pPr>
      <w:r>
        <w:t xml:space="preserve">Profiles seek to capture both the cognitive, behavioral, and affective dimensions of engagement and the subjective conditions of challenge and competence to understand how students experience engagement and its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person-oriented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person-oriented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1" w:name="need-for-the-present-study"/>
      <w:bookmarkEnd w:id="31"/>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2" w:name="conceptual-framework-and-research-questions"/>
      <w:bookmarkEnd w:id="32"/>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3"/>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of engagement and its conditions or profiles in the remainder of this manuscript. The theoretical framework for the person-oriented approach suggests that while the dynamics among the individual aspects of engagement emerge in complex and situation-specific ways, it is possible to consider engagement in terms of patterns among its components.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4" w:name="method"/>
      <w:bookmarkEnd w:id="34"/>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context"/>
      <w:bookmarkEnd w:id="36"/>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7" w:name="procedure"/>
      <w:bookmarkEnd w:id="37"/>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8" w:name="data-sources-and-measures"/>
      <w:bookmarkEnd w:id="38"/>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9" w:name="esm-measures-of-learners-engagement-and-its-conditions-for-the-profiles"/>
      <w:bookmarkEnd w:id="39"/>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0" w:name="survey-measures-of-pre-interest"/>
      <w:bookmarkEnd w:id="40"/>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2.</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codes-from-video-recordings-for-work-with-data"/>
      <w:bookmarkEnd w:id="41"/>
      <w:r>
        <w:t xml:space="preserve">Codes from video-recordings for work with data</w:t>
      </w:r>
    </w:p>
    <w:p>
      <w:pPr>
        <w:pStyle w:val="FirstParagraph"/>
      </w:pPr>
      <w:r>
        <w:t xml:space="preserve">Different aspects of work with data are identified from video-recordings with the use of a coding frame with five codesp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2" w:name="demographic-variables-used"/>
      <w:bookmarkEnd w:id="42"/>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3" w:name="data-analysis"/>
      <w:bookmarkEnd w:id="43"/>
      <w:r>
        <w:t xml:space="preserve">Data Analysis</w:t>
      </w:r>
    </w:p>
    <w:p>
      <w:pPr>
        <w:pStyle w:val="FirstParagraph"/>
      </w:pPr>
      <w:r>
        <w:t xml:space="preserve">The steps for both preliminary and the primary analyses are described in this section.</w:t>
      </w:r>
    </w:p>
    <w:p>
      <w:pPr>
        <w:pStyle w:val="Heading3"/>
      </w:pPr>
      <w:bookmarkStart w:id="44" w:name="preliminary-analyses"/>
      <w:bookmarkEnd w:id="44"/>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5" w:name="analysis-for-research-question-1-on-the-frequency-and-nature-of-work-with-data"/>
      <w:bookmarkEnd w:id="45"/>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w:t>
      </w:r>
    </w:p>
    <w:p>
      <w:pPr>
        <w:pStyle w:val="BodyText"/>
      </w:pPr>
      <w:r>
        <w:t xml:space="preserve">Specifically, first, the frequency of the codes for the individual aspects of work with data from the STEM PQA measure of work with data (described above in the measures) are calculated. Note that this coding frame was adapted from the existing STEM PQA measure. Also note that this coding frame was for instructional support for work with data. For these two reasons, while the codes for work with data align with the conceptual framework for work with data (see Figure 1 and its description), they focus on general aspects of STEM learning; part of this general focus is work with data.</w:t>
      </w:r>
    </w:p>
    <w:p>
      <w:pPr>
        <w:pStyle w:val="BodyText"/>
      </w:pPr>
      <w:r>
        <w:t xml:space="preserve">Then, to present a more in-depth description of work with data in the context of summer STEM programs, all of the segments were coded using an open-ended, qualtitative approach. To qualitatively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phenomenon being studied or a problem being investigated? If so, what is the phenomenon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Two coders coded every segment. 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w:t>
      </w:r>
    </w:p>
    <w:p>
      <w:pPr>
        <w:pStyle w:val="Heading3"/>
      </w:pPr>
      <w:bookmarkStart w:id="46" w:name="analysis-for-research-question-2-what-profiles-of-engagement-emerge"/>
      <w:bookmarkEnd w:id="46"/>
      <w:r>
        <w:t xml:space="preserve">Analysis for Research Question #2 (what profiles of engagement emerge)</w:t>
      </w:r>
    </w:p>
    <w:p>
      <w:pPr>
        <w:pStyle w:val="Heading4"/>
      </w:pPr>
      <w:bookmarkStart w:id="47" w:name="background-information-on-latent-profile-analysis-lpa"/>
      <w:bookmarkEnd w:id="47"/>
      <w:r>
        <w:t xml:space="preserve">Background information on Latent Profile Analysis (LPA)</w:t>
      </w:r>
    </w:p>
    <w:p>
      <w:pPr>
        <w:pStyle w:val="FirstParagraph"/>
      </w:pPr>
      <w:r>
        <w:t xml:space="preserve">LPA can be used to identify common patterns in learners’ ESM responses as part of a person-oriented analysis to construct the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w:t>
      </w:r>
    </w:p>
    <w:p>
      <w:pPr>
        <w:pStyle w:val="BodyText"/>
      </w:pPr>
      <w:r>
        <w:t xml:space="preserve">To answer this question, profiles are constructed with the five self-reported ESM measures for cognitive, behavioral, and affective engagement and perceptions of challenge and competence. Answers to this question will help to understand how the aspects of engagement relate to both one another and to key conditions that influence engagement.</w:t>
      </w:r>
    </w:p>
    <w:p>
      <w:pPr>
        <w:pStyle w:val="BodyText"/>
      </w:pPr>
      <w:r>
        <w:t xml:space="preserve">To create the profiles,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LPA allows for capturing the multidimensional nature of engagement and its conditions, as is the goal of the analysis for the present study.</w:t>
      </w:r>
    </w:p>
    <w:p>
      <w:pPr>
        <w:pStyle w:val="Heading4"/>
      </w:pPr>
      <w:bookmarkStart w:id="48" w:name="selecting-a-model-on-the-basis-of-fit-indices-and-other-techniques"/>
      <w:bookmarkEnd w:id="48"/>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 The number of profiles is determined on the basis of the log-likelihood and bootstrapped likelihood ratio test, entropy, Akaike Information Criteria, and Bayesian Information Criteria statistics, as well as concerns of parsimony and interpretability.</w:t>
      </w:r>
    </w:p>
    <w:p>
      <w:pPr>
        <w:pStyle w:val="BodyText"/>
      </w:pPr>
      <w:r>
        <w:t xml:space="preserve">First, I examined a wide range of model types (i.e., the parameterization of the model, with the six options described in the appendix as candidates) and the numbers of profiles. These roughly became more complex, with additional parameters estimated, as the number for the model type increases from one to six. 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w:t>
      </w:r>
    </w:p>
    <w:p>
      <w:pPr>
        <w:pStyle w:val="BodyText"/>
      </w:pPr>
      <w:r>
        <w:t xml:space="preserve">To select a model for use in subsequent analyses, the log-likelihood (LL),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Past research suggests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 Of the three statistical tests, the bootstrapped is considered to be the best indicator of which of two models, one nested (with certain parameters fixed to 0) within the other, fits better, but it is also the most computationally-intensive to carry out (Asparouhov &amp; Muthen, 2012).</w:t>
      </w:r>
    </w:p>
    <w:p>
      <w:pPr>
        <w:pStyle w:val="Heading3"/>
      </w:pPr>
      <w:bookmarkStart w:id="49" w:name="statistical-software-developed"/>
      <w:bookmarkEnd w:id="49"/>
      <w:r>
        <w:t xml:space="preserve">Statistical software developed</w:t>
      </w:r>
    </w:p>
    <w:p>
      <w:pPr>
        <w:pStyle w:val="FirstParagraph"/>
      </w:pPr>
      <w:r>
        <w:t xml:space="preserve">The MPlus software is used to carry out LPA as part of this study. In order to more flexibly carry out LPA, an open-source tool, tidyLPA (Rosenberg, Schmidt, &amp; Beymer, ),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50" w:name="analysis-for-research-question-3-how-work-with-data-relates-to-engagement"/>
      <w:bookmarkEnd w:id="50"/>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To answer this question, on how well the aspects of work with data predict the profiles, first, indicators for activities coded for any of the five aspects of work with data are used to predict each profile.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w:t>
      </w:r>
    </w:p>
    <w:p>
      <w:pPr>
        <w:pStyle w:val="Heading3"/>
      </w:pPr>
      <w:bookmarkStart w:id="51" w:name="analysis-for-research-question-4-how-youth-characteristics-relate-to-engagement"/>
      <w:bookmarkEnd w:id="51"/>
      <w:r>
        <w:t xml:space="preserve">Analysis for Research Question #4 (how youth characteristics relate to engagement)</w:t>
      </w:r>
    </w:p>
    <w:p>
      <w:pPr>
        <w:pStyle w:val="FirstParagraph"/>
      </w:pPr>
      <w:r>
        <w:t xml:space="preserve">Research question #4 is focused on how the relationships of work with data differ on the basis of pre-program interest and other youth characteristics–their gender and URM status. Like for the previous research question, models that account for the cross-classification of the moment and the youth are used.</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3" w:name="results"/>
      <w:bookmarkEnd w:id="53"/>
      <w:r>
        <w:t xml:space="preserve">Results</w:t>
      </w:r>
    </w:p>
    <w:p>
      <w:pPr>
        <w:pStyle w:val="FirstParagraph"/>
      </w:pPr>
      <w:r>
        <w:t xml:space="preserve">In this section, I present the results associated with the preliminary analysis and the four research questions.</w:t>
      </w:r>
    </w:p>
    <w:p>
      <w:pPr>
        <w:pStyle w:val="Heading2"/>
      </w:pPr>
      <w:bookmarkStart w:id="54" w:name="results-from-the-preliminary-analysis"/>
      <w:bookmarkEnd w:id="54"/>
      <w:r>
        <w:t xml:space="preserve">Results from the preliminary analysis</w:t>
      </w:r>
    </w:p>
    <w:p>
      <w:pPr>
        <w:pStyle w:val="Heading3"/>
      </w:pPr>
      <w:bookmarkStart w:id="55" w:name="descriptive-statistics-for-study-variables"/>
      <w:bookmarkEnd w:id="55"/>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6" w:name="correlations-among-study-variables"/>
      <w:bookmarkEnd w:id="56"/>
      <w:r>
        <w:t xml:space="preserve">Correlations among study variables</w:t>
      </w:r>
    </w:p>
    <w:p>
      <w:pPr>
        <w:pStyle w:val="FirstParagraph"/>
      </w:pPr>
      <w:r>
        <w:t xml:space="preserve">Next, correlations between individual aspects of work with data (and the composite) and the variables that are used to create the profiles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w:t>
      </w:r>
    </w:p>
    <w:p>
      <w:pPr>
        <w:pStyle w:val="Heading2"/>
      </w:pPr>
      <w:bookmarkStart w:id="57" w:name="results-for-research-question-1"/>
      <w:bookmarkEnd w:id="57"/>
      <w:r>
        <w:t xml:space="preserve">Results for Research Question #1</w:t>
      </w:r>
    </w:p>
    <w:p>
      <w:pPr>
        <w:pStyle w:val="Heading3"/>
      </w:pPr>
      <w:bookmarkStart w:id="58" w:name="frequency-of-work-with-data"/>
      <w:bookmarkEnd w:id="58"/>
      <w:r>
        <w:t xml:space="preserve">Frequency of work with data</w:t>
      </w:r>
    </w:p>
    <w:p>
      <w:pPr>
        <w:pStyle w:val="FirstParagraph"/>
      </w:pPr>
      <w:r>
        <w:t xml:space="preserve">From the coding with the STEM-PQA, work with data appears common. Out of the 248 segments, 12 were codeable for work with data; for these, issues with the video-recordings were the primary source of the missing data; in these cases, youth may have still replied to signals, but it was not possible to code for work with data associated with these responses.</w:t>
      </w:r>
    </w:p>
    <w:p>
      <w:pPr>
        <w:pStyle w:val="BodyText"/>
      </w:pPr>
      <w:r>
        <w:t xml:space="preserve">We can also examine the breakdown by program, which shows that, descriptively, there exists substantial variability.</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59" w:name="nature-of-work-with-data"/>
      <w:bookmarkEnd w:id="59"/>
      <w:r>
        <w:t xml:space="preserve">Nature of work with data</w:t>
      </w:r>
    </w:p>
    <w:p>
      <w:pPr>
        <w:pStyle w:val="FirstParagraph"/>
      </w:pPr>
      <w:r>
        <w:t xml:space="preserve">Each of the segments of video was coded. This coding resulted in approximately three to four sentence notes from each of two raters for every segment. I then reviewed these notes with the aim to identify themes based on enriching and better understanding the aspects of work with data.</w:t>
      </w:r>
    </w:p>
    <w:p>
      <w:pPr>
        <w:pStyle w:val="Heading4"/>
      </w:pPr>
      <w:bookmarkStart w:id="60" w:name="asking-questions-or-identifying-problems"/>
      <w:bookmarkEnd w:id="60"/>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clearly aligned with the conceptual framework for work with data. Qualitative coding showed that this aspect of work with data was highly variable. When the qualitative coding revealed this code to be present,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61" w:name="making-observations"/>
      <w:bookmarkEnd w:id="61"/>
      <w:r>
        <w:t xml:space="preserve">Making observations</w:t>
      </w:r>
    </w:p>
    <w:p>
      <w:pPr>
        <w:pStyle w:val="FirstParagraph"/>
      </w:pPr>
      <w:r>
        <w:t xml:space="preserve">Making observations occurred in 57 of the segments (as coded by the PQA), 49 which the open-ended coding revealed were clearly aligned with the coding frame,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62" w:name="generating-data"/>
      <w:bookmarkEnd w:id="62"/>
      <w:r>
        <w:t xml:space="preserve">Generating data</w:t>
      </w:r>
    </w:p>
    <w:p>
      <w:pPr>
        <w:pStyle w:val="FirstParagraph"/>
      </w:pPr>
      <w:r>
        <w:t xml:space="preserve">Generating data occurred in 102 segments (as coded by the PQA), 48 of which the in-depth analysis showed were aligned with the coding frame. When present based on qualitative codes,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evident, this was often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63" w:name="data-modeling"/>
      <w:bookmarkEnd w:id="63"/>
      <w:r>
        <w:t xml:space="preserve">Data modeling</w:t>
      </w:r>
    </w:p>
    <w:p>
      <w:pPr>
        <w:pStyle w:val="FirstParagraph"/>
      </w:pPr>
      <w:r>
        <w:t xml:space="preserve">Data modeling occurred in 68 segments (as coded by the PQA), 49 which were aligned with the coding frame.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done in a way aligned with the conceptual framework for work with data,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4" w:name="interpreting-and-communicating-findings"/>
      <w:bookmarkEnd w:id="64"/>
      <w:r>
        <w:t xml:space="preserve">Interpreting and communicating findings</w:t>
      </w:r>
    </w:p>
    <w:p>
      <w:pPr>
        <w:pStyle w:val="FirstParagraph"/>
      </w:pPr>
      <w:r>
        <w:t xml:space="preserve">Codes for interpreting and communicating were present in 103 segments (as coded by the PQA), in-depth, open-ended coding revealed 49 were aligned with the coding frame.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present, which was common,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3"/>
      </w:pPr>
      <w:bookmarkStart w:id="65" w:name="summary-of-findings-for-research-question-1"/>
      <w:bookmarkEnd w:id="65"/>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on the basis of the selection criteria you used (you can name them again if you wish), the six profile solution with varying means, equal variances and covariances fixed to 0 emerged as the best fit of the data. This was on the basis of fit statistics, statistical tests, and concerns of interpretability and parsimony. The model demonstrated superior fit on the basis of the information criteria (AIC and BIC) and on the basis of the measure of classification accuracy (entropy). A seven profile solution with the same specifications regarding means, variances and covariances was also a similarly good fit (and is presented in the Appendix), but the 6 profile solution was ultimately chosen on the basis of parsimony and interpretability.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6</w:t>
      </w:r>
    </w:p>
    <w:p>
      <w:pPr>
        <w:pStyle w:val="Compact"/>
        <w:numPr>
          <w:numId w:val="1005"/>
          <w:ilvl w:val="0"/>
        </w:numPr>
      </w:pPr>
      <w:r>
        <w:t xml:space="preserve">A</w:t>
      </w:r>
      <w:r>
        <w:t xml:space="preserve"> </w:t>
      </w:r>
      <w:r>
        <w:rPr>
          <w:i/>
        </w:rPr>
        <w:t xml:space="preserve">universally low</w:t>
      </w:r>
      <w:r>
        <w:t xml:space="preserve"> </w:t>
      </w:r>
      <w:r>
        <w:t xml:space="preserve">profile, profile 2</w:t>
      </w:r>
    </w:p>
    <w:p>
      <w:pPr>
        <w:pStyle w:val="Compact"/>
        <w:numPr>
          <w:numId w:val="1005"/>
          <w:ilvl w:val="0"/>
        </w:numPr>
      </w:pPr>
      <w:r>
        <w:t xml:space="preserve">A</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5"/>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3"/>
      </w:pPr>
      <w:bookmarkStart w:id="69" w:name="sources-of-variability-in-momentary-profiles"/>
      <w:bookmarkEnd w:id="69"/>
      <w:r>
        <w:t xml:space="preserve">Sources of variability in momentary profiles</w:t>
      </w:r>
    </w:p>
    <w:p>
      <w:pPr>
        <w:pStyle w:val="Heading4"/>
      </w:pPr>
      <w:bookmarkStart w:id="70" w:name="null-models"/>
      <w:bookmarkEnd w:id="70"/>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4"/>
      </w:pPr>
      <w:bookmarkStart w:id="71" w:name="variability-in-momentary-profiles-across-youth"/>
      <w:bookmarkEnd w:id="71"/>
      <w:r>
        <w:t xml:space="preserve">Variability in momentary profiles across youth</w:t>
      </w:r>
    </w:p>
    <w:p>
      <w:pPr>
        <w:pStyle w:val="FirstParagraph"/>
      </w:pPr>
      <w:r>
        <w:t xml:space="preserve">Variability in terms of the profiles youth report can also be considered. These show that a</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72"/>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73" w:name="summary-of-research-question-2-findings"/>
      <w:bookmarkEnd w:id="73"/>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4" w:name="results-for-research-question-3-how-do-data-practices-relate-to-youth-engagement-in-the-programs"/>
      <w:bookmarkEnd w:id="74"/>
      <w:r>
        <w:t xml:space="preserve">Results for Research Question #3: How do data practices relate to youth engagement in the programs?</w:t>
      </w:r>
    </w:p>
    <w:p>
      <w:pPr>
        <w:pStyle w:val="FirstParagraph"/>
      </w:pPr>
      <w:r>
        <w:t xml:space="preserve">For this question, models with the aspects of work with data both separate from and together with the youth characteristics were fit.</w:t>
      </w:r>
    </w:p>
    <w:p>
      <w:pPr>
        <w:pStyle w:val="BodyText"/>
      </w:pPr>
      <w:r>
        <w:t xml:space="preserve">The models only with the aspects of work with data yielded very similar results; see the appendix.</w:t>
      </w:r>
    </w:p>
    <w:p>
      <w:pPr>
        <w:pStyle w:val="BodyText"/>
      </w:pPr>
      <w:r>
        <w:t xml:space="preserve">The models with both together were also used as part of research question #4, though they are presented here (and interpreted in the sections for both results).</w:t>
      </w:r>
    </w:p>
    <w:p>
      <w:pPr>
        <w:pStyle w:val="BodyText"/>
      </w:pPr>
      <w:r>
        <w:t xml:space="preserve">–&gt;</w:t>
      </w:r>
    </w:p>
    <w:p>
      <w:pPr>
        <w:pStyle w:val="Heading3"/>
      </w:pPr>
      <w:bookmarkStart w:id="75" w:name="summary-of-findings-for-research-question-3"/>
      <w:bookmarkEnd w:id="75"/>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#4.</w:t>
      </w:r>
    </w:p>
    <w:p>
      <w:pPr>
        <w:pStyle w:val="Heading2"/>
      </w:pPr>
      <w:bookmarkStart w:id="76" w:name="results-for-research-question-4-how-do-youth-characteristics-relate-to-their-engagement-in-summer-stem-programs"/>
      <w:bookmarkEnd w:id="76"/>
      <w:r>
        <w:t xml:space="preserve">Results for Research Question #4: How do youth characteristics relate to their engagement in summer STEM programs?</w:t>
      </w:r>
    </w:p>
    <w:p>
      <w:pPr>
        <w:pStyle w:val="FirstParagraph"/>
      </w:pPr>
      <w:r>
        <w:t xml:space="preserve">For this question, models with the youth characteristics separate from and together with the aspects of work with data were fit.</w:t>
      </w:r>
    </w:p>
    <w:p>
      <w:pPr>
        <w:pStyle w:val="BodyText"/>
      </w:pPr>
      <w:r>
        <w:t xml:space="preserve">Like for the results for the previous question, the models only with the youth characteristics yielded very similar results; see the appendix.</w:t>
      </w:r>
    </w:p>
    <w:p>
      <w:pPr>
        <w:pStyle w:val="BodyText"/>
      </w:pPr>
      <w:r>
        <w:t xml:space="preserve">Thus, the model presented in the previous section with both youth characteristics and the aspects of work with data are interpreted here.</w:t>
      </w:r>
    </w:p>
    <w:p>
      <w:pPr>
        <w:pStyle w:val="Heading3"/>
      </w:pPr>
      <w:bookmarkStart w:id="77" w:name="pre-interest-gender-and-urm-status-and-the-aspects-work-with-data-seperately"/>
      <w:bookmarkEnd w:id="77"/>
      <w:r>
        <w:t xml:space="preserve">Pre-interest, gender, and URM status and the aspects work with data seperately</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m:oMath>
        <m:r>
          <m:t>β</m:t>
        </m:r>
      </m:oMath>
      <w:r>
        <w:t xml:space="preserve"> </w:t>
      </w:r>
      <w:r>
        <w:t xml:space="preserve">= 0.033 (0.018), p = .033). Being female is again related but not to a level that it meets the criteria for statistical significance (</w:t>
      </w:r>
      <m:oMath>
        <m:r>
          <m:t>β</m:t>
        </m:r>
      </m:oMath>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m:oMath>
        <m:r>
          <m:t>β</m:t>
        </m:r>
      </m:oMath>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m:oMath>
        <m:r>
          <m:t>β</m:t>
        </m:r>
      </m:oMath>
      <w:r>
        <w:t xml:space="preserve"> </w:t>
      </w:r>
      <w:r>
        <w:t xml:space="preserve">= 0.012 (0.006), p = .026). However, only 1.953% of the effect would need to be due to bias to invalidate the inference. The R</w:t>
      </w:r>
      <w:r>
        <w:rPr>
          <w:vertAlign w:val="superscript"/>
        </w:rPr>
        <w:t xml:space="preserve">2</w:t>
      </w:r>
      <w:r>
        <w:t xml:space="preserve"> </w:t>
      </w:r>
      <w:r>
        <w:t xml:space="preserve">values, relative to the models with only random effects (the null models), increased from .003 to .028, again suggesting small effects of the predictors upon the profiles. Note that</w:t>
      </w:r>
      <w:r>
        <w:t xml:space="preserve"> </w:t>
      </w:r>
      <w:r>
        <w:t xml:space="preserve">“</w:t>
      </w:r>
      <w:r>
        <w:t xml:space="preserve">Comp.</w:t>
      </w:r>
      <w:r>
        <w:t xml:space="preserve">”</w:t>
      </w:r>
      <w:r>
        <w:t xml:space="preserve"> </w:t>
      </w:r>
      <w:r>
        <w:t xml:space="preserve">refers to the data modeling composite.</w:t>
      </w:r>
    </w:p>
    <w:p>
      <w:pPr>
        <w:pStyle w:val="Heading3"/>
      </w:pPr>
      <w:bookmarkStart w:id="78" w:name="pre-interest-gender-and-urm-status-interactions-work-with-the-codes-for-work-with-data"/>
      <w:bookmarkEnd w:id="78"/>
      <w:r>
        <w:t xml:space="preserve">Pre-interest, gender, and URM status interactions work with the codes for work with data</w:t>
      </w:r>
    </w:p>
    <w:p>
      <w:pPr>
        <w:pStyle w:val="FirstParagraph"/>
      </w:pPr>
      <w:r>
        <w:t xml:space="preserve">Here, interactions for the aspects of work with data that were statistically significant are considered.</w:t>
      </w:r>
    </w:p>
    <w:p>
      <w:pPr>
        <w:pStyle w:val="Heading3"/>
      </w:pPr>
      <w:bookmarkStart w:id="79" w:name="summary-of-findings-for-research-question-4"/>
      <w:bookmarkEnd w:id="79"/>
      <w:r>
        <w:t xml:space="preserve">Summary of findings for research question #4</w:t>
      </w:r>
    </w:p>
    <w:p>
      <w:pPr>
        <w:pStyle w:val="FirstParagraph"/>
      </w:pPr>
      <w:r>
        <w:t xml:space="preserve">When looking across findings, we find minimal relations between pre-interest and other individual characteristics.</w:t>
      </w:r>
    </w:p>
    <w:p>
      <w:pPr>
        <w:pStyle w:val="SourceCode"/>
      </w:pPr>
      <w:r>
        <w:rPr>
          <w:rStyle w:val="VerbatimChar"/>
        </w:rPr>
        <w:t xml:space="preserve">## Error in mtcars %&gt;% select(hp) %&gt;% names(ds4) &lt;- names(oo) &lt;- c("Profile", : could not find function "%&gt;%&lt;-"</w:t>
      </w:r>
    </w:p>
    <w:p>
      <w:pPr>
        <w:pStyle w:val="FirstParagraph"/>
      </w:pPr>
      <w:r>
        <w:t xml:space="preserve">In particular, we found that pre-interest was related to the</w:t>
      </w:r>
      <w:r>
        <w:t xml:space="preserve"> </w:t>
      </w:r>
      <w:r>
        <w:rPr>
          <w:i/>
        </w:rPr>
        <w:t xml:space="preserve">engaged and competent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w:t>
      </w:r>
      <w:r>
        <w:rPr>
          <w:vertAlign w:val="superscript"/>
        </w:rPr>
        <w:t xml:space="preserve">2</w:t>
      </w:r>
      <w:r>
        <w:t xml:space="preserve"> </w:t>
      </w:r>
      <w:r>
        <w:t xml:space="preserve">value as a consequence of adding this interaction), and the effect appears to not be highly robust to potential sources of bias. Like for research question #2, reasons for why this may be are explored in the next chapter.</w:t>
      </w:r>
    </w:p>
    <w:p>
      <w:pPr>
        <w:pStyle w:val="Heading1"/>
      </w:pPr>
      <w:bookmarkStart w:id="80" w:name="discussion"/>
      <w:bookmarkEnd w:id="80"/>
      <w:r>
        <w:t xml:space="preserve">Discussion</w:t>
      </w:r>
    </w:p>
    <w:p>
      <w:pPr>
        <w:pStyle w:val="Heading2"/>
      </w:pPr>
      <w:bookmarkStart w:id="81" w:name="key-findings"/>
      <w:bookmarkEnd w:id="81"/>
      <w:r>
        <w:t xml:space="preserve">Key Findings</w:t>
      </w:r>
    </w:p>
    <w:p>
      <w:pPr>
        <w:pStyle w:val="Heading3"/>
      </w:pPr>
      <w:bookmarkStart w:id="82" w:name="key-findings-for-research-question-1-on-the-frequency-and-nature-of-work-with-data"/>
      <w:bookmarkEnd w:id="82"/>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83" w:name="key-findings-for-research-question-2-what-profiles-of-engagement-emerge"/>
      <w:bookmarkEnd w:id="83"/>
      <w:r>
        <w:t xml:space="preserve">Key findings for research question #2 (what profiles of engagement emerge)</w:t>
      </w:r>
    </w:p>
    <w:p>
      <w:pPr>
        <w:pStyle w:val="FirstParagraph"/>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84" w:name="key-findings-for-research-question-3-how-work-with-data-relates-to-engagement"/>
      <w:bookmarkEnd w:id="84"/>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85" w:name="key-findings-for-research-question-4-how-youth-characteristics-relate-to-engagement"/>
      <w:bookmarkEnd w:id="85"/>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86" w:name="limitations-of-the-study-and-recommendations-for-future-research"/>
      <w:bookmarkEnd w:id="86"/>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87" w:name="implications-for-practice"/>
      <w:bookmarkEnd w:id="87"/>
      <w:r>
        <w:t xml:space="preserve">Implications for Practice</w:t>
      </w:r>
    </w:p>
    <w:p>
      <w:pPr>
        <w:pStyle w:val="Heading3"/>
      </w:pPr>
      <w:bookmarkStart w:id="88" w:name="engage-youth-in-key-aspects-of-work-with-data"/>
      <w:bookmarkEnd w:id="88"/>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89" w:name="leverage-the-affordances-of-summer-stem-and-other-stem-enrichment-programs"/>
      <w:bookmarkEnd w:id="89"/>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90" w:name="consider-the-constraints-of-summer-stem-and-other-stem-enrichment-programs"/>
      <w:bookmarkEnd w:id="90"/>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91" w:name="conclusion"/>
      <w:bookmarkEnd w:id="91"/>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92" w:name="references"/>
      <w:bookmarkEnd w:id="92"/>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3">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4">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5">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96">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7">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8">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9">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00">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1">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2">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3">
        <w:r>
          <w:rPr>
            <w:rStyle w:val="Hyperlink"/>
          </w:rPr>
          <w:t xml:space="preserve">https://jakewestfall.shinyapps.io/pangea/</w:t>
        </w:r>
      </w:hyperlink>
      <w:r>
        <w:br w:type="textWrapping"/>
      </w:r>
      <w:r>
        <w:t xml:space="preserve">Wickham, H. (2018). CRAN downloads. Retrieved from</w:t>
      </w:r>
      <w:r>
        <w:t xml:space="preserve"> </w:t>
      </w:r>
      <w:hyperlink r:id="rId104">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5">
        <w:r>
          <w:rPr>
            <w:rStyle w:val="Hyperlink"/>
          </w:rPr>
          <w:t xml:space="preserve">doi:10.1007/s10648-016-9358-2</w:t>
        </w:r>
      </w:hyperlink>
    </w:p>
    <w:p>
      <w:pPr>
        <w:pStyle w:val="Heading1"/>
      </w:pPr>
      <w:bookmarkStart w:id="106" w:name="appendix"/>
      <w:bookmarkEnd w:id="106"/>
      <w:r>
        <w:t xml:space="preserve">Appendix</w:t>
      </w:r>
    </w:p>
    <w:p>
      <w:pPr>
        <w:pStyle w:val="Heading2"/>
      </w:pPr>
      <w:bookmarkStart w:id="107" w:name="appendix-a-stem-pqa-alignment"/>
      <w:bookmarkEnd w:id="107"/>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108" w:name="appendix-b-program-descriptions"/>
      <w:bookmarkEnd w:id="108"/>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109" w:name="appendix-c-model-specifications-details"/>
      <w:bookmarkEnd w:id="109"/>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10" w:name="varying-means-equal-variances-and-covariances-fixed-to-0-model-1"/>
      <w:bookmarkEnd w:id="110"/>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11" w:name="varying-means-equal-variances-and-equal-covariances-model-2"/>
      <w:bookmarkEnd w:id="111"/>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12" w:name="varying-means-varying-variances-and-covariances-fixed-to-0-model-3"/>
      <w:bookmarkEnd w:id="112"/>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13" w:name="varying-means-varying-variances-and-equal-covariances-model-4"/>
      <w:bookmarkEnd w:id="113"/>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14" w:name="varying-means-equal-variances-and-varying-covariances-model-5"/>
      <w:bookmarkEnd w:id="114"/>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15" w:name="varying-means-varying-variances-and-varying-covariances-model-6"/>
      <w:bookmarkEnd w:id="115"/>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16" w:name="appendix-d-additional-details-on-the-model-selection-process"/>
      <w:bookmarkEnd w:id="116"/>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8"/>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9" w:name="appendix-e-alternate-model-selected-model-type-1-seven-profile-solution"/>
      <w:bookmarkEnd w:id="119"/>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20"/>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21"/>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451d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f49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785a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hyperlink" Id="rId105" Target="doi:10.1007/s10648-016-9358-2" TargetMode="External" /><Relationship Type="http://schemas.openxmlformats.org/officeDocument/2006/relationships/hyperlink" Id="rId100" Target="doi:10.1080/00461520.2014.1002924" TargetMode="External" /><Relationship Type="http://schemas.openxmlformats.org/officeDocument/2006/relationships/hyperlink" Id="rId93" Target="http://doi.org/10.1002/j.2161-0045.2015.00097.x" TargetMode="External" /><Relationship Type="http://schemas.openxmlformats.org/officeDocument/2006/relationships/hyperlink" Id="rId101" Target="http://doi.org/10.1007/s10964-007-9241-z" TargetMode="External" /><Relationship Type="http://schemas.openxmlformats.org/officeDocument/2006/relationships/hyperlink" Id="rId97" Target="http://dx.doi.org/10.1016/j.learninstruc.2017.07.007" TargetMode="External" /><Relationship Type="http://schemas.openxmlformats.org/officeDocument/2006/relationships/hyperlink" Id="rId96" Target="http://dx.doi.org/10.1037/edu0000214" TargetMode="External" /><Relationship Type="http://schemas.openxmlformats.org/officeDocument/2006/relationships/hyperlink" Id="rId102" Target="http://faculty.sites.uci.edu/childcare/files/2013/07/SL-Outcomes-2011-Pilot_Edited_8.19.pdf" TargetMode="External" /><Relationship Type="http://schemas.openxmlformats.org/officeDocument/2006/relationships/hyperlink" Id="rId94" Target="https://doi.org/10.1007/978-1-4614-2018-7_37" TargetMode="External" /><Relationship Type="http://schemas.openxmlformats.org/officeDocument/2006/relationships/hyperlink" Id="rId99" Target="https://dx.doi.org/10.1002/tea.21409" TargetMode="External" /><Relationship Type="http://schemas.openxmlformats.org/officeDocument/2006/relationships/hyperlink" Id="rId104" Target="https://hadley.shinyapps.io/cran-downloads/" TargetMode="External" /><Relationship Type="http://schemas.openxmlformats.org/officeDocument/2006/relationships/hyperlink" Id="rId103" Target="https://jakewestfall.shinyapps.io/pangea/" TargetMode="External" /><Relationship Type="http://schemas.openxmlformats.org/officeDocument/2006/relationships/hyperlink" Id="rId98" Target="https://jrosen48.github.io/r-markdown/comparing-mplus-mclust.html" TargetMode="External" /><Relationship Type="http://schemas.openxmlformats.org/officeDocument/2006/relationships/hyperlink" Id="rId95"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5" Target="doi:10.1007/s10648-016-9358-2" TargetMode="External" /><Relationship Type="http://schemas.openxmlformats.org/officeDocument/2006/relationships/hyperlink" Id="rId100" Target="doi:10.1080/00461520.2014.1002924" TargetMode="External" /><Relationship Type="http://schemas.openxmlformats.org/officeDocument/2006/relationships/hyperlink" Id="rId93" Target="http://doi.org/10.1002/j.2161-0045.2015.00097.x" TargetMode="External" /><Relationship Type="http://schemas.openxmlformats.org/officeDocument/2006/relationships/hyperlink" Id="rId101" Target="http://doi.org/10.1007/s10964-007-9241-z" TargetMode="External" /><Relationship Type="http://schemas.openxmlformats.org/officeDocument/2006/relationships/hyperlink" Id="rId97" Target="http://dx.doi.org/10.1016/j.learninstruc.2017.07.007" TargetMode="External" /><Relationship Type="http://schemas.openxmlformats.org/officeDocument/2006/relationships/hyperlink" Id="rId96" Target="http://dx.doi.org/10.1037/edu0000214" TargetMode="External" /><Relationship Type="http://schemas.openxmlformats.org/officeDocument/2006/relationships/hyperlink" Id="rId102" Target="http://faculty.sites.uci.edu/childcare/files/2013/07/SL-Outcomes-2011-Pilot_Edited_8.19.pdf" TargetMode="External" /><Relationship Type="http://schemas.openxmlformats.org/officeDocument/2006/relationships/hyperlink" Id="rId94" Target="https://doi.org/10.1007/978-1-4614-2018-7_37" TargetMode="External" /><Relationship Type="http://schemas.openxmlformats.org/officeDocument/2006/relationships/hyperlink" Id="rId99" Target="https://dx.doi.org/10.1002/tea.21409" TargetMode="External" /><Relationship Type="http://schemas.openxmlformats.org/officeDocument/2006/relationships/hyperlink" Id="rId104" Target="https://hadley.shinyapps.io/cran-downloads/" TargetMode="External" /><Relationship Type="http://schemas.openxmlformats.org/officeDocument/2006/relationships/hyperlink" Id="rId103" Target="https://jakewestfall.shinyapps.io/pangea/" TargetMode="External" /><Relationship Type="http://schemas.openxmlformats.org/officeDocument/2006/relationships/hyperlink" Id="rId98" Target="https://jrosen48.github.io/r-markdown/comparing-mplus-mclust.html" TargetMode="External" /><Relationship Type="http://schemas.openxmlformats.org/officeDocument/2006/relationships/hyperlink" Id="rId95"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2018-05-01T20:50:24Z</dcterms:created>
  <dcterms:modified xsi:type="dcterms:W3CDTF">2018-05-01T20:50:24Z</dcterms:modified>
</cp:coreProperties>
</file>