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100.png" ContentType="image/png"/>
  <Override PartName="/word/media/rId102.png" ContentType="image/png"/>
  <Override PartName="/word/media/rId104.png" ContentType="image/png"/>
  <Override PartName="/word/media/rId63.png" ContentType="image/png"/>
  <Override PartName="/word/media/rId64.png" ContentType="image/png"/>
  <Override PartName="/word/media/rId106.png" ContentType="image/png"/>
  <Override PartName="/word/media/rId108.png" ContentType="image/png"/>
  <Override PartName="/word/media/rId111.png" ContentType="image/png"/>
  <Override PartName="/word/media/rId113.png" ContentType="image/png"/>
  <Override PartName="/word/media/rId115.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2018-04-20</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 are created by us, for us, and about us, although at present opportunities for learners to analyze data in educational settings remain limited. Data analysis includes processes of collecting, creating, modeling data, and asking questions that may be answered with data and making sense of findings. Analyzing data in educational settings, then, is more than just crunching numbers or interpreting a figure created by someone else, but rather is about making sense of phenomena and problem solving (Wild &amp; Pfannkuch, 1999). Data analysis and its processes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the process of key data analytic practices, particularly the practices of generating measures of phenomena and creating data models—as an organizing activity in science and mathematics content areas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While scholars have looked at cognitive outcomes and learners’ capability to participate in specific, key aspects of data analysis as well as strategies to address key challenges of doing so, we have not yet examined key data analytic practices in terms of engagement theory. Contemporary engagement theory offers a framework with which to understand learners’ experience of engaging in these practices, referred to as work with data in the remainder of this study because it considers multiple dimensions of experiencing engagement and its dynamic nature (Fredricks &amp; McColskey, 2012). Scholars commonly consider engagement in terms of its cognitive (i.e., use of meta-cognitive learning strategies), behavioral (hard work on a task), and affective dimensions (enjoyment; Fredricks, Blumenfeld, &amp; Paris, 2004; Sinatra, Heddy, &amp; Lombardi, 2015; Skinner &amp; Pitzer, 2012).</w:t>
      </w:r>
    </w:p>
    <w:p>
      <w:pPr>
        <w:pStyle w:val="BodyText"/>
      </w:pPr>
      <w:r>
        <w:t xml:space="preserve">In recognition of its dynamic nature, some engagement scholars have usefully drawn upon flow theory (Csikszentmihalyi, 1990, 1997) to identify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engagement in work with data and the conditions that support it.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as well as instructional support for engaging in aspects of work with data. Engagement in work with data is explored in the context of outside-of-school STEM enrichment programs carried out during the summer. 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1"/>
      </w:pPr>
      <w:bookmarkStart w:id="22" w:name="literature-review"/>
      <w:bookmarkEnd w:id="22"/>
      <w:r>
        <w:t xml:space="preserve">Literature Review</w:t>
      </w:r>
    </w:p>
    <w:p>
      <w:pPr>
        <w:pStyle w:val="FirstParagraph"/>
      </w:pPr>
      <w:r>
        <w:t xml:space="preserve">What is data analysis and what has past research taught us about it? This section defines data analysis as a key practice across STEM domains, with a focus on work with data as activities that are both very specific to work with data (i.e., constructing measures and data modeling) and activities that are more general across STEM domains (i.e., asking questions and interpreting findings). This section also 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 can impact learners’ engagement,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As described in the introduction to this section,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 1) creating data through constructing measures and collecting data and 2) accounting for variability in data through models, or data modeling (English, 2012; Hancock et al., 1992; Lehrer &amp; Romberg, 1996; Lesh et al., 2008).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Scholars have conceived of working with data in different ways, but some core components have emerged.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The five aspects of work with data. The definition of working with data used in the present study represents a synthesis across these existing accounts of this process and focuses on five aspects that are common to them. Engagement in work with data, then, includes five processes that are part of a cycle (Franklin et al., 2007; Lee &amp; Tran, 2015; Wild &amp; Pfannkuch, 1999). Those processes are: asking questions or identifying problems, making observations, generating data, data modeling (to account for variability or uncertainty), and interpreting and communicating findings.</w:t>
      </w:r>
    </w:p>
    <w:p>
      <w:pPr>
        <w:pStyle w:val="BodyText"/>
      </w:pPr>
      <w:r>
        <w:t xml:space="preserve">The five practices depicted in Figure 1, are a cycle because not only does each part follow that before it, but also because the overall process is iterative: interpreting findings commonly leads to new questions and subsequent engagement in work with data. The first process, asking questions, is about generating questions that can be answered with empirical evidence. The next, making observations is about watching phenomena and noticing what is happening with respect to the phenomena or problem being investigated. This is followed by generating data, the process of figuring out how or why to inscribe an observation as data about a phenomena, as well as generating coding frames or tools for measuring. Next, because data are often messy, data modeling is a necessary step follows from its creation or collection. Data models include simple statistics, such as the mean and variance, as well as more complicated models, such as linear models and extensions of the linear model. Finally, the last step is to interpret and communicate findings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we will discuss later, these factors might have the potential to impact engagement through the proximal conditions of challenge and competence.</w:t>
      </w:r>
    </w:p>
    <w:p>
      <w:pPr>
        <w:pStyle w:val="BodyText"/>
      </w:pPr>
      <w:r>
        <w:t xml:space="preserve">The role of work with data in the curriculum. 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we already know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5" w:name="what-we-know-and-do-not-know-about-engagement-in-work-with-data"/>
      <w:bookmarkEnd w:id="25"/>
      <w:r>
        <w:t xml:space="preserve">What We Know (And Do Not Know) About Engagement in Work with Data</w:t>
      </w:r>
    </w:p>
    <w:p>
      <w:pPr>
        <w:pStyle w:val="FirstParagraph"/>
      </w:pPr>
      <w:r>
        <w:t xml:space="preserve">Research related to engagement in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r>
        <w:t xml:space="preserve"> </w:t>
      </w:r>
      <w:r>
        <w:t xml:space="preserve">1. Specific cognitive outcomes</w:t>
      </w:r>
      <w:r>
        <w:t xml:space="preserve"> </w:t>
      </w:r>
      <w:r>
        <w:t xml:space="preserve">2. Learners’ capability to participate in each of the aspects of work with data</w:t>
      </w:r>
      <w:r>
        <w:t xml:space="preserve"> </w:t>
      </w:r>
      <w:r>
        <w:t xml:space="preserve">3. Strategies to address key challenges of engaging in each of the aspects of work with data</w:t>
      </w:r>
    </w:p>
    <w:p>
      <w:pPr>
        <w:pStyle w:val="BodyText"/>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6" w:name="engagement-in-stem-domains"/>
      <w:bookmarkEnd w:id="26"/>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engagement—about involvement in activities—past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and support from the instructors.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Instructional support for work with data is also considered through the creation of codes for activities in which students are involved with data and the instructors are providing support for the activity in which they are engaged.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7" w:name="using-esm-to-study-the-dynamics-of-engagement"/>
      <w:bookmarkEnd w:id="27"/>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how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8" w:name="a-person-oriented-approach-to-engagement"/>
      <w:bookmarkEnd w:id="28"/>
      <w:r>
        <w:t xml:space="preserve">A Person-Oriented Approach to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engagement and its conditions that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29" w:name="need-for-the-present-study"/>
      <w:bookmarkEnd w:id="29"/>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 in terms of contemporary engagement theory. Doing so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0" w:name="conceptual-framework"/>
      <w:bookmarkEnd w:id="30"/>
      <w:r>
        <w:t xml:space="preserve">Conceptual Framework</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1"/>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r>
        <w:t xml:space="preserve"> </w:t>
      </w:r>
      <w:r>
        <w:t xml:space="preserve">1. Asking questions or identifying problems</w:t>
      </w:r>
      <w:r>
        <w:t xml:space="preserve"> </w:t>
      </w:r>
      <w:r>
        <w:t xml:space="preserve">2. Making observations</w:t>
      </w:r>
      <w:r>
        <w:t xml:space="preserve"> </w:t>
      </w:r>
      <w:r>
        <w:t xml:space="preserve">3. Generating data</w:t>
      </w:r>
      <w:r>
        <w:t xml:space="preserve"> </w:t>
      </w:r>
      <w:r>
        <w:t xml:space="preserve">4. Data modeling</w:t>
      </w:r>
      <w:r>
        <w:t xml:space="preserve"> </w:t>
      </w:r>
      <w:r>
        <w:t xml:space="preserve">5. Interpreting and communicating findings</w:t>
      </w:r>
    </w:p>
    <w:p>
      <w:pPr>
        <w:pStyle w:val="BodyText"/>
      </w:pPr>
      <w:r>
        <w:t xml:space="preserve">In addition to these five aspects of work with data, two activities that are not part of work with data will be coded so engagement in each aspect of work with data can be compared to other during other times. Other instructional activities, such as listening to a lecture by an instructor, and other activities, such as activities characterized by students being not focused on STEM, off-task, or unfocused.</w:t>
      </w:r>
    </w:p>
    <w:p>
      <w:pPr>
        <w:pStyle w:val="BodyText"/>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Heading2"/>
      </w:pPr>
      <w:bookmarkStart w:id="32" w:name="research-questions"/>
      <w:bookmarkEnd w:id="32"/>
      <w:r>
        <w:t xml:space="preserve">Research Questions</w:t>
      </w:r>
    </w:p>
    <w:p>
      <w:pPr>
        <w:pStyle w:val="FirstParagraph"/>
      </w:pPr>
      <w:r>
        <w:t xml:space="preserve">The four research questions are as follows:</w:t>
      </w:r>
    </w:p>
    <w:p>
      <w:pPr>
        <w:pStyle w:val="Compact"/>
        <w:numPr>
          <w:numId w:val="1001"/>
          <w:ilvl w:val="0"/>
        </w:numPr>
      </w:pPr>
      <w:r>
        <w:t xml:space="preserve">What is the frequency and nature of opportunities for youth to engage in each of the five aspects of work with data in summer STEM programs?</w:t>
      </w:r>
    </w:p>
    <w:p>
      <w:pPr>
        <w:pStyle w:val="Compact"/>
        <w:numPr>
          <w:numId w:val="1001"/>
          <w:ilvl w:val="0"/>
        </w:numPr>
      </w:pPr>
      <w:r>
        <w:t xml:space="preserve">What profiles of youth engagement and its conditions emerge from experiential data collected in these programs?</w:t>
      </w:r>
    </w:p>
    <w:p>
      <w:pPr>
        <w:pStyle w:val="Compact"/>
        <w:numPr>
          <w:numId w:val="1001"/>
          <w:ilvl w:val="0"/>
        </w:numPr>
      </w:pPr>
      <w:r>
        <w:t xml:space="preserve">How does youth engagement relate to data practices?</w:t>
      </w:r>
    </w:p>
    <w:p>
      <w:pPr>
        <w:pStyle w:val="Compact"/>
        <w:numPr>
          <w:numId w:val="1001"/>
          <w:ilvl w:val="0"/>
        </w:numPr>
      </w:pPr>
      <w:r>
        <w:t xml:space="preserve">How do youth characteristics relate to their engagement in summer STEM programs?</w:t>
      </w:r>
    </w:p>
    <w:p>
      <w:pPr>
        <w:pStyle w:val="Heading1"/>
      </w:pPr>
      <w:bookmarkStart w:id="33" w:name="method"/>
      <w:bookmarkEnd w:id="33"/>
      <w:r>
        <w:t xml:space="preserve">Method</w:t>
      </w:r>
    </w:p>
    <w:p>
      <w:pPr>
        <w:pStyle w:val="FirstParagraph"/>
      </w:pPr>
      <w:r>
        <w:t xml:space="preserve">This study uses ESM (Hektner et al., 2007) data collected as part of a study of learners’ interest and engagement in outside-of-school STEM enrichment programs (Shumow &amp; Schmidt, 2013). It makes use of a sequential exploratory data analysis strategy, in which qualitative data is analyzed to enrich quantitative findings (Creswell, Clark, Gutmann, &amp; Hanson, 2003). In particular, moments in which learners are particularly engaged are identified as part of the quantitative analysis; these moments are then coded qualitatively to identify their common characteristics, first through an inductive step and then through a confirmatory step involving a second rater. While programs have been video-recorded, the video has not been coded for the aspects of work with data, and the other measures from ESM and pre-survey data are to be constructed for this study.</w:t>
      </w:r>
      <w:r>
        <w:t xml:space="preserve"> </w:t>
      </w:r>
      <w:r>
        <w:t xml:space="preserve">## Participants</w:t>
      </w:r>
    </w:p>
    <w:p>
      <w:pPr>
        <w:pStyle w:val="BodyText"/>
      </w:pPr>
      <w:r>
        <w:t xml:space="preserve">Participants consist of 203 youth. Students in these programs are from diverse racial and ethnic backgrounds (see Table 1). Most participants are around 13 years old (from students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4" w:name="context"/>
      <w:bookmarkEnd w:id="34"/>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Students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rocedure"/>
      <w:bookmarkEnd w:id="35"/>
      <w:r>
        <w:t xml:space="preserve">Procedure</w:t>
      </w:r>
    </w:p>
    <w:p>
      <w:pPr>
        <w:pStyle w:val="FirstParagraph"/>
      </w:pPr>
      <w:r>
        <w:t xml:space="preserve">Students completed a pre-survey before the program. Students also completed pre- and post-course surveys of their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students were signaled four times. These signals were at the same time for all of the students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who recorded detailed field notes on the nature of program activities. So that measures corresponding to the video and ESM data can be matched, videos include a signal from the video-recorder identifying the ESM signal to which students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6" w:name="data-sources-and-measures"/>
      <w:bookmarkEnd w:id="36"/>
      <w:r>
        <w:t xml:space="preserve">Data Sources and Measures</w:t>
      </w:r>
    </w:p>
    <w:p>
      <w:pPr>
        <w:pStyle w:val="FirstParagraph"/>
      </w:pPr>
      <w:r>
        <w:t xml:space="preserve">Data sources consist of self-reported ESM measures of engagement and learners’ perceptions of themselves and the activity, pre-survey measures of students’ interest, students’ demographic information, and video-recordings of programs.</w:t>
      </w:r>
    </w:p>
    <w:p>
      <w:pPr>
        <w:pStyle w:val="Heading3"/>
      </w:pPr>
      <w:bookmarkStart w:id="37" w:name="esm-measures-of-learners-engagement-and-its-conditions"/>
      <w:bookmarkEnd w:id="37"/>
      <w:r>
        <w:t xml:space="preserve">ESM measures of learners’ engagement and its conditions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students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8" w:name="survey-measures-of-pre-interest"/>
      <w:bookmarkEnd w:id="38"/>
      <w:r>
        <w:t xml:space="preserve">Survey measures of pre-interest</w:t>
      </w:r>
    </w:p>
    <w:p>
      <w:pPr>
        <w:pStyle w:val="FirstParagraph"/>
      </w:pPr>
      <w:r>
        <w:t xml:space="preserve">Measures of students’ pre-interest are used as student-level influencers of PECs. In particular, three items adapted from Vandell, Hall, O’Cadiz, and Karsh (2012) were used, with directions for students to rate their agreement with the items’ text using the same scale as the ESM items: Not at all (associated with the number 1 on the survey), A little (2), Somewhat (3), and Very Much (4).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39" w:name="codes-for-instructional-support-for-work-with-data-from-the-video-recordings"/>
      <w:bookmarkEnd w:id="39"/>
      <w:r>
        <w:t xml:space="preserve">Codes for instructional support for work with data from the video-recordings</w:t>
      </w:r>
    </w:p>
    <w:p>
      <w:pPr>
        <w:pStyle w:val="FirstParagraph"/>
      </w:pPr>
      <w:r>
        <w:t xml:space="preserve">Different aspects of instructional support for work with data are identified from video-recordings with the use of a coding frame with five for each of the aspects of instructional support for work with data. These codes are developed from the STEM-Program Quality Assessment (STEM-PQA; Forum for Youth Investment, 2012), an assessment of quality programming in after school programs. Specific details on how the measure aligns with the original STEM-PQA on which this measure is based are presented in the appendix.</w:t>
      </w:r>
    </w:p>
    <w:p>
      <w:pPr>
        <w:pStyle w:val="TableCaption"/>
      </w:pPr>
      <w:r>
        <w:t xml:space="preserve">Table 4 Coding Frame for Instructional Support for Work With Data</w:t>
      </w:r>
    </w:p>
    <w:tbl>
      <w:tblPr>
        <w:tblStyle w:val="TableNormal"/>
        <w:tblW w:type="pct" w:w="0.0"/>
        <w:tblLook w:firstRow="1"/>
        <w:tblCaption w:val="Table 4 Coding Frame for Instructional Support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demographic-variables"/>
      <w:bookmarkEnd w:id="40"/>
      <w:r>
        <w:t xml:space="preserve">Demographic variables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students’ racial and ethnic group being Hispanic, African American, Asian or Pacific Islanders, or native American.</w:t>
      </w:r>
    </w:p>
    <w:p>
      <w:pPr>
        <w:pStyle w:val="Heading2"/>
      </w:pPr>
      <w:bookmarkStart w:id="41" w:name="data-analysis"/>
      <w:bookmarkEnd w:id="41"/>
      <w:r>
        <w:t xml:space="preserve">Data Analysis</w:t>
      </w:r>
    </w:p>
    <w:p>
      <w:pPr>
        <w:pStyle w:val="FirstParagraph"/>
      </w:pPr>
      <w:r>
        <w:t xml:space="preserve">Before analyzing data to answer the research questions, preliminary analyses are carried out. The steps for both preliminary and the primary analyses are described in this section.</w:t>
      </w:r>
    </w:p>
    <w:p>
      <w:pPr>
        <w:pStyle w:val="Heading3"/>
      </w:pPr>
      <w:bookmarkStart w:id="42" w:name="preliminary-analyses"/>
      <w:bookmarkEnd w:id="42"/>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student, program, and moment is examined.</w:t>
      </w:r>
    </w:p>
    <w:p>
      <w:pPr>
        <w:pStyle w:val="Heading3"/>
      </w:pPr>
      <w:bookmarkStart w:id="43" w:name="analysis-for-research-question-1"/>
      <w:bookmarkEnd w:id="43"/>
      <w:r>
        <w:t xml:space="preserve">Analysis for Research Question #1</w:t>
      </w:r>
    </w:p>
    <w:p>
      <w:pPr>
        <w:pStyle w:val="FirstParagraph"/>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BodyText"/>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Heading3"/>
      </w:pPr>
      <w:bookmarkStart w:id="44" w:name="analysis-for-research-question-2"/>
      <w:bookmarkEnd w:id="44"/>
      <w:r>
        <w:t xml:space="preserve">Analysis for Research Question #2</w:t>
      </w:r>
    </w:p>
    <w:p>
      <w:pPr>
        <w:pStyle w:val="FirstParagraph"/>
      </w:pPr>
      <w:r>
        <w:t xml:space="preserve">To answer this question, on how well the aspects of instructional support for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45" w:name="analysis-for-research-question-3"/>
      <w:bookmarkEnd w:id="45"/>
      <w:r>
        <w:t xml:space="preserve">Analysis for Research Question #3</w:t>
      </w:r>
    </w:p>
    <w:p>
      <w:pPr>
        <w:pStyle w:val="FirstParagraph"/>
      </w:pPr>
      <w:r>
        <w:t xml:space="preserve">To answer this question, on how the relationships between work with data and the PECs depends on student characteristics, the direct effects of pre-program interest in STEM, gender, and under-represented minority [URM] status, without other predictor variables, were explored. Then, models with these variables and the composite variable for instructional support for work with data were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3"/>
      </w:pPr>
      <w:bookmarkStart w:id="46" w:name="analysis-for-research-question-4"/>
      <w:bookmarkEnd w:id="46"/>
      <w:r>
        <w:t xml:space="preserve">Analysis for Research Question #4</w:t>
      </w:r>
    </w:p>
    <w:p>
      <w:pPr>
        <w:pStyle w:val="FirstParagraph"/>
      </w:pPr>
      <w:r>
        <w:t xml:space="preserve">To answer this question, on the common characteristics of potentially adaptive PECs, a sequential exploratory data analysis strategy was used. While the activity in terms of the aspects of work with data and the other activities likely predicts differences in PECs, there may be other characteristics that predict PECs, and those characteristics that predict potentially adaptive, or beneficial to students’ learning, PECs may be useful to identify both for interpreting findings from the present study and for future research. To answer this question, heterogeneity in terms of how the aspects of work with data relate to the PECs will first be identified. For example, if constructing measures is found to be associated with both potentially adaptive and potentially maladaptive PECs, then videos associated with this aspect of work with data to be interrogated further for this research question. Note that as part of an sequential exploratory mixed methods design, the focus of this qualitative analysis may shift based on what the results of the quantitative analyses suggest.</w:t>
      </w:r>
    </w:p>
    <w:p>
      <w:pPr>
        <w:pStyle w:val="Heading2"/>
      </w:pPr>
      <w:bookmarkStart w:id="47" w:name="power-analysis"/>
      <w:bookmarkEnd w:id="47"/>
      <w:r>
        <w:t xml:space="preserve">Power Analysis</w:t>
      </w:r>
    </w:p>
    <w:p>
      <w:pPr>
        <w:pStyle w:val="FirstParagraph"/>
      </w:pPr>
      <w:r>
        <w:t xml:space="preserve">Few publications and tools address the question of statistical power for models with crossed random effects (Westfall, Kenny, &amp; Judd, 2014). To carry out power analysis for detecting the minimum detectable effect for the relationship between one of the aspects of work with data and profiles of engagement, Westfall et al.’s (2017) software Power Analysis for General Anova designs to calculate power for models with arbitrarily complex random effects structures is used. The power, or [replace], was set to 0.80. The results of the power analysis indicated that a minimum detectable</w:t>
      </w:r>
      <w:r>
        <w:t xml:space="preserve"> </w:t>
      </w:r>
      <w:r>
        <w:rPr>
          <w:i/>
        </w:rPr>
        <w:t xml:space="preserve">d</w:t>
      </w:r>
      <w:r>
        <w:t xml:space="preserve"> </w:t>
      </w:r>
      <w:r>
        <w:t xml:space="preserve">(effect size) is 0.43, a moderate effect (Cohen, 1992).</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2"/>
      </w:pPr>
      <w:bookmarkStart w:id="49" w:name="limitations"/>
      <w:bookmarkEnd w:id="49"/>
      <w:r>
        <w:t xml:space="preserve">Limitations</w:t>
      </w:r>
    </w:p>
    <w:p>
      <w:pPr>
        <w:pStyle w:val="FirstParagraph"/>
      </w:pPr>
      <w:r>
        <w:t xml:space="preserve">This study has three primary limitations. First, this study does not consider outcomes from engaging, such as the products of neither students’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1"/>
      </w:pPr>
      <w:bookmarkStart w:id="50" w:name="results"/>
      <w:bookmarkEnd w:id="50"/>
      <w:r>
        <w:t xml:space="preserve">Results</w:t>
      </w:r>
    </w:p>
    <w:p>
      <w:pPr>
        <w:pStyle w:val="FirstParagraph"/>
      </w:pPr>
      <w:r>
        <w:t xml:space="preserve">In this section, results in terms of the research questions are presented.</w:t>
      </w:r>
    </w:p>
    <w:p>
      <w:pPr>
        <w:pStyle w:val="Heading2"/>
      </w:pPr>
      <w:bookmarkStart w:id="51" w:name="preliminary-analysis"/>
      <w:bookmarkEnd w:id="51"/>
      <w:r>
        <w:t xml:space="preserve">Preliminary analysis</w:t>
      </w:r>
    </w:p>
    <w:p>
      <w:pPr>
        <w:pStyle w:val="Heading3"/>
      </w:pPr>
      <w:bookmarkStart w:id="52" w:name="descriptive-statistics-for-study-variables"/>
      <w:bookmarkEnd w:id="52"/>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instructional support for work with data was constructed as the sum of each of the five dichotomous variables that represented the aspects of instructional support for work with data; thus, its possible values ranged between zero and five.</w:t>
      </w:r>
    </w:p>
    <w:p>
      <w:pPr>
        <w:pStyle w:val="Heading3"/>
      </w:pPr>
      <w:bookmarkStart w:id="53" w:name="correlations-among-study-variables"/>
      <w:bookmarkEnd w:id="53"/>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 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instructional support for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BodyText"/>
      </w:pPr>
      <w:r>
        <w:t xml:space="preserve">From the coding with the STEM-PQA, work with data appears common. Out of the 248 segments, 236 were coded for instructional support for work with data; for the other, not-coded segments, issues with the video-recordings were the primary source of the missing data; in these cases, students may have still replied to signals, but it was not possible to code for instructional support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right"/>
            </w:pPr>
            <w:r>
              <w:t xml:space="preserve">Proportion</w:t>
            </w:r>
          </w:p>
        </w:tc>
      </w:tr>
      <w:tr>
        <w:tc>
          <w:p>
            <w:pPr>
              <w:pStyle w:val="Compact"/>
              <w:jc w:val="left"/>
            </w:pPr>
            <w:r>
              <w:t xml:space="preserve">Asking Questions</w:t>
            </w:r>
          </w:p>
        </w:tc>
        <w:tc>
          <w:p>
            <w:pPr>
              <w:pStyle w:val="Compact"/>
              <w:jc w:val="right"/>
            </w:pPr>
            <w:r>
              <w:t xml:space="preserve">0.389</w:t>
            </w:r>
          </w:p>
        </w:tc>
      </w:tr>
      <w:tr>
        <w:tc>
          <w:p>
            <w:pPr>
              <w:pStyle w:val="Compact"/>
              <w:jc w:val="left"/>
            </w:pPr>
            <w:r>
              <w:t xml:space="preserve">Making Observations</w:t>
            </w:r>
          </w:p>
        </w:tc>
        <w:tc>
          <w:p>
            <w:pPr>
              <w:pStyle w:val="Compact"/>
              <w:jc w:val="right"/>
            </w:pPr>
            <w:r>
              <w:t xml:space="preserve">0.258</w:t>
            </w:r>
          </w:p>
        </w:tc>
      </w:tr>
      <w:tr>
        <w:tc>
          <w:p>
            <w:pPr>
              <w:pStyle w:val="Compact"/>
              <w:jc w:val="left"/>
            </w:pPr>
            <w:r>
              <w:t xml:space="preserve">Generating Data</w:t>
            </w:r>
          </w:p>
        </w:tc>
        <w:tc>
          <w:p>
            <w:pPr>
              <w:pStyle w:val="Compact"/>
              <w:jc w:val="right"/>
            </w:pPr>
            <w:r>
              <w:t xml:space="preserve">0.453</w:t>
            </w:r>
          </w:p>
        </w:tc>
      </w:tr>
      <w:tr>
        <w:tc>
          <w:p>
            <w:pPr>
              <w:pStyle w:val="Compact"/>
              <w:jc w:val="left"/>
            </w:pPr>
            <w:r>
              <w:t xml:space="preserve">Data Modeling</w:t>
            </w:r>
          </w:p>
        </w:tc>
        <w:tc>
          <w:p>
            <w:pPr>
              <w:pStyle w:val="Compact"/>
              <w:jc w:val="right"/>
            </w:pPr>
            <w:r>
              <w:t xml:space="preserve">0.288</w:t>
            </w:r>
          </w:p>
        </w:tc>
      </w:tr>
      <w:tr>
        <w:tc>
          <w:p>
            <w:pPr>
              <w:pStyle w:val="Compact"/>
              <w:jc w:val="left"/>
            </w:pPr>
            <w:r>
              <w:t xml:space="preserve">Communicating Findings</w:t>
            </w:r>
          </w:p>
        </w:tc>
        <w:tc>
          <w:p>
            <w:pPr>
              <w:pStyle w:val="Compact"/>
              <w:jc w:val="right"/>
            </w:pPr>
            <w:r>
              <w:t xml:space="preserve">0.470</w:t>
            </w:r>
          </w:p>
        </w:tc>
      </w:tr>
    </w:tbl>
    <w:p>
      <w:pPr>
        <w:pStyle w:val="Heading2"/>
      </w:pPr>
      <w:bookmarkStart w:id="54" w:name="statistical-software-developed"/>
      <w:bookmarkEnd w:id="54"/>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&amp; Steingut,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2"/>
      </w:pPr>
      <w:bookmarkStart w:id="55" w:name="results-for-research-question-1-what-is-the-frequency-and-nature-of-opportunities-for-youth-to-engage-in-each-of-the-five-aspects-of-work-with-data-in-summer-stem-programs"/>
      <w:bookmarkEnd w:id="55"/>
      <w:r>
        <w:t xml:space="preserve">Results for Research Question #1: What is the frequency and nature of opportunities for youth to engage in each of the five aspects of work with data in summer STEM programs?</w:t>
      </w:r>
    </w:p>
    <w:p>
      <w:pPr>
        <w:pStyle w:val="FirstParagraph"/>
      </w:pPr>
      <w:r>
        <w:t xml:space="preserve">This question addresses what profiles emerged from the data. This section first provides information about the statistical software that was developed and solutions for all models (whether models converged and the log-likelihood was replicated). Then,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Heading3"/>
      </w:pPr>
      <w:bookmarkStart w:id="56" w:name="exploration-of-a-wide-range-of-models-a"/>
      <w:bookmarkEnd w:id="56"/>
      <w:r>
        <w:t xml:space="preserve">Exploration of a wide range of models a</w:t>
      </w:r>
    </w:p>
    <w:p>
      <w:pPr>
        <w:pStyle w:val="FirstParagraph"/>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Heading3"/>
      </w:pPr>
      <w:bookmarkStart w:id="57" w:name="in-depth-statistics-for-particular-models"/>
      <w:bookmarkEnd w:id="57"/>
      <w:r>
        <w:t xml:space="preserve">In-depth statistics for particular models</w:t>
      </w:r>
    </w:p>
    <w:p>
      <w:pPr>
        <w:pStyle w:val="FirstParagraph"/>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58"/>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59"/>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Heading3"/>
      </w:pPr>
      <w:bookmarkStart w:id="60" w:name="comparison-of-model-1-and-model-2-type-solutions"/>
      <w:bookmarkEnd w:id="60"/>
      <w:r>
        <w:t xml:space="preserve">Comparison of model 1 and model 2 type solutions</w:t>
      </w:r>
    </w:p>
    <w:p>
      <w:pPr>
        <w:pStyle w:val="FirstParagraph"/>
      </w:pPr>
      <w:r>
        <w:t xml:space="preserve">When looking across solutions, some overall patterns in terms of what profiles emerge and some directions for which models are to be selected for use in subsequent analysis can be identified. First, overall patterns are discussed. In the table, which profiles emerge from which solution is presented.</w:t>
      </w:r>
    </w:p>
    <w:p>
      <w:pPr>
        <w:pStyle w:val="BodyText"/>
      </w:pPr>
      <w:r>
        <w:t xml:space="preserve">There is a wide range of profiles. Some appear very commonly, particularly those (full and universally low) characterized by high or low levels across all of the variables. Moderate profiles, both all moderate (characterized by moderately high levels across all of the variables) and moderately low (characterized by low levels across all of the variables), also appeared commonly, particularly for the solutions for model 1.</w:t>
      </w:r>
    </w:p>
    <w:p>
      <w:pPr>
        <w:pStyle w:val="Heading3"/>
      </w:pPr>
      <w:bookmarkStart w:id="61" w:name="examination-of-specific-candidate-models"/>
      <w:bookmarkEnd w:id="61"/>
      <w:r>
        <w:t xml:space="preserve">Examination of specific candidate models</w:t>
      </w:r>
    </w:p>
    <w:p>
      <w:pPr>
        <w:pStyle w:val="FirstParagraph"/>
      </w:pPr>
      <w:r>
        <w:t xml:space="preserve">Following from the in-depth exploration of the candidate solutions, in this section, model solutions associated with specific model types and the number of profiles are investigated. In particular, the model one type, six profile, and model one type, seven profile solutions are described. Descriptions of other candidate solutions is included in the appendix. For all of the solutions,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Heading4"/>
      </w:pPr>
      <w:bookmarkStart w:id="62" w:name="model-type-1-profiles-6"/>
      <w:bookmarkEnd w:id="62"/>
      <w:r>
        <w:t xml:space="preserve">Model type: 1, Profiles: 6</w:t>
      </w:r>
    </w:p>
    <w:p>
      <w:pPr>
        <w:pStyle w:val="FirstParagraph"/>
      </w:pPr>
      <w:r>
        <w:t xml:space="preserve">This solution is characterized by:</w:t>
      </w:r>
    </w:p>
    <w:p>
      <w:pPr>
        <w:pStyle w:val="Compact"/>
        <w:numPr>
          <w:numId w:val="1002"/>
          <w:ilvl w:val="0"/>
        </w:numPr>
      </w:pPr>
      <w:r>
        <w:t xml:space="preserve">A</w:t>
      </w:r>
      <w:r>
        <w:t xml:space="preserve"> </w:t>
      </w:r>
      <w:r>
        <w:rPr>
          <w:i/>
        </w:rPr>
        <w:t xml:space="preserve">full</w:t>
      </w:r>
      <w:r>
        <w:t xml:space="preserve"> </w:t>
      </w:r>
      <w:r>
        <w:t xml:space="preserve">profile, profile 6</w:t>
      </w:r>
    </w:p>
    <w:p>
      <w:pPr>
        <w:pStyle w:val="Compact"/>
        <w:numPr>
          <w:numId w:val="1002"/>
          <w:ilvl w:val="0"/>
        </w:numPr>
      </w:pPr>
      <w:r>
        <w:t xml:space="preserve">An</w:t>
      </w:r>
      <w:r>
        <w:t xml:space="preserve"> </w:t>
      </w:r>
      <w:r>
        <w:rPr>
          <w:i/>
        </w:rPr>
        <w:t xml:space="preserve">universally low</w:t>
      </w:r>
      <w:r>
        <w:t xml:space="preserve"> </w:t>
      </w:r>
      <w:r>
        <w:t xml:space="preserve">profile, profile 2</w:t>
      </w:r>
    </w:p>
    <w:p>
      <w:pPr>
        <w:pStyle w:val="Compact"/>
        <w:numPr>
          <w:numId w:val="1002"/>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2"/>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2"/>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2"/>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the model 1, four and five profile solutions, which distinguished observations on</w:t>
      </w:r>
      <w:r>
        <w:t xml:space="preserve"> </w:t>
      </w:r>
      <w:r>
        <w:rPr>
          <w:i/>
        </w:rPr>
        <w:t xml:space="preserve">either</w:t>
      </w:r>
      <w:r>
        <w:t xml:space="preserve"> </w:t>
      </w:r>
      <w:r>
        <w:t xml:space="preserve">a condition of engagement (i.e., competence) or one of its dimensions (i.e., cognitive, behavioral, and affective), this solution was associated with profiles that distinguished observations on the basis of both: There were profiles for only behaviorally and affectively engaged and for engaged and competent but not challenged. This solution is compelling because it appears to group students on the basis of multiple of the indicators, and demonstrate viability on the basis of the fit statistics (i.e., the tables and figure). The log-likelihood was replicated two times, with the next lowest log-likelihood not being replicated, followed by a log-likelihood that was replicated (at least) seven times. This solution (associated with the log-likelihood that was replicated [at least] seven times) could be investigated in further detail, to see whether–and if so, how–it differs from the solution interpreted here. This solution is a strong candidate for use in subsequent analyses.</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3"/>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4"/>
                    <a:stretch>
                      <a:fillRect/>
                    </a:stretch>
                  </pic:blipFill>
                  <pic:spPr bwMode="auto">
                    <a:xfrm>
                      <a:off x="0" y="0"/>
                      <a:ext cx="5334000" cy="3294062"/>
                    </a:xfrm>
                    <a:prstGeom prst="rect">
                      <a:avLst/>
                    </a:prstGeom>
                    <a:noFill/>
                    <a:ln w="9525">
                      <a:noFill/>
                      <a:headEnd/>
                      <a:tailEnd/>
                    </a:ln>
                  </pic:spPr>
                </pic:pic>
              </a:graphicData>
            </a:graphic>
          </wp:inline>
        </w:drawing>
      </w:r>
    </w:p>
    <w:p>
      <w:pPr>
        <w:pStyle w:val="SourceCode"/>
      </w:pPr>
      <w:r>
        <w:rPr>
          <w:rStyle w:val="VerbatimChar"/>
        </w:rPr>
        <w:t xml:space="preserve">## Error: 'i.out' does not exist in current working directory ('/Users/joshuarosenberg/Google Drive/1_Research/dissertation/rosenberg-diss').</w:t>
      </w:r>
    </w:p>
    <w:p>
      <w:pPr>
        <w:pStyle w:val="Heading4"/>
      </w:pPr>
      <w:bookmarkStart w:id="65" w:name="model-type-1-profiles-7"/>
      <w:bookmarkEnd w:id="65"/>
      <w:r>
        <w:t xml:space="preserve">Model type: 1, Profiles: 7</w:t>
      </w:r>
    </w:p>
    <w:p>
      <w:pPr>
        <w:pStyle w:val="FirstParagraph"/>
      </w:pPr>
      <w:r>
        <w:t xml:space="preserve">This solution is characterized by:</w:t>
      </w:r>
    </w:p>
    <w:p>
      <w:pPr>
        <w:pStyle w:val="Compact"/>
        <w:numPr>
          <w:numId w:val="1003"/>
          <w:ilvl w:val="0"/>
        </w:numPr>
      </w:pPr>
      <w:r>
        <w:t xml:space="preserve">A</w:t>
      </w:r>
      <w:r>
        <w:t xml:space="preserve"> </w:t>
      </w:r>
      <w:r>
        <w:rPr>
          <w:i/>
        </w:rPr>
        <w:t xml:space="preserve">full</w:t>
      </w:r>
      <w:r>
        <w:t xml:space="preserve"> </w:t>
      </w:r>
      <w:r>
        <w:t xml:space="preserve">profile, profile 7</w:t>
      </w:r>
    </w:p>
    <w:p>
      <w:pPr>
        <w:pStyle w:val="Compact"/>
        <w:numPr>
          <w:numId w:val="1003"/>
          <w:ilvl w:val="0"/>
        </w:numPr>
      </w:pPr>
      <w:r>
        <w:t xml:space="preserve">A</w:t>
      </w:r>
      <w:r>
        <w:t xml:space="preserve"> </w:t>
      </w:r>
      <w:r>
        <w:rPr>
          <w:i/>
        </w:rPr>
        <w:t xml:space="preserve">universally low</w:t>
      </w:r>
      <w:r>
        <w:t xml:space="preserve"> </w:t>
      </w:r>
      <w:r>
        <w:t xml:space="preserve">profile, profile 1</w:t>
      </w:r>
    </w:p>
    <w:p>
      <w:pPr>
        <w:pStyle w:val="Compact"/>
        <w:numPr>
          <w:numId w:val="1003"/>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3"/>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3"/>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3"/>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3"/>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p>
      <w:pPr>
        <w:pStyle w:val="Heading4"/>
      </w:pPr>
      <w:bookmarkStart w:id="66" w:name="looking-across-model-1-and-model-2-type-solutions"/>
      <w:bookmarkEnd w:id="66"/>
      <w:r>
        <w:t xml:space="preserve">Looking across model 1 and model 2 type solutions</w:t>
      </w:r>
    </w:p>
    <w:p>
      <w:pPr>
        <w:pStyle w:val="FirstParagraph"/>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may be preferred and is selected for use in subsequent analyses.</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2"/>
      </w:pPr>
      <w:bookmarkStart w:id="67" w:name="research-question-2-what-profiles-of-youth-engagement-and-its-conditions-emerge-from-experiential-data-collected-in-these-programs"/>
      <w:bookmarkEnd w:id="67"/>
      <w:r>
        <w:t xml:space="preserve">Research Question #2: What profiles of youth engagement and its conditions emerge from experiential data collected in these programs?</w:t>
      </w:r>
    </w:p>
    <w:p>
      <w:pPr>
        <w:pStyle w:val="FirstParagraph"/>
      </w:pPr>
      <w:r>
        <w:t xml:space="preserve">Broadly, this question is focused on how instructional support for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instructional support for work with data are interpreted and presented.</w:t>
      </w:r>
    </w:p>
    <w:p>
      <w:pPr>
        <w:pStyle w:val="Heading3"/>
      </w:pPr>
      <w:bookmarkStart w:id="68" w:name="null-models"/>
      <w:bookmarkEnd w:id="68"/>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that is able to be explained. In turn, this suggests that these variables, including those for instructional support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69" w:name="models-with-variables-for-aspects-of-instructional-support-for-work-with-data-added-separately"/>
      <w:bookmarkEnd w:id="69"/>
      <w:r>
        <w:t xml:space="preserve">Models with variables for aspects of instructional support for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0" w:name="models-with-the-composite-added"/>
      <w:bookmarkEnd w:id="70"/>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1" w:name="summary-of-findings-for-research-question-2"/>
      <w:bookmarkEnd w:id="71"/>
      <w:r>
        <w:t xml:space="preserve">Summary of findings for research question #2</w:t>
      </w:r>
    </w:p>
    <w:p>
      <w:pPr>
        <w:pStyle w:val="FirstParagraph"/>
      </w:pPr>
      <w:r>
        <w:t xml:space="preserve">When looking across findings, we find few relations between instructional support for work with data and the profiles, though there were notable effects of modeling, though they were small effects (i.e., when students are doing this, they are around 3% more likely to be responding in a way associated with the</w:t>
      </w:r>
      <w:r>
        <w:t xml:space="preserve"> </w:t>
      </w:r>
      <w:r>
        <w:rPr>
          <w:i/>
        </w:rPr>
        <w:t xml:space="preserve">full</w:t>
      </w:r>
      <w:r>
        <w:t xml:space="preserve"> </w:t>
      </w:r>
      <w:r>
        <w:t xml:space="preserve">profile). 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instructional support for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2" w:name="results-for-research-question-3-how-does-youth-engagement-relate-to-data-practices"/>
      <w:bookmarkEnd w:id="72"/>
      <w:r>
        <w:t xml:space="preserve">Results for Research Question #3: How does youth engagement relate to data practices?</w:t>
      </w:r>
    </w:p>
    <w:p>
      <w:pPr>
        <w:pStyle w:val="FirstParagraph"/>
      </w:pPr>
      <w:r>
        <w:t xml:space="preserve">Research question #3 is focused on how the relationships of instructional support for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Heading3"/>
      </w:pPr>
      <w:bookmarkStart w:id="73" w:name="models-with-pre-interest-gender-and-under-represented-minority-urm-status"/>
      <w:bookmarkEnd w:id="73"/>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4" w:name="models-with-pre-interest-gender-and-urm-status-and-the-aspects-of-work-with-data"/>
      <w:bookmarkEnd w:id="74"/>
      <w:r>
        <w:t xml:space="preserve">Models with pre interest, gender, and URM status and the aspects of work with data</w:t>
      </w:r>
    </w:p>
    <w:p>
      <w:pPr>
        <w:pStyle w:val="FirstParagraph"/>
      </w:pPr>
      <w:r>
        <w:t xml:space="preserve">These results show very similar patterns to those observed in the models with pre-interest and the other individual characteristics and the models with the aspects of work with data separate. Like in the models with only pre-interest and the other individual characteristics,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.051). Generating data (</w:t>
      </w:r>
      <w:r>
        <w:rPr>
          <w:i/>
        </w:rPr>
        <w:t xml:space="preserve">B</w:t>
      </w:r>
      <w:r>
        <w:t xml:space="preserve"> </w:t>
      </w:r>
      <w:r>
        <w:t xml:space="preserve">= 0.027 (0.015), p = .033) and modeling data (</w:t>
      </w:r>
      <w:r>
        <w:rPr>
          <w:i/>
        </w:rPr>
        <w:t xml:space="preserve">B</w:t>
      </w:r>
      <w:r>
        <w:t xml:space="preserve"> </w:t>
      </w:r>
      <w:r>
        <w:t xml:space="preserve">= 0.034 (0.017), p = .020) were both related to the</w:t>
      </w:r>
      <w:r>
        <w:t xml:space="preserve"> </w:t>
      </w:r>
      <w:r>
        <w:rPr>
          <w:i/>
        </w:rPr>
        <w:t xml:space="preserve">full</w:t>
      </w:r>
      <w:r>
        <w:t xml:space="preserve"> </w:t>
      </w:r>
      <w:r>
        <w:t xml:space="preserve">profile to a similar extent and with similar robustness as found in the separate models. Compared to the null models, the r-squared values changed from .001 to .029, suggesting small improvements from the additions of the individual characteristics and the codes for the aspects of work with data.</w:t>
      </w:r>
    </w:p>
    <w:p>
      <w:pPr>
        <w:pStyle w:val="Heading3"/>
      </w:pPr>
      <w:bookmarkStart w:id="75" w:name="models-with-pre-interest-gender-and-urm-status-and-work-with-data-composite"/>
      <w:bookmarkEnd w:id="75"/>
      <w:r>
        <w:t xml:space="preserve">Models with pre-interest, gender, and URM status and work with data composite</w:t>
      </w:r>
    </w:p>
    <w:p>
      <w:pPr>
        <w:pStyle w:val="FirstParagraph"/>
      </w:pPr>
      <w:r>
        <w:t xml:space="preserve">Like for the individual aspects, these models with the composite for work with data instead of the individual aspects. These results show very similar patterns to those observed in the models with pre-interest and the other individual characteristics and the models with the aspects of work with data separate. 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.052). The composite was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0.007 (0.004), p = .027) to a similar extent and with similar robustness as found in the separate model. Compared to the null models, the r-squared values changed from .008 to .026, once again suggesting small improvements from the additions of the individual characteristics and the composite for the aspects of work with data.</w:t>
      </w:r>
    </w:p>
    <w:p>
      <w:pPr>
        <w:pStyle w:val="Heading3"/>
      </w:pPr>
      <w:bookmarkStart w:id="76" w:name="models-with-interactions-between-pre-interest-gender-and-urm-status-and-work-with-data-composite"/>
      <w:bookmarkEnd w:id="76"/>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7" w:name="summary-of-findings-for-research-question-3"/>
      <w:bookmarkEnd w:id="77"/>
      <w:r>
        <w:t xml:space="preserve">Summary of findings for research question #3</w:t>
      </w:r>
    </w:p>
    <w:p>
      <w:pPr>
        <w:pStyle w:val="FirstParagraph"/>
      </w:pPr>
      <w:r>
        <w:t xml:space="preserve">When looking across findings, we find minimal relations between pre-interest and other individual characteristics. 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2"/>
      </w:pPr>
      <w:bookmarkStart w:id="78" w:name="results-for-research-question-4-how-do-youth-characteristics-relate-to-their-engagement-in-summer-stem-programs"/>
      <w:bookmarkEnd w:id="78"/>
      <w:r>
        <w:t xml:space="preserve">Results for Research Question #4: How do youth characteristics relate to their engagement in summer STEM programs?</w:t>
      </w:r>
    </w:p>
    <w:p>
      <w:pPr>
        <w:pStyle w:val="FirstParagraph"/>
      </w:pPr>
      <w:r>
        <w:t xml:space="preserve">```{r, loading-spreadsheets, eval = FALSE}65ewas c</w:t>
      </w:r>
    </w:p>
    <w:p>
      <w:pPr>
        <w:pStyle w:val="BodyText"/>
      </w:pPr>
      <w:r>
        <w:t xml:space="preserve">library(googlesheets)</w:t>
      </w:r>
      <w:r>
        <w:t xml:space="preserve"> </w:t>
      </w:r>
      <w:r>
        <w:t xml:space="preserve">library(dplyr)</w:t>
      </w:r>
    </w:p>
    <w:p>
      <w:pPr>
        <w:pStyle w:val="BodyText"/>
      </w:pPr>
      <w:r>
        <w:t xml:space="preserve">g1 &lt;- gs_title(</w:t>
      </w:r>
      <w:r>
        <w:t xml:space="preserve">“</w:t>
      </w:r>
      <w:r>
        <w:t xml:space="preserve">USE THIS! New Coding Frame - KMS</w:t>
      </w:r>
      <w:r>
        <w:t xml:space="preserve">”</w:t>
      </w:r>
      <w:r>
        <w:t xml:space="preserve">)</w:t>
      </w:r>
      <w:r>
        <w:t xml:space="preserve"> </w:t>
      </w:r>
      <w:r>
        <w:t xml:space="preserve">g2 &lt;- gs_title(</w:t>
      </w:r>
      <w:r>
        <w:t xml:space="preserve">“</w:t>
      </w:r>
      <w:r>
        <w:t xml:space="preserve">USE THIS! New Coding Frame - HM</w:t>
      </w:r>
      <w:r>
        <w:t xml:space="preserve">”</w:t>
      </w:r>
      <w:r>
        <w:t xml:space="preserve">)</w:t>
      </w:r>
      <w:r>
        <w:t xml:space="preserve"> </w:t>
      </w:r>
      <w:r>
        <w:t xml:space="preserve">g3 &lt;- gs_title(</w:t>
      </w:r>
      <w:r>
        <w:t xml:space="preserve">“</w:t>
      </w:r>
      <w:r>
        <w:t xml:space="preserve">USE THIS! New Coding Frame - KS</w:t>
      </w:r>
      <w:r>
        <w:t xml:space="preserve">”</w:t>
      </w:r>
      <w:r>
        <w:t xml:space="preserve">)</w:t>
      </w:r>
    </w:p>
    <w:p>
      <w:pPr>
        <w:pStyle w:val="BodyText"/>
      </w:pPr>
      <w:r>
        <w:t xml:space="preserve">d1 &lt;- gs_read(g1, ws = 1)</w:t>
      </w:r>
      <w:r>
        <w:t xml:space="preserve"> </w:t>
      </w:r>
      <w:r>
        <w:t xml:space="preserve">d2 &lt;- gs_read(g2, ws = 1)</w:t>
      </w:r>
      <w:r>
        <w:t xml:space="preserve"> </w:t>
      </w:r>
      <w:r>
        <w:t xml:space="preserve">d3 &lt;- gs_read(g3, ws = 1)</w:t>
      </w:r>
    </w:p>
    <w:p>
      <w:pPr>
        <w:pStyle w:val="BodyText"/>
      </w:pPr>
      <w:r>
        <w:t xml:space="preserve">d1 &lt;- dplyr::select(d1, program_name, response_date, signal_number, KMS_qual =</w:t>
      </w:r>
      <w:r>
        <w:t xml:space="preserve"> </w:t>
      </w:r>
      <w:r>
        <w:rPr>
          <w:rStyle w:val="VerbatimChar"/>
        </w:rPr>
        <w:t xml:space="preserve">Qualitative Coding</w:t>
      </w:r>
      <w:r>
        <w:t xml:space="preserve">)</w:t>
      </w:r>
      <w:r>
        <w:t xml:space="preserve"> </w:t>
      </w:r>
      <w:r>
        <w:t xml:space="preserve">d2 &lt;- dplyr::select(d2, program_name, response_date, signal_number, HM_qual =</w:t>
      </w:r>
      <w:r>
        <w:t xml:space="preserve"> </w:t>
      </w:r>
      <w:r>
        <w:rPr>
          <w:rStyle w:val="VerbatimChar"/>
        </w:rPr>
        <w:t xml:space="preserve">Qualitative Coding</w:t>
      </w:r>
      <w:r>
        <w:t xml:space="preserve">)</w:t>
      </w:r>
      <w:r>
        <w:t xml:space="preserve"> </w:t>
      </w:r>
      <w:r>
        <w:t xml:space="preserve">d3 &lt;- rename(d3, KLS_qual =</w:t>
      </w:r>
      <w:r>
        <w:t xml:space="preserve"> </w:t>
      </w:r>
      <w:r>
        <w:rPr>
          <w:rStyle w:val="VerbatimChar"/>
        </w:rPr>
        <w:t xml:space="preserve">Qualitative Coding</w:t>
      </w:r>
      <w:r>
        <w:t xml:space="preserve">)</w:t>
      </w:r>
    </w:p>
    <w:p>
      <w:pPr>
        <w:pStyle w:val="BodyText"/>
      </w:pPr>
      <w:r>
        <w:t xml:space="preserve">d3 &lt;- d3 %&gt;%</w:t>
      </w:r>
      <w:r>
        <w:t xml:space="preserve"> </w:t>
      </w:r>
      <w:r>
        <w:t xml:space="preserve">left_join(d2) %&gt;%</w:t>
      </w:r>
      <w:r>
        <w:t xml:space="preserve"> </w:t>
      </w:r>
      <w:r>
        <w:t xml:space="preserve">left_join(d1)</w:t>
      </w:r>
    </w:p>
    <w:p>
      <w:pPr>
        <w:pStyle w:val="BodyText"/>
      </w:pPr>
      <w:r>
        <w:t xml:space="preserve">d_proc &lt;- d3 %&gt;%</w:t>
      </w:r>
      <w:r>
        <w:t xml:space="preserve"> </w:t>
      </w:r>
      <w:r>
        <w:t xml:space="preserve">select(everything(), contains(</w:t>
      </w:r>
      <w:r>
        <w:t xml:space="preserve">“</w:t>
      </w:r>
      <w:r>
        <w:t xml:space="preserve">qual</w:t>
      </w:r>
      <w:r>
        <w:t xml:space="preserve">”</w:t>
      </w:r>
      <w:r>
        <w:t xml:space="preserve">), -</w:t>
      </w:r>
      <w:r>
        <w:rPr>
          <w:rStyle w:val="VerbatimChar"/>
        </w:rPr>
        <w:t xml:space="preserve">Josh notes</w:t>
      </w:r>
      <w:r>
        <w:t xml:space="preserve">, -Initials)</w:t>
      </w:r>
    </w:p>
    <w:p>
      <w:pPr>
        <w:pStyle w:val="Heading1"/>
      </w:pPr>
      <w:bookmarkStart w:id="79" w:name="d1i---dplyrpulld1-qualitative-codingd1_na"/>
      <w:bookmarkEnd w:id="79"/>
      <w:r>
        <w:t xml:space="preserve">d1i &lt;- dplyr::pull(d1,</w:t>
      </w:r>
      <w:r>
        <w:t xml:space="preserve"> </w:t>
      </w:r>
      <w:r>
        <w:rPr>
          <w:rStyle w:val="VerbatimChar"/>
        </w:rPr>
        <w:t xml:space="preserve">Qualitative Coding</w:t>
      </w:r>
      <w:r>
        <w:t xml:space="preserve">)[!d1_na]</w:t>
      </w:r>
    </w:p>
    <w:p>
      <w:pPr>
        <w:pStyle w:val="Heading1"/>
      </w:pPr>
      <w:bookmarkStart w:id="80" w:name="d2i---dplyrpulld2-qualitative-codingd2_na"/>
      <w:bookmarkEnd w:id="80"/>
      <w:r>
        <w:t xml:space="preserve">d2i &lt;- dplyr::pull(d2,</w:t>
      </w:r>
      <w:r>
        <w:t xml:space="preserve"> </w:t>
      </w:r>
      <w:r>
        <w:rPr>
          <w:rStyle w:val="VerbatimChar"/>
        </w:rPr>
        <w:t xml:space="preserve">Qualitative Coding</w:t>
      </w:r>
      <w:r>
        <w:t xml:space="preserve">)[!d2_na]</w:t>
      </w:r>
    </w:p>
    <w:p>
      <w:pPr>
        <w:pStyle w:val="Heading1"/>
      </w:pPr>
      <w:bookmarkStart w:id="81" w:name="d3i---dplyrpulld3-qualitative-codingd3_na"/>
      <w:bookmarkEnd w:id="81"/>
      <w:r>
        <w:t xml:space="preserve">d3i &lt;- dplyr::pull(d3,</w:t>
      </w:r>
      <w:r>
        <w:t xml:space="preserve"> </w:t>
      </w:r>
      <w:r>
        <w:rPr>
          <w:rStyle w:val="VerbatimChar"/>
        </w:rPr>
        <w:t xml:space="preserve">Qualitative Coding</w:t>
      </w:r>
      <w:r>
        <w:t xml:space="preserve">)[!d3_na]</w:t>
      </w:r>
    </w:p>
    <w:p>
      <w:pPr>
        <w:pStyle w:val="FirstParagraph"/>
      </w:pPr>
      <w:r>
        <w:t xml:space="preserve">readr::write_csv(d_proc,</w:t>
      </w:r>
      <w:r>
        <w:t xml:space="preserve"> </w:t>
      </w:r>
      <w:r>
        <w:t xml:space="preserve">“</w:t>
      </w:r>
      <w:r>
        <w:t xml:space="preserve">qual-coding.csv</w:t>
      </w:r>
      <w:r>
        <w:t xml:space="preserve">”</w:t>
      </w:r>
      <w:r>
        <w:t xml:space="preserv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instructional support for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instructional support for work with data and b) other aspects of the instructional context that impacts student work with data.</w:t>
      </w:r>
      <w:r>
        <w:br w:type="textWrapping"/>
      </w:r>
      <w:r>
        <w:rPr>
          <w:rStyle w:val="VerbatimChar"/>
        </w:rPr>
        <w:t xml:space="preserve"/>
      </w:r>
      <w:r>
        <w:br w:type="textWrapping"/>
      </w:r>
      <w:r>
        <w:rPr>
          <w:rStyle w:val="VerbatimChar"/>
        </w:rPr>
        <w:t xml:space="preserve">Note that while the first of the two aspects focuses on the support provided by the instructor, the second aspect focuses on how students engage in work with data in ways that on occasion diverge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findings for research questions #2-#4 and, beyond these findings, to better understand the nature of work with data in summer STEM programs.</w:t>
      </w:r>
      <w:r>
        <w:br w:type="textWrapping"/>
      </w:r>
      <w:r>
        <w:rPr>
          <w:rStyle w:val="VerbatimChar"/>
        </w:rPr>
        <w:t xml:space="preserve"/>
      </w:r>
      <w:r>
        <w:br w:type="textWrapping"/>
      </w:r>
      <w:r>
        <w:rPr>
          <w:rStyle w:val="VerbatimChar"/>
        </w:rPr>
        <w:t xml:space="preserve">### Affordances and constraints of summer STEM programs for work with data</w:t>
      </w:r>
      <w:r>
        <w:br w:type="textWrapping"/>
      </w:r>
      <w:r>
        <w:rPr>
          <w:rStyle w:val="VerbatimChar"/>
        </w:rPr>
        <w:t xml:space="preserve"/>
      </w:r>
      <w:r>
        <w:br w:type="textWrapping"/>
      </w:r>
      <w:r>
        <w:rPr>
          <w:rStyle w:val="VerbatimChar"/>
        </w:rP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r>
        <w:br w:type="textWrapping"/>
      </w:r>
      <w:r>
        <w:rPr>
          <w:rStyle w:val="VerbatimChar"/>
        </w:rPr>
        <w:t xml:space="preserve"/>
      </w:r>
      <w:r>
        <w:br w:type="textWrapping"/>
      </w:r>
      <w:r>
        <w:rPr>
          <w:rStyle w:val="VerbatimChar"/>
        </w:rPr>
        <w:t xml:space="preserve">#### Affordances</w:t>
      </w:r>
      <w:r>
        <w:br w:type="textWrapping"/>
      </w:r>
      <w:r>
        <w:rPr>
          <w:rStyle w:val="VerbatimChar"/>
        </w:rPr>
        <w:t xml:space="preserve"/>
      </w:r>
      <w:r>
        <w:br w:type="textWrapping"/>
      </w:r>
      <w:r>
        <w:rPr>
          <w:rStyle w:val="VerbatimChar"/>
        </w:rPr>
        <w:t xml:space="preserve">Affordances included the community setting and the relevance of the program to youth's lives.</w:t>
      </w:r>
      <w:r>
        <w:br w:type="textWrapping"/>
      </w:r>
      <w:r>
        <w:rPr>
          <w:rStyle w:val="VerbatimChar"/>
        </w:rPr>
        <w:t xml:space="preserve"/>
      </w:r>
      <w:r>
        <w:br w:type="textWrapping"/>
      </w:r>
      <w:r>
        <w:rPr>
          <w:rStyle w:val="VerbatimChar"/>
        </w:rPr>
        <w:t xml:space="preserve">For example, in the *Marine Investigators*, youth participated in activities designed to help them understand water quality in their ecosystem. Youth collected trash from sites around their community (in different "districts")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 *why* 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r>
        <w:br w:type="textWrapping"/>
      </w:r>
      <w:r>
        <w:rPr>
          <w:rStyle w:val="VerbatimChar"/>
        </w:rPr>
        <w:t xml:space="preserve"/>
      </w:r>
      <w:r>
        <w:br w:type="textWrapping"/>
      </w:r>
      <w:r>
        <w:rPr>
          <w:rStyle w:val="VerbatimChar"/>
        </w:rPr>
        <w:t xml:space="preserve">Another affordance concerned the relevance of the program to youth's lives. For example, in the *Building Mania* 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 *Marine Investigators* program, affordances of work with data for summer STEM programs.</w:t>
      </w:r>
      <w:r>
        <w:br w:type="textWrapping"/>
      </w:r>
      <w:r>
        <w:rPr>
          <w:rStyle w:val="VerbatimChar"/>
        </w:rPr>
        <w:t xml:space="preserve"/>
      </w:r>
      <w:r>
        <w:br w:type="textWrapping"/>
      </w:r>
      <w:r>
        <w:rPr>
          <w:rStyle w:val="VerbatimChar"/>
        </w:rPr>
        <w:t xml:space="preserve">#### Constraints</w:t>
      </w:r>
      <w:r>
        <w:br w:type="textWrapping"/>
      </w:r>
      <w:r>
        <w:rPr>
          <w:rStyle w:val="VerbatimChar"/>
        </w:rPr>
        <w:t xml:space="preserve"/>
      </w:r>
      <w:r>
        <w:br w:type="textWrapping"/>
      </w:r>
      <w:r>
        <w:rPr>
          <w:rStyle w:val="VerbatimChar"/>
        </w:rPr>
        <w:t xml:space="preserve">Constraints included the challenge of linking activities as a part of a complete cycle of investigation and an emphasis on different aspects of work with data as part of programming.</w:t>
      </w:r>
      <w:r>
        <w:br w:type="textWrapping"/>
      </w:r>
      <w:r>
        <w:rPr>
          <w:rStyle w:val="VerbatimChar"/>
        </w:rPr>
        <w:t xml:space="preserve"/>
      </w:r>
      <w:r>
        <w:br w:type="textWrapping"/>
      </w:r>
      <w:r>
        <w:rPr>
          <w:rStyle w:val="VerbatimChar"/>
        </w:rPr>
        <w:t xml:space="preserve">Youth activity leaders faced challenges linking activities as part of a complete cycle of investigation. For example, in the *Ecosphere* 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r>
        <w:br w:type="textWrapping"/>
      </w:r>
      <w:r>
        <w:rPr>
          <w:rStyle w:val="VerbatimChar"/>
        </w:rPr>
        <w:t xml:space="preserve"/>
      </w:r>
      <w:r>
        <w:br w:type="textWrapping"/>
      </w:r>
      <w:r>
        <w:rPr>
          <w:rStyle w:val="VerbatimChar"/>
        </w:rPr>
        <w:t xml:space="preserve">A theme related to the challenge of linking activities concerned what the programs focused on. For example, the mathematics-focused programs, such as the *Adventures in Mathematics* program, the youth activity leaders recognizing that youth had difficulty solving equations, used duct tape and a "hippity hoppity", building on an earlier activity in which youth considered what constituted a rate, on how many "hops" 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(*Island Explorers*, *The Ecosphere*, and *Marine Investigators*) all emphasized collecting and generating data, but data, particularly the data collected or generated, was rarely modeled or interpreted. In the engineering-focused programs (*Uptown Architecture*, *Crazy Machines*, and *Dorchester House*,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r>
        <w:br w:type="textWrapping"/>
      </w:r>
      <w:r>
        <w:rPr>
          <w:rStyle w:val="VerbatimChar"/>
        </w:rPr>
        <w:t xml:space="preserve"/>
      </w:r>
      <w:r>
        <w:br w:type="textWrapping"/>
      </w:r>
      <w:r>
        <w:rPr>
          <w:rStyle w:val="VerbatimChar"/>
        </w:rPr>
        <w:t xml:space="preserve">&lt;!-- A final constraint Regarding emphasizing outcomes other than the capacity to work with data, the programs emphasized outcomes such as youth's confidence in their learning, planning skills, and ability to collaborate. These outcomes are complimentary to building youth's ability to work with data, but at the same time, they meant that over the approximately four weeks of the program, limited time was dedicated to work with data ... Related, on occasion, youth demonstrated a reluctance to engage in what they perceived as "school" activities. --&gt;</w:t>
      </w:r>
      <w:r>
        <w:br w:type="textWrapping"/>
      </w:r>
      <w:r>
        <w:rPr>
          <w:rStyle w:val="VerbatimChar"/>
        </w:rPr>
        <w:t xml:space="preserve"/>
      </w:r>
      <w:r>
        <w:br w:type="textWrapping"/>
      </w:r>
      <w:r>
        <w:rPr>
          <w:rStyle w:val="VerbatimChar"/>
        </w:rPr>
        <w:t xml:space="preserve">### How instructional support for work with data was measured</w:t>
      </w:r>
      <w:r>
        <w:br w:type="textWrapping"/>
      </w:r>
      <w:r>
        <w:rPr>
          <w:rStyle w:val="VerbatimChar"/>
        </w:rPr>
        <w:t xml:space="preserve"/>
      </w:r>
      <w:r>
        <w:br w:type="textWrapping"/>
      </w:r>
      <w:r>
        <w:rPr>
          <w:rStyle w:val="VerbatimChar"/>
        </w:rPr>
        <w:t xml:space="preserve">This theme concerned how instructional support was measured and how this impacted the findings presented in research questions #2 and #3. As an example, 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instructional support for work with data does not appear to be present. Considering the STEM-PQA code on which the code for making observations is based, this difference is possibly due to a distinction in what both codes are focused on. The STEM-PQA code is for *classifying or abstracting*, and its operationalization emphasizes staff supporting youth in linking concrete examples to principles, categories, or formulas. The conceptual definition of *making observations*,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 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r>
        <w:br w:type="textWrapping"/>
      </w:r>
      <w:r>
        <w:rPr>
          <w:rStyle w:val="VerbatimChar"/>
        </w:rPr>
        <w:t xml:space="preserve"/>
      </w:r>
      <w:r>
        <w:br w:type="textWrapping"/>
      </w:r>
      <w:r>
        <w:rPr>
          <w:rStyle w:val="VerbatimChar"/>
        </w:rPr>
        <w:t xml:space="preserve">### Summary of Findings for Research Question #4</w:t>
      </w:r>
      <w:r>
        <w:br w:type="textWrapping"/>
      </w:r>
      <w:r>
        <w:rPr>
          <w:rStyle w:val="VerbatimChar"/>
        </w:rPr>
        <w:t xml:space="preserve"/>
      </w:r>
      <w:r>
        <w:br w:type="textWrapping"/>
      </w:r>
      <w:r>
        <w:rPr>
          <w:rStyle w:val="VerbatimChar"/>
        </w:rPr>
        <w:t xml:space="preserve">These findings focused on the affordances and constrained of work with data in summer STEM programs and how instructional support for work with data was measured. Broadly, the qualitative analysis suggested possible explanations for the findings for research questions #2 and #3. For these questions, little variability was found to exist at the momentary level, and the predictors at the momentary level (instructional support for work with data) and at the youth level (pre-interest, gender, and URM status) demonstrated modest relations with the profiles. These relations can be due to a variety of reasons, particularly 1) how the variables for the PECs and how instructional support for work with data is measured, and 2) how suitable of summer STEM programs for work with data. Accordingly, this analysis resulted in findings organized around the following two themes. The first theme concerned *affordances and constraints of summer STEM programs for work with data*. The second concerned *howinstructional support for work with data was measured*. Both are described in the remainder of this section. Another possible explanation related to whether PECs and the variables that make them up are appropriate outcomes, and how the PECS are measured, is an important question, but one that cannot readily be assessed from the video data that was analyzed; however, this topic is explored in the next chapter.</w:t>
      </w:r>
      <w:r>
        <w:br w:type="textWrapping"/>
      </w:r>
      <w:r>
        <w:rPr>
          <w:rStyle w:val="VerbatimChar"/>
        </w:rPr>
        <w:t xml:space="preserve"/>
      </w:r>
      <w:r>
        <w:br w:type="textWrapping"/>
      </w:r>
      <w:r>
        <w:rPr>
          <w:rStyle w:val="VerbatimChar"/>
        </w:rPr>
        <w:t xml:space="preserve">&lt;!--chapter:end:04-results.Rmd--&gt;</w:t>
      </w:r>
      <w:r>
        <w:br w:type="textWrapping"/>
      </w:r>
      <w:r>
        <w:rPr>
          <w:rStyle w:val="VerbatimChar"/>
        </w:rPr>
        <w:t xml:space="preserve"/>
      </w:r>
      <w:r>
        <w:br w:type="textWrapping"/>
      </w:r>
      <w:r>
        <w:rPr>
          <w:rStyle w:val="VerbatimChar"/>
        </w:rPr>
        <w:t xml:space="preserve"># Discussion</w:t>
      </w:r>
      <w:r>
        <w:br w:type="textWrapping"/>
      </w:r>
      <w:r>
        <w:rPr>
          <w:rStyle w:val="VerbatimChar"/>
        </w:rPr>
        <w:t xml:space="preserve"/>
      </w:r>
      <w:r>
        <w:br w:type="textWrapping"/>
      </w:r>
      <w:r>
        <w:rPr>
          <w:rStyle w:val="VerbatimChar"/>
        </w:rPr>
        <w:t xml:space="preserve">### Key Findings</w:t>
      </w:r>
      <w:r>
        <w:br w:type="textWrapping"/>
      </w:r>
      <w:r>
        <w:rPr>
          <w:rStyle w:val="VerbatimChar"/>
        </w:rPr>
        <w:t xml:space="preserve"/>
      </w:r>
      <w:r>
        <w:br w:type="textWrapping"/>
      </w:r>
      <w:r>
        <w:rPr>
          <w:rStyle w:val="VerbatimChar"/>
        </w:rPr>
        <w:t xml:space="preserve">##### The nature of engagement in summer STEM programs</w:t>
      </w:r>
      <w:r>
        <w:br w:type="textWrapping"/>
      </w:r>
      <w:r>
        <w:rPr>
          <w:rStyle w:val="VerbatimChar"/>
        </w:rPr>
        <w:t xml:space="preserve"/>
      </w:r>
      <w:r>
        <w:br w:type="textWrapping"/>
      </w:r>
      <w:r>
        <w:rPr>
          <w:rStyle w:val="VerbatimChar"/>
        </w:rPr>
        <w:t xml:space="preserve">We can identify profiles of engagement ...</w:t>
      </w:r>
      <w:r>
        <w:br w:type="textWrapping"/>
      </w:r>
      <w:r>
        <w:rPr>
          <w:rStyle w:val="VerbatimChar"/>
        </w:rPr>
        <w:t xml:space="preserve"/>
      </w:r>
      <w:r>
        <w:br w:type="textWrapping"/>
      </w:r>
      <w:r>
        <w:rPr>
          <w:rStyle w:val="VerbatimChar"/>
        </w:rPr>
        <w:t xml:space="preserve">##### What explains PECs</w:t>
      </w:r>
      <w:r>
        <w:br w:type="textWrapping"/>
      </w:r>
      <w:r>
        <w:rPr>
          <w:rStyle w:val="VerbatimChar"/>
        </w:rPr>
        <w:t xml:space="preserve"/>
      </w:r>
      <w:r>
        <w:br w:type="textWrapping"/>
      </w:r>
      <w:r>
        <w:rPr>
          <w:rStyle w:val="VerbatimChar"/>
        </w:rPr>
        <w:t xml:space="preserve">Engagement varies from moment-to-moment ...</w:t>
      </w:r>
      <w:r>
        <w:br w:type="textWrapping"/>
      </w:r>
      <w:r>
        <w:rPr>
          <w:rStyle w:val="VerbatimChar"/>
        </w:rPr>
        <w:t xml:space="preserve"/>
      </w:r>
      <w:r>
        <w:br w:type="textWrapping"/>
      </w:r>
      <w:r>
        <w:rPr>
          <w:rStyle w:val="VerbatimChar"/>
        </w:rPr>
        <w:t xml:space="preserve">##### Summer STEM programs as a context for work with data</w:t>
      </w:r>
      <w:r>
        <w:br w:type="textWrapping"/>
      </w:r>
      <w:r>
        <w:rPr>
          <w:rStyle w:val="VerbatimChar"/>
        </w:rPr>
        <w:t xml:space="preserve"/>
      </w:r>
      <w:r>
        <w:br w:type="textWrapping"/>
      </w:r>
      <w:r>
        <w:rPr>
          <w:rStyle w:val="VerbatimChar"/>
        </w:rPr>
        <w:t xml:space="preserve">### Limitations of the Study</w:t>
      </w:r>
      <w:r>
        <w:br w:type="textWrapping"/>
      </w:r>
      <w:r>
        <w:rPr>
          <w:rStyle w:val="VerbatimChar"/>
        </w:rPr>
        <w:t xml:space="preserve"/>
      </w:r>
      <w:r>
        <w:br w:type="textWrapping"/>
      </w:r>
      <w:r>
        <w:rPr>
          <w:rStyle w:val="VerbatimChar"/>
        </w:rPr>
        <w:t xml:space="preserve">##### Measurement issues</w:t>
      </w:r>
      <w:r>
        <w:br w:type="textWrapping"/>
      </w:r>
      <w:r>
        <w:rPr>
          <w:rStyle w:val="VerbatimChar"/>
        </w:rPr>
        <w:t xml:space="preserve"/>
      </w:r>
      <w:r>
        <w:br w:type="textWrapping"/>
      </w:r>
      <w:r>
        <w:rPr>
          <w:rStyle w:val="VerbatimChar"/>
        </w:rPr>
        <w:t xml:space="preserve">How instructional support for work with data was measured seems to have been an issue, given the qualitative coding ...</w:t>
      </w:r>
      <w:r>
        <w:br w:type="textWrapping"/>
      </w:r>
      <w:r>
        <w:rPr>
          <w:rStyle w:val="VerbatimChar"/>
        </w:rPr>
        <w:t xml:space="preserve"/>
      </w:r>
      <w:r>
        <w:br w:type="textWrapping"/>
      </w:r>
      <w:r>
        <w:rPr>
          <w:rStyle w:val="VerbatimChar"/>
        </w:rPr>
        <w:t xml:space="preserve">##### Context issues</w:t>
      </w:r>
      <w:r>
        <w:br w:type="textWrapping"/>
      </w:r>
      <w:r>
        <w:rPr>
          <w:rStyle w:val="VerbatimChar"/>
        </w:rPr>
        <w:t xml:space="preserve"/>
      </w:r>
      <w:r>
        <w:br w:type="textWrapping"/>
      </w:r>
      <w:r>
        <w:rPr>
          <w:rStyle w:val="VerbatimChar"/>
        </w:rPr>
        <w:t xml:space="preserve">These programs were not designed to support work with data ...</w:t>
      </w:r>
      <w:r>
        <w:br w:type="textWrapping"/>
      </w:r>
      <w:r>
        <w:rPr>
          <w:rStyle w:val="VerbatimChar"/>
        </w:rPr>
        <w:t xml:space="preserve"/>
      </w:r>
      <w:r>
        <w:br w:type="textWrapping"/>
      </w:r>
      <w:r>
        <w:rPr>
          <w:rStyle w:val="VerbatimChar"/>
        </w:rPr>
        <w:t xml:space="preserve">### Recommendations for Future Research</w:t>
      </w:r>
      <w:r>
        <w:br w:type="textWrapping"/>
      </w:r>
      <w:r>
        <w:rPr>
          <w:rStyle w:val="VerbatimChar"/>
        </w:rPr>
        <w:t xml:space="preserve"/>
      </w:r>
      <w:r>
        <w:br w:type="textWrapping"/>
      </w:r>
      <w:r>
        <w:rPr>
          <w:rStyle w:val="VerbatimChar"/>
        </w:rPr>
        <w:t xml:space="preserve">##### Explore work with data in settings designed to support it</w:t>
      </w:r>
      <w:r>
        <w:br w:type="textWrapping"/>
      </w:r>
      <w:r>
        <w:rPr>
          <w:rStyle w:val="VerbatimChar"/>
        </w:rPr>
        <w:t xml:space="preserve"/>
      </w:r>
      <w:r>
        <w:br w:type="textWrapping"/>
      </w:r>
      <w:r>
        <w:rPr>
          <w:rStyle w:val="VerbatimChar"/>
        </w:rPr>
        <w:t xml:space="preserve">There are increasingly "data camps" ...</w:t>
      </w:r>
      <w:r>
        <w:br w:type="textWrapping"/>
      </w:r>
      <w:r>
        <w:rPr>
          <w:rStyle w:val="VerbatimChar"/>
        </w:rPr>
        <w:t xml:space="preserve"/>
      </w:r>
      <w:r>
        <w:br w:type="textWrapping"/>
      </w:r>
      <w:r>
        <w:rPr>
          <w:rStyle w:val="VerbatimChar"/>
        </w:rPr>
        <w:t xml:space="preserve">##### Measure student work with data as well as instructional support for work with data</w:t>
      </w:r>
      <w:r>
        <w:br w:type="textWrapping"/>
      </w:r>
      <w:r>
        <w:rPr>
          <w:rStyle w:val="VerbatimChar"/>
        </w:rPr>
        <w:t xml:space="preserve"/>
      </w:r>
      <w:r>
        <w:br w:type="textWrapping"/>
      </w:r>
      <w:r>
        <w:rPr>
          <w:rStyle w:val="VerbatimChar"/>
        </w:rPr>
        <w:t xml:space="preserve">Measuring what students do in addition to what teachers do is important ...</w:t>
      </w:r>
      <w:r>
        <w:br w:type="textWrapping"/>
      </w:r>
      <w:r>
        <w:rPr>
          <w:rStyle w:val="VerbatimChar"/>
        </w:rPr>
        <w:t xml:space="preserve"/>
      </w:r>
      <w:r>
        <w:br w:type="textWrapping"/>
      </w:r>
      <w:r>
        <w:rPr>
          <w:rStyle w:val="VerbatimChar"/>
        </w:rPr>
        <w:t xml:space="preserve">##### Explore changes in longer-term outcomes</w:t>
      </w:r>
      <w:r>
        <w:br w:type="textWrapping"/>
      </w:r>
      <w:r>
        <w:rPr>
          <w:rStyle w:val="VerbatimChar"/>
        </w:rPr>
        <w:t xml:space="preserve"/>
      </w:r>
      <w:r>
        <w:br w:type="textWrapping"/>
      </w:r>
      <w:r>
        <w:rPr>
          <w:rStyle w:val="VerbatimChar"/>
        </w:rPr>
        <w:t xml:space="preserve">Changes in longer-term outcomes, such as future plans and goals, are an important goal for summer STEM educators and other stakeholders in such programs ...</w:t>
      </w:r>
      <w:r>
        <w:br w:type="textWrapping"/>
      </w:r>
      <w:r>
        <w:rPr>
          <w:rStyle w:val="VerbatimChar"/>
        </w:rPr>
        <w:t xml:space="preserve"/>
      </w:r>
      <w:r>
        <w:br w:type="textWrapping"/>
      </w:r>
      <w:r>
        <w:rPr>
          <w:rStyle w:val="VerbatimChar"/>
        </w:rPr>
        <w:t xml:space="preserve">### Implications for Practice</w:t>
      </w:r>
      <w:r>
        <w:br w:type="textWrapping"/>
      </w:r>
      <w:r>
        <w:rPr>
          <w:rStyle w:val="VerbatimChar"/>
        </w:rPr>
        <w:t xml:space="preserve"/>
      </w:r>
      <w:r>
        <w:br w:type="textWrapping"/>
      </w:r>
      <w:r>
        <w:rPr>
          <w:rStyle w:val="VerbatimChar"/>
        </w:rPr>
        <w:t xml:space="preserve">##### Engage students in complete cycles of investigation</w:t>
      </w:r>
      <w:r>
        <w:br w:type="textWrapping"/>
      </w:r>
      <w:r>
        <w:rPr>
          <w:rStyle w:val="VerbatimChar"/>
        </w:rPr>
        <w:t xml:space="preserve"/>
      </w:r>
      <w:r>
        <w:br w:type="textWrapping"/>
      </w:r>
      <w:r>
        <w:rPr>
          <w:rStyle w:val="VerbatimChar"/>
        </w:rPr>
        <w:t xml:space="preserve">##### Support engagement in specific moments</w:t>
      </w:r>
      <w:r>
        <w:br w:type="textWrapping"/>
      </w:r>
      <w:r>
        <w:rPr>
          <w:rStyle w:val="VerbatimChar"/>
        </w:rPr>
        <w:t xml:space="preserve"/>
      </w:r>
      <w:r>
        <w:br w:type="textWrapping"/>
      </w:r>
      <w:r>
        <w:rPr>
          <w:rStyle w:val="VerbatimChar"/>
        </w:rP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r>
        <w:br w:type="textWrapping"/>
      </w:r>
      <w:r>
        <w:rPr>
          <w:rStyle w:val="VerbatimChar"/>
        </w:rPr>
        <w:t xml:space="preserve"/>
      </w:r>
      <w:r>
        <w:br w:type="textWrapping"/>
      </w:r>
      <w:r>
        <w:rPr>
          <w:rStyle w:val="VerbatimChar"/>
        </w:rPr>
        <w:t xml:space="preserve">\newpage</w:t>
      </w:r>
      <w:r>
        <w:br w:type="textWrapping"/>
      </w:r>
      <w:r>
        <w:rPr>
          <w:rStyle w:val="VerbatimChar"/>
        </w:rPr>
        <w:t xml:space="preserve"/>
      </w:r>
      <w:r>
        <w:br w:type="textWrapping"/>
      </w:r>
      <w:r>
        <w:rPr>
          <w:rStyle w:val="VerbatimChar"/>
        </w:rPr>
        <w:t xml:space="preserve">&lt;!--chapter:end:05-discussion.Rmd--&gt;</w:t>
      </w:r>
      <w:r>
        <w:br w:type="textWrapping"/>
      </w:r>
      <w:r>
        <w:rPr>
          <w:rStyle w:val="VerbatimChar"/>
        </w:rPr>
        <w:t xml:space="preserve"/>
      </w:r>
      <w:r>
        <w:br w:type="textWrapping"/>
      </w:r>
      <w:r>
        <w:rPr>
          <w:rStyle w:val="VerbatimChar"/>
        </w:rPr>
        <w:t xml:space="preserve"># References</w:t>
      </w:r>
      <w:r>
        <w:br w:type="textWrapping"/>
      </w:r>
      <w:r>
        <w:rPr>
          <w:rStyle w:val="VerbatimChar"/>
        </w:rPr>
        <w:t xml:space="preserve"/>
      </w:r>
      <w:r>
        <w:br w:type="textWrapping"/>
      </w:r>
      <w:r>
        <w:rPr>
          <w:rStyle w:val="VerbatimChar"/>
        </w:rPr>
        <w:t xml:space="preserve">\setlength{\parindent}{-0.5in}</w:t>
      </w:r>
      <w:r>
        <w:br w:type="textWrapping"/>
      </w:r>
      <w:r>
        <w:rPr>
          <w:rStyle w:val="VerbatimChar"/>
        </w:rPr>
        <w:t xml:space="preserve">\setlength{\leftskip}{0.5in}</w:t>
      </w:r>
      <w:r>
        <w:br w:type="textWrapping"/>
      </w:r>
      <w:r>
        <w:rPr>
          <w:rStyle w:val="VerbatimChar"/>
        </w:rPr>
        <w:t xml:space="preserve"/>
      </w:r>
      <w:r>
        <w:br w:type="textWrapping"/>
      </w:r>
      <w:r>
        <w:rPr>
          <w:rStyle w:val="VerbatimChar"/>
        </w:rPr>
        <w:t xml:space="preserve">Akiva, T. (2005). Turning training into results: The new youth program quality assessment. High/Scope Resource, 24(2), 21-24.  </w:t>
      </w:r>
      <w:r>
        <w:br w:type="textWrapping"/>
      </w:r>
      <w:r>
        <w:rPr>
          <w:rStyle w:val="VerbatimChar"/>
        </w:rPr>
        <w:t xml:space="preserve">Bergman, L. R., &amp; Magnusson, D. (1997). A person-oriented approach in research on developmental psychopathology. Development and psychopathology, 9(2), 291-319.  </w:t>
      </w:r>
      <w:r>
        <w:br w:type="textWrapping"/>
      </w:r>
      <w:r>
        <w:rPr>
          <w:rStyle w:val="VerbatimChar"/>
        </w:rPr>
        <w:t xml:space="preserve">Bergman, L. R., Magnusson, D., &amp; El Khouri, B. M. (2003). Studying individual development in an interindividual context: A person-oriented approach. Psychology Press.  </w:t>
      </w:r>
      <w:r>
        <w:br w:type="textWrapping"/>
      </w:r>
      <w:r>
        <w:rPr>
          <w:rStyle w:val="VerbatimChar"/>
        </w:rPr>
        <w:t xml:space="preserve">Berland, L. K., Schwarz, C. V., Krist, C., Kenyon, L., Lo, A. S., &amp; Reiser, B. J. (2016). Epistemologies in practice: Making scientific practices meaningful for students. Journal of Research in Science Teaching, 53(7), 1082-1112.  </w:t>
      </w:r>
      <w:r>
        <w:br w:type="textWrapping"/>
      </w:r>
      <w:r>
        <w:rPr>
          <w:rStyle w:val="VerbatimChar"/>
        </w:rPr>
        <w:t xml:space="preserve">Bielik, T., &amp; Yarden, A. (2016). Promoting the asking of research questions in a high-school biotechnology inquiry-oriented program. International Journal of STEM Education, 3(1), 15.  </w:t>
      </w:r>
      <w:r>
        <w:br w:type="textWrapping"/>
      </w:r>
      <w:r>
        <w:rPr>
          <w:rStyle w:val="VerbatimChar"/>
        </w:rPr>
        <w:t xml:space="preserve">Breckenridge, J. N. (2000). Validating cluster analysis: Consistent replication and symmetry. Multivariate Behavioral Research, 35(2), 261-285.  </w:t>
      </w:r>
      <w:r>
        <w:br w:type="textWrapping"/>
      </w:r>
      <w:r>
        <w:rPr>
          <w:rStyle w:val="VerbatimChar"/>
        </w:rPr>
        <w:t xml:space="preserve">Bystydzienski, J. M., Eisenhart, M., &amp; Bruning, M. (2015). High school is not too late: Developing girls’ interest and engagement in engineering careers. Career Development Quarterly, 63(1), 88–95.   http://doi.org/10.1002/j.2161-0045.2015.00097.x</w:t>
      </w:r>
      <w:r>
        <w:br w:type="textWrapping"/>
      </w:r>
      <w:r>
        <w:rPr>
          <w:rStyle w:val="VerbatimChar"/>
        </w:rPr>
        <w:t xml:space="preserve">Cohen, J. (1992). A power primer. Psychological Bulletin, 112(1), 155.  </w:t>
      </w:r>
      <w:r>
        <w:br w:type="textWrapping"/>
      </w:r>
      <w:r>
        <w:rPr>
          <w:rStyle w:val="VerbatimChar"/>
        </w:rP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  </w:t>
      </w:r>
      <w:r>
        <w:br w:type="textWrapping"/>
      </w:r>
      <w:r>
        <w:rPr>
          <w:rStyle w:val="VerbatimChar"/>
        </w:rPr>
        <w:t xml:space="preserve">Corpus, J. H., &amp; Wormington, S. V. (2014). Profiles of intrinsic and extrinsic motivations in elementary school: A longitudinal analysis. The Journal of Experimental Education, 82(4), 480-501.  </w:t>
      </w:r>
      <w:r>
        <w:br w:type="textWrapping"/>
      </w:r>
      <w:r>
        <w:rPr>
          <w:rStyle w:val="VerbatimChar"/>
        </w:rPr>
        <w:t xml:space="preserve">Csikszentmihalyi, M. (1990). Flow: The psychology of optimal performance. Cambridge, England: Cambridge University Press.  </w:t>
      </w:r>
      <w:r>
        <w:br w:type="textWrapping"/>
      </w:r>
      <w:r>
        <w:rPr>
          <w:rStyle w:val="VerbatimChar"/>
        </w:rPr>
        <w:t xml:space="preserve">Csikszentmihalyi, M. (1997). Finding flow: The psychology of engagement with everyday life. New York, NY: Basic Books.  </w:t>
      </w:r>
      <w:r>
        <w:br w:type="textWrapping"/>
      </w:r>
      <w:r>
        <w:rPr>
          <w:rStyle w:val="VerbatimChar"/>
        </w:rPr>
        <w:t xml:space="preserve">Creswell, J. W., Plano Clark, V. L., Gutmann, M. L., &amp; Hanson, W. E. (2003). Advanced mixed methods research designs. In A. Tashakkori &amp; C. Teddlie (Eds.), Handbook of mixed methods in social and behavioral research (pp. 209–240). Thousand Oaks, CA: Sage.  </w:t>
      </w:r>
      <w:r>
        <w:br w:type="textWrapping"/>
      </w:r>
      <w:r>
        <w:rPr>
          <w:rStyle w:val="VerbatimChar"/>
        </w:rPr>
        <w:t xml:space="preserve">English, L. D. (2012). Data modelling with first-grade students. Educational Studies in Mathematics, 81(1), 15-30.  </w:t>
      </w:r>
      <w:r>
        <w:br w:type="textWrapping"/>
      </w:r>
      <w:r>
        <w:rPr>
          <w:rStyle w:val="VerbatimChar"/>
        </w:rPr>
        <w:t xml:space="preserve">Finzer, W. (2013). The data science education dilemma. Technology Innovations in Statistics Education, 7(2), p. 1-9.  </w:t>
      </w:r>
      <w:r>
        <w:br w:type="textWrapping"/>
      </w:r>
      <w:r>
        <w:rPr>
          <w:rStyle w:val="VerbatimChar"/>
        </w:rPr>
        <w:t xml:space="preserve">Forum for Youth Investment. (2012). Youth Program Quality Assessment. Washington, DC: The Forum for Youth Investment</w:t>
      </w:r>
      <w:r>
        <w:br w:type="textWrapping"/>
      </w:r>
      <w:r>
        <w:rPr>
          <w:rStyle w:val="VerbatimChar"/>
        </w:rPr>
        <w:t xml:space="preserve">Franklin, C., Kader, G., Mewborn, D., Moreno, J., Peck, R., Perry, M., &amp; Scheaffer, R. (2007). Guidelines for assessment and instruction in statistics education (GAISE) report. Alexandria, VA: American Statistical Association.  </w:t>
      </w:r>
      <w:r>
        <w:br w:type="textWrapping"/>
      </w:r>
      <w:r>
        <w:rPr>
          <w:rStyle w:val="VerbatimChar"/>
        </w:rP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 https://doi.org/10.1007/978-1-4614-2018-7_37  </w:t>
      </w:r>
      <w:r>
        <w:br w:type="textWrapping"/>
      </w:r>
      <w:r>
        <w:rPr>
          <w:rStyle w:val="VerbatimChar"/>
        </w:rPr>
        <w:t xml:space="preserve">Fredricks, J. A., Blumenfeld, P. C., &amp; Paris, A. H. (2004). School engagement: Potential of the concept, state of the evidence. Review of Educational Research, 74(1), 59-109.  </w:t>
      </w:r>
      <w:r>
        <w:br w:type="textWrapping"/>
      </w:r>
      <w:r>
        <w:rPr>
          <w:rStyle w:val="VerbatimChar"/>
        </w:rPr>
        <w:t xml:space="preserve">Fredricks, J. A., Filsecker, M., &amp; Lawson, M. A. (2016). Student engagement, context, and adjustment: Addressing definitional, measurement, and methodological issues. Learning &amp; Instruction, 43, 1-4.  </w:t>
      </w:r>
      <w:r>
        <w:br w:type="textWrapping"/>
      </w:r>
      <w:r>
        <w:rPr>
          <w:rStyle w:val="VerbatimChar"/>
        </w:rPr>
        <w:t xml:space="preserve">Gelman, S. A., &amp; Markman, E. M. (1987). Young children's inductions from natural kinds: The role of categories and appearances. Child Development, 58(6), 1532-1541.  </w:t>
      </w:r>
      <w:r>
        <w:br w:type="textWrapping"/>
      </w:r>
      <w:r>
        <w:rPr>
          <w:rStyle w:val="VerbatimChar"/>
        </w:rPr>
        <w:t xml:space="preserve">Gopnik, A., &amp; Sobel, D. M. (2000). Detecting blickets: How young children use information about novel causal powers in categorization and induction. Child Development, 71(5), 1205-1222.  </w:t>
      </w:r>
      <w:r>
        <w:br w:type="textWrapping"/>
      </w:r>
      <w:r>
        <w:rPr>
          <w:rStyle w:val="VerbatimChar"/>
        </w:rPr>
        <w:t xml:space="preserve">Gopnik, A., Sobel, D. M., Schulz, L. E., &amp; Glymour, C. (2001). Causal learning mechanisms in very young children: two-, three-, and four-year-olds infer causal relations from patterns of variation and covariation. Developmental Psychology, 37(5), 620.  </w:t>
      </w:r>
      <w:r>
        <w:br w:type="textWrapping"/>
      </w:r>
      <w:r>
        <w:rPr>
          <w:rStyle w:val="VerbatimChar"/>
        </w:rPr>
        <w:t xml:space="preserve">Greene, B. A. (2015). Measuring cognitive engagement with self-report scales: Reflections from over 20 years of research. Educational Psychologist, 50(1), 14-30.  </w:t>
      </w:r>
      <w:r>
        <w:br w:type="textWrapping"/>
      </w:r>
      <w:r>
        <w:rPr>
          <w:rStyle w:val="VerbatimChar"/>
        </w:rPr>
        <w:t xml:space="preserve">Greene, K. M., Lee, B., Constance, N., &amp; Hynes, K. (2013). Examining youth and program predictors of engagement in out-of-school time programs. Journal of Youth and Adolescence, 42(10), 1557-1572.  </w:t>
      </w:r>
      <w:r>
        <w:br w:type="textWrapping"/>
      </w:r>
      <w:r>
        <w:rPr>
          <w:rStyle w:val="VerbatimChar"/>
        </w:rPr>
        <w:t xml:space="preserve">Hancock, C., Kaput, J. J., &amp; Goldsmith, L. T. (1992). Authentic inquiry with data: Critical barriers to classroom implementation. Educational Psychologist, 27(3), 337-364.  </w:t>
      </w:r>
      <w:r>
        <w:br w:type="textWrapping"/>
      </w:r>
      <w:r>
        <w:rPr>
          <w:rStyle w:val="VerbatimChar"/>
        </w:rPr>
        <w:t xml:space="preserve">Harring, J. R., &amp; Hodis, F. A. (2016). Mixture modeling: Applications in educational psychology. Educational Psychologist, 51(3-4), 354-367.  </w:t>
      </w:r>
      <w:r>
        <w:br w:type="textWrapping"/>
      </w:r>
      <w:r>
        <w:rPr>
          <w:rStyle w:val="VerbatimChar"/>
        </w:rPr>
        <w:t xml:space="preserve">Hasson, E., &amp; Yarden, A. (2012). Separating the research question from the laboratory techniques: Advancing high‐school biology teachers' ability to ask research questions. Journal of Research in Science Teaching, 49(10), 1296-1320.  </w:t>
      </w:r>
      <w:r>
        <w:br w:type="textWrapping"/>
      </w:r>
      <w:r>
        <w:rPr>
          <w:rStyle w:val="VerbatimChar"/>
        </w:rPr>
        <w:t xml:space="preserve">Hayenga, A. O., &amp; Corpus, J. H. (2010). Profiles of intrinsic and extrinsic motivations: A person-centered approach to motivation and achievement in middle school. Motivation and Emotion, 34(4), 371-383.  </w:t>
      </w:r>
      <w:r>
        <w:br w:type="textWrapping"/>
      </w:r>
      <w:r>
        <w:rPr>
          <w:rStyle w:val="VerbatimChar"/>
        </w:rPr>
        <w:t xml:space="preserve">Hektner, J. M., Schmidt, J. A., &amp; Csikszentmihalyi, M. (2007). Experience sampling method: Measuring the quality of everyday life. Sage.  </w:t>
      </w:r>
      <w:r>
        <w:br w:type="textWrapping"/>
      </w:r>
      <w:r>
        <w:rPr>
          <w:rStyle w:val="VerbatimChar"/>
        </w:rPr>
        <w:t xml:space="preserve">Jahnukainen, M. (2010). Extreme cases. Encyclopedia of Case Study Research. Thousand Oaks, CA: Sage.</w:t>
      </w:r>
      <w:r>
        <w:br w:type="textWrapping"/>
      </w:r>
      <w:r>
        <w:rPr>
          <w:rStyle w:val="VerbatimChar"/>
        </w:rPr>
        <w:t xml:space="preserve">Konold, C., &amp; Pollatsek, A. (2002). Data analysis as the search for signals in noisy processes. Journal for Research in Mathematics Education, 33(4), 259-289.  </w:t>
      </w:r>
      <w:r>
        <w:br w:type="textWrapping"/>
      </w:r>
      <w:r>
        <w:rPr>
          <w:rStyle w:val="VerbatimChar"/>
        </w:rPr>
        <w:t xml:space="preserve">Lauer, P. A., Akiba, M., Wilkerson, S. B., Apthorp, H. S., Snow, D., &amp; Martin-Glenn, M. L. (2006). Out-of-school-time programs: A meta-analysis of effects for at-risk students. Review of educational research, 76(2), 275-313.  </w:t>
      </w:r>
      <w:r>
        <w:br w:type="textWrapping"/>
      </w:r>
      <w:r>
        <w:rPr>
          <w:rStyle w:val="VerbatimChar"/>
        </w:rPr>
        <w:t xml:space="preserve">Lee, H. S., Angotti, R. L., &amp; Tarr, J. E. (2010). Making comparisons between observed data and expected outcomes: students’ informal hypothesis testing with probability simulation tools. Statistics Education Research Journal, 9(1), 68-96.  </w:t>
      </w:r>
      <w:r>
        <w:br w:type="textWrapping"/>
      </w:r>
      <w:r>
        <w:rPr>
          <w:rStyle w:val="VerbatimChar"/>
        </w:rPr>
        <w:t xml:space="preserve">Lee, H., &amp; Hollebrands, K. (2008). Preparing to teach mathematics with technology: An integrated approach to developing technological pedagogical content knowledge. Contemporary Issues in Technology and Teacher Education, 8(4), 326-341.  </w:t>
      </w:r>
      <w:r>
        <w:br w:type="textWrapping"/>
      </w:r>
      <w:r>
        <w:rPr>
          <w:rStyle w:val="VerbatimChar"/>
        </w:rPr>
        <w:t xml:space="preserve">Lehrer, R., &amp; Romberg, T. (1996). Exploring children's data modeling. Cognition and Instruction, 14(1), 69-108.  </w:t>
      </w:r>
      <w:r>
        <w:br w:type="textWrapping"/>
      </w:r>
      <w:r>
        <w:rPr>
          <w:rStyle w:val="VerbatimChar"/>
        </w:rPr>
        <w:t xml:space="preserve">Lehrer, R., &amp; Schauble, L. (2004). Modeling natural variation through distribution. American Educational Research Journal, 41(3), 635-679.  </w:t>
      </w:r>
      <w:r>
        <w:br w:type="textWrapping"/>
      </w:r>
      <w:r>
        <w:rPr>
          <w:rStyle w:val="VerbatimChar"/>
        </w:rPr>
        <w:t xml:space="preserve">Lehrer, R. &amp; Schauble, L. (2015). Developing scientific thinking. In L. S. Liben &amp; U. Müller (Eds.), Cognitive processes. Handbook of child psychology and developmental science (Vol. 2, 7th ed., pp. 671-174). Hoboken, NJ: Wiley.  </w:t>
      </w:r>
      <w:r>
        <w:br w:type="textWrapping"/>
      </w:r>
      <w:r>
        <w:rPr>
          <w:rStyle w:val="VerbatimChar"/>
        </w:rPr>
        <w:t xml:space="preserve">Lehrer, R., Kim, M. J., &amp; Jones, R. S. (2011). Developing conceptions of statistics by designing measures of distribution. ZDM, 43(5), 723-736.  </w:t>
      </w:r>
      <w:r>
        <w:br w:type="textWrapping"/>
      </w:r>
      <w:r>
        <w:rPr>
          <w:rStyle w:val="VerbatimChar"/>
        </w:rPr>
        <w:t xml:space="preserve">Lehrer, R., Kim, M. J., &amp; Schauble, L. (2007). Supporting the development of conceptions of statistics by engaging students in measuring and modeling variability. International Journal of Computers for Mathematical Learning, 12(3), 195-216.  </w:t>
      </w:r>
      <w:r>
        <w:br w:type="textWrapping"/>
      </w:r>
      <w:r>
        <w:rPr>
          <w:rStyle w:val="VerbatimChar"/>
        </w:rPr>
        <w:t xml:space="preserve">Lesh, R., Middleton, J. A., Caylor, E., &amp; Gupta, S. (2008). A science need: Designing tasks to engage students in modeling complex data. Educational Studies in Mathematics, 68(2), 113-130.  </w:t>
      </w:r>
      <w:r>
        <w:br w:type="textWrapping"/>
      </w:r>
      <w:r>
        <w:rPr>
          <w:rStyle w:val="VerbatimChar"/>
        </w:rPr>
        <w:t xml:space="preserve">Linnansaari, J., Viljaranta, J., Lavonen, J., Schneider, B., &amp; Salmela-Aro, K. (2015). Finnish Students Engagement in Science Lessons. NorDiNa: Nordic Studies in Science Education, 11(2), 192-206. Retrieved from https://www.journals.uio.no/index.php/nordina/article/view/2047  </w:t>
      </w:r>
      <w:r>
        <w:br w:type="textWrapping"/>
      </w:r>
      <w:r>
        <w:rPr>
          <w:rStyle w:val="VerbatimChar"/>
        </w:rPr>
        <w:t xml:space="preserve">Lovett, M. C., &amp; Shah, P. (2007). Preface. In M. C. Lovett &amp; P. Shah (Eds.), Thinking with data (pp. x-xx [requested book through ILL to confirm page #s]). New York, NY: Lawrence Erlbaum.  </w:t>
      </w:r>
      <w:r>
        <w:br w:type="textWrapping"/>
      </w:r>
      <w:r>
        <w:rPr>
          <w:rStyle w:val="VerbatimChar"/>
        </w:rPr>
        <w:t xml:space="preserve">Magnusson, D., &amp; Cairns, R. B. (1996). Developmental science: Toward a unified framework. Cambridge, England: Cambridge University Press.  </w:t>
      </w:r>
      <w:r>
        <w:br w:type="textWrapping"/>
      </w:r>
      <w:r>
        <w:rPr>
          <w:rStyle w:val="VerbatimChar"/>
        </w:rPr>
        <w:t xml:space="preserve">McNeill, K. L., &amp; Berland, L. (2017). What is (or should be) scientific evidence use in k‐12 classrooms? Journal of Research in Science Teaching, 54(5), 672-689.  </w:t>
      </w:r>
      <w:r>
        <w:br w:type="textWrapping"/>
      </w:r>
      <w:r>
        <w:rPr>
          <w:rStyle w:val="VerbatimChar"/>
        </w:rPr>
        <w:t xml:space="preserve">Muthén, B. (2004). Latent variable analysis. The Sage handbook of quantitative methodology for the social sciences. Thousand Oaks, CA: Sage Publications, 345-68.  </w:t>
      </w:r>
      <w:r>
        <w:br w:type="textWrapping"/>
      </w:r>
      <w:r>
        <w:rPr>
          <w:rStyle w:val="VerbatimChar"/>
        </w:rPr>
        <w:t xml:space="preserve">Muthén, L. K., &amp; Muthén, B. O. (1998-2017). Mplus User's Guide. Los Angeles, CA: Muthén &amp; Muthén.</w:t>
      </w:r>
      <w:r>
        <w:br w:type="textWrapping"/>
      </w:r>
      <w:r>
        <w:rPr>
          <w:rStyle w:val="VerbatimChar"/>
        </w:rPr>
        <w:t xml:space="preserve">NGSS Lead States. (2013). Next generation science standards: For states, by states. Washington, DC: National Academies Press.  </w:t>
      </w:r>
      <w:r>
        <w:br w:type="textWrapping"/>
      </w:r>
      <w:r>
        <w:rPr>
          <w:rStyle w:val="VerbatimChar"/>
        </w:rPr>
        <w:t xml:space="preserve">Nolen, S. B., Horn, I. S., &amp; Ward, C. J. (2015). Situating motivation. Educational Psychologist, 50(3), 234-247.</w:t>
      </w:r>
      <w:r>
        <w:br w:type="textWrapping"/>
      </w:r>
      <w:r>
        <w:rPr>
          <w:rStyle w:val="VerbatimChar"/>
        </w:rPr>
        <w:t xml:space="preserve">Patall, E. A., Vasquez, A. C., Steingut, R. R., Trimble, S. S., &amp; Pituch, K. A. (2016). Daily interest, engagement, and autonomy support in the high school science classroom. Contemporary Educational Psychology, 46, 180-194.  </w:t>
      </w:r>
      <w:r>
        <w:br w:type="textWrapping"/>
      </w:r>
      <w:r>
        <w:rPr>
          <w:rStyle w:val="VerbatimChar"/>
        </w:rP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br w:type="textWrapping"/>
      </w:r>
      <w:r>
        <w:rPr>
          <w:rStyle w:val="VerbatimChar"/>
        </w:rPr>
        <w:t xml:space="preserve">http://dx.doi.org/10.1037/edu0000214  </w:t>
      </w:r>
      <w:r>
        <w:br w:type="textWrapping"/>
      </w:r>
      <w:r>
        <w:rPr>
          <w:rStyle w:val="VerbatimChar"/>
        </w:rPr>
        <w:t xml:space="preserve">Pekrun, R., &amp; Linnenbrink-Garcia, L. (2012). Academic emotions and student engagement. In S. L. Christenson, A. L. Reschly, &amp; C. Wylie (Eds.), Handbook of research on student engagement (pp. 259-292). New York, NY: Springer.</w:t>
      </w:r>
      <w:r>
        <w:br w:type="textWrapping"/>
      </w:r>
      <w:r>
        <w:rPr>
          <w:rStyle w:val="VerbatimChar"/>
        </w:rPr>
        <w:t xml:space="preserve">Petrosino, A., Lehrer, R., &amp; Schauble, L. (2003). Structuring error and experimental variation as distribution in the fourth grade. Mathematical Thinking and Learning, 5 (2&amp;3), 131-156.  </w:t>
      </w:r>
      <w:r>
        <w:br w:type="textWrapping"/>
      </w:r>
      <w:r>
        <w:rPr>
          <w:rStyle w:val="VerbatimChar"/>
        </w:rPr>
        <w:t xml:space="preserve">Piaget, J., &amp; Inhelder, B. (1969). The psychology of the child. New York, NY: Basic Books.  </w:t>
      </w:r>
      <w:r>
        <w:br w:type="textWrapping"/>
      </w:r>
      <w:r>
        <w:rPr>
          <w:rStyle w:val="VerbatimChar"/>
        </w:rPr>
        <w:t xml:space="preserve">Pöysä, S., Vasalampi, K., Muotka, J., Lerkkanen, M. K., Poikkeus, A. M., &amp; Nurmi, J. E. (2017). Variation in situation-specific engagement among lower secondary school students. Learning and Instruction. http://dx.doi.org/10.1016/j.learninstruc.2017.07.007  </w:t>
      </w:r>
      <w:r>
        <w:br w:type="textWrapping"/>
      </w:r>
      <w:r>
        <w:rPr>
          <w:rStyle w:val="VerbatimChar"/>
        </w:rPr>
        <w:t xml:space="preserve">Rosenberg, J. M. (2018). Comparing mplus and mclust output. Retrieved from https://jrosen48.github.io/r-markdown/comparing-mplus-mclust.html</w:t>
      </w:r>
      <w:r>
        <w:br w:type="textWrapping"/>
      </w:r>
      <w:r>
        <w:rPr>
          <w:rStyle w:val="VerbatimChar"/>
        </w:rPr>
        <w:t xml:space="preserve">Salmela-Aro, K., Moeller, J., Schneider, B., Spicer, J., &amp; Lavonen, J. (2016). Integrating the light and dark sides of student engagement using person-oriented and situation-specific approaches. Learning and Instruction, 43, 61-70.  </w:t>
      </w:r>
      <w:r>
        <w:br w:type="textWrapping"/>
      </w:r>
      <w:r>
        <w:rPr>
          <w:rStyle w:val="VerbatimChar"/>
        </w:rPr>
        <w:t xml:space="preserve">Salmela-Aro, K., Muotka, J., Alho, K., Hakkarainen, K., &amp; Lonka, K. (2016). School burnout and engagement profiles among digital natives in Finland: A person-oriented approach. European Journal of Developmental Psychology, 13(6), 704-718.  </w:t>
      </w:r>
      <w:r>
        <w:br w:type="textWrapping"/>
      </w:r>
      <w:r>
        <w:rPr>
          <w:rStyle w:val="VerbatimChar"/>
        </w:rPr>
        <w:t xml:space="preserve">Schneider, B., Krajcik, J., Lavonen, J., Salmela‐Aro, K., Broda, M., Spicer, J., ... &amp; Viljaranta, J. (2016). Investigating optimal learning moments in US and Finnish science classes. Journal of Research in Science Teaching, 53(3), 400-421.  </w:t>
      </w:r>
      <w:r>
        <w:br w:type="textWrapping"/>
      </w:r>
      <w:r>
        <w:rPr>
          <w:rStyle w:val="VerbatimChar"/>
        </w:rPr>
        <w:t xml:space="preserve">Schmidt, J. A., Rosenberg, J. M., Beymer, P. (advance online publication). A person-in-context approach to student engagement in science: Examining learning activities and choice. Journal of Research in Science Teaching. https://dx.doi.org/10.1002/tea.21409  </w:t>
      </w:r>
      <w:r>
        <w:br w:type="textWrapping"/>
      </w:r>
      <w:r>
        <w:rPr>
          <w:rStyle w:val="VerbatimChar"/>
        </w:rPr>
        <w:t xml:space="preserve">Schwarz, N., Kahneman, D., &amp; Xu, J. (2009). Global and episodic reports of hedonic experience. In R. Belli, D. Alwen, &amp; F. Stafford (Eds.), Using calendar and diary methods in life events research (pp. 157-174). Newbury Park, CA: Sage.  </w:t>
      </w:r>
      <w:r>
        <w:br w:type="textWrapping"/>
      </w:r>
      <w:r>
        <w:rPr>
          <w:rStyle w:val="VerbatimChar"/>
        </w:rPr>
        <w:t xml:space="preserve">Sfard, A. (1998). On two metaphors for learning and the dangers of choosing just one. Educational Researcher, 27(2), 4-13.  </w:t>
      </w:r>
      <w:r>
        <w:br w:type="textWrapping"/>
      </w:r>
      <w:r>
        <w:rPr>
          <w:rStyle w:val="VerbatimChar"/>
        </w:rPr>
        <w:t xml:space="preserve">Shernoff, D. J., Csikszentmihalyi, M., Schneider, B., &amp; Shernoff, E. S. (2003). Student engagement in high school classrooms from the perspective of flow theory. School Psychology Quarterly, 18(2), 158-176.  </w:t>
      </w:r>
      <w:r>
        <w:br w:type="textWrapping"/>
      </w:r>
      <w:r>
        <w:rPr>
          <w:rStyle w:val="VerbatimChar"/>
        </w:rPr>
        <w:t xml:space="preserve">Shernoff, D. J., Kelly, S., Tonks, S. M., Anderson, B., Cavanagh, R. F., Sinha, S., &amp; Abdi, B. (2016). Student engagement as a function of environmental complexity in high school classrooms. Learning and Instruction, 43, 52-60.  </w:t>
      </w:r>
      <w:r>
        <w:br w:type="textWrapping"/>
      </w:r>
      <w:r>
        <w:rPr>
          <w:rStyle w:val="VerbatimChar"/>
        </w:rPr>
        <w:t xml:space="preserve">Shumow, L., &amp; Schmidt, J. A. (2013). STEM interest and engagement (STEM I.E.). National Science Foundation proposal for award number 1421198.  </w:t>
      </w:r>
      <w:r>
        <w:br w:type="textWrapping"/>
      </w:r>
      <w:r>
        <w:rPr>
          <w:rStyle w:val="VerbatimChar"/>
        </w:rPr>
        <w:t xml:space="preserve">Sinatra, G. M., Heddy, B. C., &amp; Lombardi, D. (2015). The challenges of defining and measuring student engagement in science. Educational Psychologist, 50(1), 1-13. doi:10.1080/00461520.2014.1002924  </w:t>
      </w:r>
      <w:r>
        <w:br w:type="textWrapping"/>
      </w:r>
      <w:r>
        <w:rPr>
          <w:rStyle w:val="VerbatimChar"/>
        </w:rPr>
        <w:t xml:space="preserve">Singh, K., Granville, M., &amp; Dika, S. (2002). Mathematics and science achievement: Effects of motivation, interest, and academic engagement. The Journal of Educational Research, 95(6), 323-332.</w:t>
      </w:r>
      <w:r>
        <w:br w:type="textWrapping"/>
      </w:r>
      <w:r>
        <w:rPr>
          <w:rStyle w:val="VerbatimChar"/>
        </w:rPr>
        <w:t xml:space="preserve">Shernoff, D. J., &amp; Schmidt, J. A. (2008). Further Evidence of an Engagement–Achievement Paradox Among U.S. High School Students. Journal of Youth and Adolescence, 37(5), 564–580. http://doi.org/10.1007/s10964-007-9241-z  </w:t>
      </w:r>
      <w:r>
        <w:br w:type="textWrapping"/>
      </w:r>
      <w:r>
        <w:rPr>
          <w:rStyle w:val="VerbatimChar"/>
        </w:rPr>
        <w:t xml:space="preserve">Shumow, L., Schmidt, J. A., &amp; Zaleski, D. J. (2013). Multiple perspectives on student learning, engagement, and motivation in high school biology labs. The High School Journal, 96(3), 232-252.  </w:t>
      </w:r>
      <w:r>
        <w:br w:type="textWrapping"/>
      </w:r>
      <w:r>
        <w:rPr>
          <w:rStyle w:val="VerbatimChar"/>
        </w:rPr>
        <w:t xml:space="preserve">Skinner, E. A., &amp; Pitzer, J. (2012). Developmental dynamics of engagement, coping, and everyday resilience. In S. Christenson, A. Reschly, &amp; C. Wylie (Eds.), Handbook of Research on Student Engagement (pp. 21-45). New York: Springer Science.  </w:t>
      </w:r>
      <w:r>
        <w:br w:type="textWrapping"/>
      </w:r>
      <w:r>
        <w:rPr>
          <w:rStyle w:val="VerbatimChar"/>
        </w:rP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  </w:t>
      </w:r>
      <w:r>
        <w:br w:type="textWrapping"/>
      </w:r>
      <w:r>
        <w:rPr>
          <w:rStyle w:val="VerbatimChar"/>
        </w:rPr>
        <w:t xml:space="preserve">Skinner, E., Furrer, C., Marchand, G., &amp; Kindermann, T. (2008). Engagement and disaffection in the classroom: Part of a larger motivational dynamic? Journal of Educational Psychology, 100(4), 765.  </w:t>
      </w:r>
      <w:r>
        <w:br w:type="textWrapping"/>
      </w:r>
      <w:r>
        <w:rPr>
          <w:rStyle w:val="VerbatimChar"/>
        </w:rPr>
        <w:t xml:space="preserve">Smith, C., Akiva, T., Sugar, S., Lo, Y. J., Frank, K. A., Peck, S. C., Cortina, K. S., &amp; Devaney, T. (2012).Continuous quality improvement in afterschool settings: Impact findings from the Youth Program Quality Intervention study. Washington, DC: The Forum for Youth Investment. </w:t>
      </w:r>
      <w:r>
        <w:br w:type="textWrapping"/>
      </w:r>
      <w:r>
        <w:rPr>
          <w:rStyle w:val="VerbatimChar"/>
        </w:rPr>
        <w:t xml:space="preserve">Steinley, D., &amp; Brusco, M. J. (2011). Evaluating mixture modeling for clustering: recommendations and cautions. Psychological Methods, 16(1), 63.  </w:t>
      </w:r>
      <w:r>
        <w:br w:type="textWrapping"/>
      </w:r>
      <w:r>
        <w:rPr>
          <w:rStyle w:val="VerbatimChar"/>
        </w:rPr>
        <w:t xml:space="preserve">Stohl, H., &amp; Tarr, J. E. (2002). Developing notions of inference using probability simulation tools. The Journal of Mathematical Behavior, 21(3), 319-337.  </w:t>
      </w:r>
      <w:r>
        <w:br w:type="textWrapping"/>
      </w:r>
      <w:r>
        <w:rPr>
          <w:rStyle w:val="VerbatimChar"/>
        </w:rPr>
        <w:t xml:space="preserve">Stroupe, D. (2014). Examining classroom science practice communities: How teachers and students negotiate epistemic agency and learn science‐as‐practice. Science Education, 98(3), 487-516.  </w:t>
      </w:r>
      <w:r>
        <w:br w:type="textWrapping"/>
      </w:r>
      <w:r>
        <w:rPr>
          <w:rStyle w:val="VerbatimChar"/>
        </w:rPr>
        <w:t xml:space="preserve">Strati, A. D., Schmidt, J. A., &amp; Maier, K. S. (2017). Perceived challenge, teacher support, and teacher obstruction as predictors of student engagement. Journal of Educational Psychology, 109(1), 131-147.  </w:t>
      </w:r>
      <w:r>
        <w:br w:type="textWrapping"/>
      </w:r>
      <w:r>
        <w:rPr>
          <w:rStyle w:val="VerbatimChar"/>
        </w:rPr>
        <w:t xml:space="preserve">Trevors, G. J., Kendeou, P., Bråten, I., &amp; Braasch, J. L. (2017). Adolescents’ epistemic profiles in the service of knowledge revision. Contemporary Educational Psychology, 49, 107-120.  </w:t>
      </w:r>
      <w:r>
        <w:br w:type="textWrapping"/>
      </w:r>
      <w:r>
        <w:rPr>
          <w:rStyle w:val="VerbatimChar"/>
        </w:rPr>
        <w:t xml:space="preserve">Turner, J. C., &amp; Meyer, D. K. (2000). Studying and understanding the instructional contexts of classrooms: Using our past to forge our future. Educational Psychologist, 35(2), 69-85.  </w:t>
      </w:r>
      <w:r>
        <w:br w:type="textWrapping"/>
      </w:r>
      <w:r>
        <w:rPr>
          <w:rStyle w:val="VerbatimChar"/>
        </w:rPr>
        <w:t xml:space="preserve">van Rooij, E. C., Jansen, E. P., &amp; van de Grift, W. J. (2017). Secondary school students' engagement profiles and their relationship with academic adjustment and achievement in university. Learning and Individual Differences, 54, 9-19.  </w:t>
      </w:r>
      <w:r>
        <w:br w:type="textWrapping"/>
      </w:r>
      <w:r>
        <w:rPr>
          <w:rStyle w:val="VerbatimChar"/>
        </w:rPr>
        <w:t xml:space="preserve">Vandell, D. L., Hall, V., O’Cadiz, P., &amp; Karsh, A. (2012). Piloting outcome measures for summer learning initiative programs. Final report to the David and Lucile Packard Foundation, Children, Families, and Communities Program. Retrieved from http://faculty.sites.uci.edu/childcare/files/2013/07/SL-Outcomes-2011-Pilot_Edited_8.19.pdf  </w:t>
      </w:r>
      <w:r>
        <w:br w:type="textWrapping"/>
      </w:r>
      <w:r>
        <w:rPr>
          <w:rStyle w:val="VerbatimChar"/>
        </w:rPr>
        <w:t xml:space="preserve">Wang, M. T., &amp; Eccles, J. S. (2012). Social support matters: Longitudinal effects of social support on three dimensions of school engagement from middle to high school. Child Development, 83(3), 877-895.  </w:t>
      </w:r>
      <w:r>
        <w:br w:type="textWrapping"/>
      </w:r>
      <w:r>
        <w:rPr>
          <w:rStyle w:val="VerbatimChar"/>
        </w:rPr>
        <w:t xml:space="preserve">Wang, M. T., &amp; Holcombe, R. (2010). Adolescents’ perceptions of school environment, engagement, and academic achievement in middle school. American Educational Research Journal, 47(3), 633-662.  </w:t>
      </w:r>
      <w:r>
        <w:br w:type="textWrapping"/>
      </w:r>
      <w:r>
        <w:rPr>
          <w:rStyle w:val="VerbatimChar"/>
        </w:rPr>
        <w:t xml:space="preserve">Westfall, J., Kenny, D. A., &amp; Judd, C. M. (2014). Statistical power and optimal design in experiments in which samples of participants respond to samples of stimuli. Journal of Experimental Psychology: General, 143(5), 2020-2045.  </w:t>
      </w:r>
      <w:r>
        <w:br w:type="textWrapping"/>
      </w:r>
      <w:r>
        <w:rPr>
          <w:rStyle w:val="VerbatimChar"/>
        </w:rPr>
        <w:t xml:space="preserve">Westfall, J. (2016). PANGEA: Power Analysis for General Anova designs. Retrieved from https://jakewestfall.shinyapps.io/pangea/  </w:t>
      </w:r>
      <w:r>
        <w:br w:type="textWrapping"/>
      </w:r>
      <w:r>
        <w:rPr>
          <w:rStyle w:val="VerbatimChar"/>
        </w:rPr>
        <w:t xml:space="preserve">Wickham, H. (2018). CRAN downloads. Retrieved from https://hadley.shinyapps.io/cran-downloads/</w:t>
      </w:r>
      <w:r>
        <w:br w:type="textWrapping"/>
      </w:r>
      <w:r>
        <w:rPr>
          <w:rStyle w:val="VerbatimChar"/>
        </w:rPr>
        <w:t xml:space="preserve">Wild, C. J., &amp; Pfannkuch, M. (1999). Statistical thinking in empirical enquiry. International Statistical Review, 67(3), 223-248.  </w:t>
      </w:r>
      <w:r>
        <w:br w:type="textWrapping"/>
      </w:r>
      <w:r>
        <w:rPr>
          <w:rStyle w:val="VerbatimChar"/>
        </w:rPr>
        <w:t xml:space="preserve">Wilkerson, M. H., Andrews, C., Shaban, Y., Laina, V., &amp; Gravel, B. E. (2016). What’s the technology for? Teacher attention and pedagogical goals in a modeling-focused professional development workshop. Journal of Science Teacher Education, 27(1), 11-33.  </w:t>
      </w:r>
      <w:r>
        <w:br w:type="textWrapping"/>
      </w:r>
      <w:r>
        <w:rPr>
          <w:rStyle w:val="VerbatimChar"/>
        </w:rP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  </w:t>
      </w:r>
      <w:r>
        <w:br w:type="textWrapping"/>
      </w:r>
      <w:r>
        <w:rPr>
          <w:rStyle w:val="VerbatimChar"/>
        </w:rPr>
        <w:t xml:space="preserve">Witherington, D. C. (2015). Dynamic systems in developmental science. In W. F. Overton &amp; P. C. M. Molenaar (Vol. Eds.) &amp; R. M. Lerner (Ed.), Handbook of child psychology and developmental science. Vol. 1: Theory &amp; method (7th ed., pp. 63-112). Hoboken, NJ: Wiley.  </w:t>
      </w:r>
      <w:r>
        <w:br w:type="textWrapping"/>
      </w:r>
      <w:r>
        <w:rPr>
          <w:rStyle w:val="VerbatimChar"/>
        </w:rPr>
        <w:t xml:space="preserve">Wormington, S. V., &amp; Linnenbrink-Garcia, L. (advance online publication). A new look at multiple goal pursuit: The promise of a person-centered approach. Educational Psychology Review. doi:10.1007/s10648-016-9358-2  </w:t>
      </w:r>
      <w:r>
        <w:br w:type="textWrapping"/>
      </w:r>
      <w:r>
        <w:rPr>
          <w:rStyle w:val="VerbatimChar"/>
        </w:rPr>
        <w:t xml:space="preserve"/>
      </w:r>
      <w:r>
        <w:br w:type="textWrapping"/>
      </w:r>
      <w:r>
        <w:rPr>
          <w:rStyle w:val="VerbatimChar"/>
        </w:rPr>
        <w:t xml:space="preserve">&lt;!--chapter:end:06-references.Rmd--&gt;</w:t>
      </w:r>
      <w:r>
        <w:br w:type="textWrapping"/>
      </w:r>
      <w:r>
        <w:rPr>
          <w:rStyle w:val="VerbatimChar"/>
        </w:rPr>
        <w:t xml:space="preserve"/>
      </w:r>
      <w:r>
        <w:br w:type="textWrapping"/>
      </w:r>
      <w:r>
        <w:rPr>
          <w:rStyle w:val="VerbatimChar"/>
        </w:rPr>
        <w:t xml:space="preserve"># Appendix</w:t>
      </w:r>
      <w:r>
        <w:br w:type="textWrapping"/>
      </w:r>
      <w:r>
        <w:rPr>
          <w:rStyle w:val="VerbatimChar"/>
        </w:rPr>
        <w:t xml:space="preserve"/>
      </w:r>
      <w:r>
        <w:br w:type="textWrapping"/>
      </w:r>
      <w:r>
        <w:rPr>
          <w:rStyle w:val="VerbatimChar"/>
        </w:rPr>
        <w:t xml:space="preserve">## Appendix: STEM-PQA alignment</w:t>
      </w:r>
      <w:r>
        <w:br w:type="textWrapping"/>
      </w:r>
      <w:r>
        <w:rPr>
          <w:rStyle w:val="VerbatimChar"/>
        </w:rPr>
        <w:t xml:space="preserve"/>
      </w:r>
    </w:p>
    <w:p>
      <w:pPr>
        <w:pStyle w:val="Heading2"/>
      </w:pPr>
      <w:bookmarkStart w:id="82" w:name="error-2200-unexpected-symbol"/>
      <w:bookmarkEnd w:id="82"/>
      <w:r>
        <w:t xml:space="preserve">Error:</w:t>
      </w:r>
      <w:r>
        <w:t xml:space="preserve"> </w:t>
      </w:r>
      <w:r>
        <w:t xml:space="preserve">:2:200: unexpected symbol</w:t>
      </w:r>
    </w:p>
    <w:p>
      <w:pPr>
        <w:pStyle w:val="Heading2"/>
      </w:pPr>
      <w:bookmarkStart w:id="83" w:name="tibbletribble"/>
      <w:bookmarkEnd w:id="83"/>
      <w:r>
        <w:t xml:space="preserve">1: tibble::tribble(</w:t>
      </w:r>
    </w:p>
    <w:p>
      <w:pPr>
        <w:pStyle w:val="Heading2"/>
      </w:pPr>
      <w:bookmarkStart w:id="84" w:name="work.with.data.codes.originally.proposed-description-categories.from.stem-pqa.already"/>
      <w:bookmarkEnd w:id="84"/>
      <w:r>
        <w:t xml:space="preserve">2: ~Work.With.Data.Codes.Originally.Proposed, ~Description, ~Categories.from.STEM-PQA.(Already</w:t>
      </w:r>
    </w:p>
    <w:p>
      <w:pPr>
        <w:pStyle w:val="Heading2"/>
      </w:pPr>
      <w:bookmarkStart w:id="85" w:name="section"/>
      <w:bookmarkEnd w:id="85"/>
      <w:r>
        <w:t xml:space="preserve">^</w:t>
      </w:r>
    </w:p>
    <w:p>
      <w:pPr>
        <w:pStyle w:val="FirstParagraph"/>
      </w:pPr>
      <w:r>
        <w:t xml:space="preserve">```</w:t>
      </w:r>
    </w:p>
    <w:p>
      <w:pPr>
        <w:pStyle w:val="Heading2"/>
      </w:pPr>
      <w:bookmarkStart w:id="86" w:name="appendix-method-additional-materials"/>
      <w:bookmarkEnd w:id="86"/>
      <w:r>
        <w:t xml:space="preserve">Appendix: Method additional materials</w:t>
      </w:r>
    </w:p>
    <w:p>
      <w:pPr>
        <w:pStyle w:val="Heading3"/>
      </w:pPr>
      <w:bookmarkStart w:id="87" w:name="statistical-software-developed-1"/>
      <w:bookmarkEnd w:id="87"/>
      <w:r>
        <w:t xml:space="preserve">Statistical software developed</w:t>
      </w:r>
    </w:p>
    <w:p>
      <w:pPr>
        <w:pStyle w:val="FirstParagraph"/>
      </w:pPr>
      <w:r>
        <w:t xml:space="preserve">The functions in tidyLPA dynamically generate MPlus syntax, so that, for example, a user can simply provide a data frame with variables to be used in the analysis, the specification for one of six models, the number of profiles to be estimated as part of the analysis, and a number of fine-grained options concerning the estimation and the output generated. From these inputs, a data file for MPlus is prepared and saved, the model syntax is created and saved in a model input file, the model is run, and the output, including the</w:t>
      </w:r>
      <w:r>
        <w:t xml:space="preserve"> </w:t>
      </w:r>
      <w:r>
        <w:t xml:space="preserve">“</w:t>
      </w:r>
      <w:r>
        <w:t xml:space="preserve">savedata</w:t>
      </w:r>
      <w:r>
        <w:t xml:space="preserve">”</w:t>
      </w:r>
      <w:r>
        <w:t xml:space="preserve">, or the data with its associated posterior probabilities and profile assignments, is returned to R for use plots or in subsequent analyses.</w:t>
      </w:r>
    </w:p>
    <w:p>
      <w:pPr>
        <w:pStyle w:val="BodyText"/>
      </w:pPr>
      <w:r>
        <w:t xml:space="preserve">Because of the considerable time that it takes to generate MPlus model syntax (i.e., when choosing to specify a model with different parameters or when changing the number of profiles to be estimated as part of the solution), this package makes it easier to carry out LPA in a flexible way, while retaining the power of the MPlus software. While this functionality makes it considerably easier to carry out LPA, it requires that MPlus be purchased and installed. Because of this, the R package I developed also includes wrapper functions to an open-source tool, mclust (Scrucca, Fop, Murphy, &amp; Raftery, 2016). This is a very widely-used package for mixture modeling. While some authors have suggested that it can be used to carry out LPA (Oberski, 2016), a key challenge for analysts using it concerns specifying the models. This is because the models are described in terms of the geometric properties of the multivariate distributions being estimated (i.e.,</w:t>
      </w:r>
      <w:r>
        <w:t xml:space="preserve"> </w:t>
      </w:r>
      <w:r>
        <w:t xml:space="preserve">“</w:t>
      </w:r>
      <w:r>
        <w:t xml:space="preserve">spherical, equal volume</w:t>
      </w:r>
      <w:r>
        <w:t xml:space="preserve">”</w:t>
      </w:r>
      <w:r>
        <w:t xml:space="preserve">), rather than in terms of whether and how the means, variances, and covariances are estimated. This R package corresponds LPA models to the mclust models and provides the same functionality that the functions that use MPlus provide, namely, preparing data, running the model, and returning the output or use in subsequent analyses. As part of incorporating the mclust functionality, the functions that use MPlus and those that use mclust have been benchmarked (Rosenberg, 2018). Despite leading to identical results (in most cases) for small datasets, because of differences in how the E-M algorithm is initialized as well as other estimation-related differences, output will likely not be identical for many analyses.</w:t>
      </w:r>
    </w:p>
    <w:p>
      <w:pPr>
        <w:pStyle w:val="Heading3"/>
      </w:pPr>
      <w:bookmarkStart w:id="88" w:name="appendix-descriptive-statistics-additional-materials"/>
      <w:bookmarkEnd w:id="88"/>
      <w:r>
        <w:t xml:space="preserve">Appendix: Descriptive statistics additional materials</w:t>
      </w:r>
    </w:p>
    <w:p>
      <w:pPr>
        <w:pStyle w:val="FirstParagraph"/>
      </w:pPr>
      <w:r>
        <w:t xml:space="preserve">The Spearman rank (because the data were dichotomous) correlations among the aspects of instructional support for work with data are presented. The variables were moderately correlated, with</w:t>
      </w:r>
      <w:r>
        <w:t xml:space="preserve"> </w:t>
      </w:r>
      <w:r>
        <w:rPr>
          <w:i/>
        </w:rPr>
        <w:t xml:space="preserve">rho</w:t>
      </w:r>
      <w:r>
        <w:t xml:space="preserve"> </w:t>
      </w:r>
      <w:r>
        <w:t xml:space="preserve">values between .18 and .50. These suggest that signals are assocaited</w:t>
      </w:r>
    </w:p>
    <w:p>
      <w:pPr>
        <w:pStyle w:val="TableCaption"/>
      </w:pPr>
      <w:r>
        <w:t xml:space="preserve">Table 6 Correlations among codes for instructional support for work with data (and composite of all codes)</w:t>
      </w:r>
    </w:p>
    <w:tbl>
      <w:tblPr>
        <w:tblStyle w:val="TableNormal"/>
        <w:tblW w:type="pct" w:w="0.0"/>
        <w:tblLook w:firstRow="1"/>
        <w:tblCaption w:val="Table 6 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89" w:name="appendix-program-descriptions"/>
      <w:bookmarkEnd w:id="89"/>
      <w:r>
        <w:t xml:space="preserve">Appendix: Program descriptions</w:t>
      </w:r>
    </w:p>
    <w:p>
      <w:pPr>
        <w:pStyle w:val="TableCaption"/>
      </w:pPr>
      <w:r>
        <w:t xml:space="preserve">Table 7 STEM Enrichment Program Names and Their Descriptions</w:t>
      </w:r>
    </w:p>
    <w:tbl>
      <w:tblPr>
        <w:tblStyle w:val="TableNormal"/>
        <w:tblW w:type="pct" w:w="0.0"/>
        <w:tblLook w:firstRow="1"/>
        <w:tblCaption w:val="Table 7 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Heading3"/>
      </w:pPr>
      <w:bookmarkStart w:id="90" w:name="appendix-research-question-1-additional-materials"/>
      <w:bookmarkEnd w:id="90"/>
      <w:r>
        <w:t xml:space="preserve">Appendix: Research Question #1 additional materials</w:t>
      </w:r>
    </w:p>
    <w:p>
      <w:pPr>
        <w:pStyle w:val="Heading3"/>
      </w:pPr>
      <w:bookmarkStart w:id="91" w:name="model-specifications-details"/>
      <w:bookmarkEnd w:id="91"/>
      <w:r>
        <w:t xml:space="preserve">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2" w:name="varying-means-equal-variances-and-covariances-fixed-to-0-model-1"/>
      <w:bookmarkEnd w:id="92"/>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3" w:name="varying-means-equal-variances-and-equal-covariances-model-2"/>
      <w:bookmarkEnd w:id="93"/>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4" w:name="varying-means-varying-variances-and-covariances-fixed-to-0-model-3"/>
      <w:bookmarkEnd w:id="94"/>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5" w:name="varying-means-varying-variances-and-equal-covariances-model-4"/>
      <w:bookmarkEnd w:id="95"/>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96" w:name="varying-means-equal-variances-and-varying-covariances-model-5"/>
      <w:bookmarkEnd w:id="96"/>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97" w:name="varying-means-varying-variances-and-varying-covariances-model-6"/>
      <w:bookmarkEnd w:id="97"/>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98" w:name="model-1-candidate-solutions"/>
      <w:bookmarkEnd w:id="98"/>
      <w:r>
        <w:t xml:space="preserve">Model 1 candidate solutions</w:t>
      </w:r>
    </w:p>
    <w:p>
      <w:pPr>
        <w:pStyle w:val="Heading4"/>
      </w:pPr>
      <w:bookmarkStart w:id="99" w:name="model-1-profiles-3"/>
      <w:bookmarkEnd w:id="99"/>
      <w:r>
        <w:t xml:space="preserve">Model: 1, Profiles: 3</w:t>
      </w:r>
    </w:p>
    <w:p>
      <w:pPr>
        <w:pStyle w:val="FirstParagraph"/>
      </w:pPr>
      <w:r>
        <w:t xml:space="preserve">This solution is characterized by:</w:t>
      </w:r>
    </w:p>
    <w:p>
      <w:pPr>
        <w:pStyle w:val="Compact"/>
        <w:numPr>
          <w:numId w:val="1004"/>
          <w:ilvl w:val="0"/>
        </w:numPr>
      </w:pPr>
      <w:r>
        <w:t xml:space="preserve">a</w:t>
      </w:r>
      <w:r>
        <w:t xml:space="preserve"> </w:t>
      </w:r>
      <w:r>
        <w:rPr>
          <w:b/>
        </w:rPr>
        <w:t xml:space="preserve">full</w:t>
      </w:r>
      <w:r>
        <w:t xml:space="preserve"> </w:t>
      </w:r>
      <w:r>
        <w:t xml:space="preserve">profile, profile 2 (though with more modestly high levels of challenge)</w:t>
      </w:r>
    </w:p>
    <w:p>
      <w:pPr>
        <w:pStyle w:val="Compact"/>
        <w:numPr>
          <w:numId w:val="1004"/>
          <w:ilvl w:val="0"/>
        </w:numPr>
      </w:pPr>
      <w:r>
        <w:t xml:space="preserve">a</w:t>
      </w:r>
      <w:r>
        <w:t xml:space="preserve"> </w:t>
      </w:r>
      <w:r>
        <w:rPr>
          <w:b/>
        </w:rPr>
        <w:t xml:space="preserve">universally low</w:t>
      </w:r>
      <w:r>
        <w:t xml:space="preserve"> </w:t>
      </w:r>
      <w:r>
        <w:t xml:space="preserve">profile, profile 1 (again with more modestly - in this case low - levels of challenge)</w:t>
      </w:r>
    </w:p>
    <w:p>
      <w:pPr>
        <w:pStyle w:val="Compact"/>
        <w:numPr>
          <w:numId w:val="1004"/>
          <w:ilvl w:val="0"/>
        </w:numPr>
      </w:pPr>
      <w:r>
        <w:t xml:space="preserve">an</w:t>
      </w:r>
      <w:r>
        <w:t xml:space="preserve"> </w:t>
      </w:r>
      <w:r>
        <w:rPr>
          <w:b/>
        </w:rPr>
        <w:t xml:space="preserve">all moderate</w:t>
      </w:r>
      <w:r>
        <w:t xml:space="preserve"> </w:t>
      </w:r>
      <w:r>
        <w:t xml:space="preserve">profile, profile 3, characterized by levels of all of the variables close to the mean, profile 3</w:t>
      </w:r>
    </w:p>
    <w:p>
      <w:pPr>
        <w:pStyle w:val="FirstParagraph"/>
      </w:pPr>
      <w:r>
        <w:t xml:space="preserve">The number of observations associated with each of the profiles is somewhat balanced, with the all moderate profile demonstrating a higher number of observations (</w:t>
      </w:r>
      <w:r>
        <w:rPr>
          <w:i/>
        </w:rPr>
        <w:t xml:space="preserve">n</w:t>
      </w:r>
      <w:r>
        <w:t xml:space="preserve"> </w:t>
      </w:r>
      <w:r>
        <w:t xml:space="preserve">= 1,288) than the full (</w:t>
      </w:r>
      <w:r>
        <w:rPr>
          <w:i/>
        </w:rPr>
        <w:t xml:space="preserve">n</w:t>
      </w:r>
      <w:r>
        <w:t xml:space="preserve"> </w:t>
      </w:r>
      <w:r>
        <w:t xml:space="preserve">= 897) and universally low (</w:t>
      </w:r>
      <w:r>
        <w:rPr>
          <w:i/>
        </w:rPr>
        <w:t xml:space="preserve">n</w:t>
      </w:r>
      <w:r>
        <w:t xml:space="preserve"> </w:t>
      </w:r>
      <w:r>
        <w:t xml:space="preserve">= 773) profiles. The log-likelihood was replicated many (more than 10) times. Because the profiles associated with this solution all demonstrated the same overall pattern (i.e., all five variables are high, low, or moderate), on the basis of interpretability, this particular solution may not be useful in terms of understanding how youth experience engagement and its conditions.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3p-1.png" id="0" name="Picture"/>
                    <pic:cNvPicPr>
                      <a:picLocks noChangeArrowheads="1" noChangeAspect="1"/>
                    </pic:cNvPicPr>
                  </pic:nvPicPr>
                  <pic:blipFill>
                    <a:blip r:embed="rId100"/>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01" w:name="model-1-profiles-4"/>
      <w:bookmarkEnd w:id="101"/>
      <w:r>
        <w:t xml:space="preserve">Model: 1, Profiles: 4</w:t>
      </w:r>
    </w:p>
    <w:p>
      <w:pPr>
        <w:pStyle w:val="FirstParagraph"/>
      </w:pPr>
      <w:r>
        <w:t xml:space="preserve">This solution is characterized by:</w:t>
      </w:r>
    </w:p>
    <w:p>
      <w:pPr>
        <w:pStyle w:val="Compact"/>
        <w:numPr>
          <w:numId w:val="1005"/>
          <w:ilvl w:val="0"/>
        </w:numPr>
      </w:pPr>
      <w:r>
        <w:t xml:space="preserve">a</w:t>
      </w:r>
      <w:r>
        <w:t xml:space="preserve"> </w:t>
      </w:r>
      <w:r>
        <w:rPr>
          <w:b/>
        </w:rPr>
        <w:t xml:space="preserve">full</w:t>
      </w:r>
      <w:r>
        <w:t xml:space="preserve"> </w:t>
      </w:r>
      <w:r>
        <w:t xml:space="preserve">profile, profile 2</w:t>
      </w:r>
    </w:p>
    <w:p>
      <w:pPr>
        <w:pStyle w:val="Compact"/>
        <w:numPr>
          <w:numId w:val="1005"/>
          <w:ilvl w:val="0"/>
        </w:numPr>
      </w:pPr>
      <w:r>
        <w:t xml:space="preserve">a</w:t>
      </w:r>
      <w:r>
        <w:t xml:space="preserve"> </w:t>
      </w:r>
      <w:r>
        <w:rPr>
          <w:b/>
        </w:rPr>
        <w:t xml:space="preserve">universally low</w:t>
      </w:r>
      <w:r>
        <w:t xml:space="preserve"> </w:t>
      </w:r>
      <w:r>
        <w:t xml:space="preserve">profile, profile 1</w:t>
      </w:r>
    </w:p>
    <w:p>
      <w:pPr>
        <w:pStyle w:val="Compact"/>
        <w:numPr>
          <w:numId w:val="1005"/>
          <w:ilvl w:val="0"/>
        </w:numPr>
      </w:pPr>
      <w:r>
        <w:t xml:space="preserve">an</w:t>
      </w:r>
      <w:r>
        <w:t xml:space="preserve"> </w:t>
      </w:r>
      <w:r>
        <w:rPr>
          <w:b/>
        </w:rPr>
        <w:t xml:space="preserve">all moderate</w:t>
      </w:r>
      <w:r>
        <w:t xml:space="preserve"> </w:t>
      </w:r>
      <w:r>
        <w:t xml:space="preserve">profile, profile 3.</w:t>
      </w:r>
    </w:p>
    <w:p>
      <w:pPr>
        <w:pStyle w:val="Compact"/>
        <w:numPr>
          <w:numId w:val="1005"/>
          <w:ilvl w:val="0"/>
        </w:numPr>
      </w:pPr>
      <w:r>
        <w:t xml:space="preserve">a</w:t>
      </w:r>
      <w:r>
        <w:t xml:space="preserve"> </w:t>
      </w:r>
      <w:r>
        <w:rPr>
          <w:b/>
        </w:rPr>
        <w:t xml:space="preserve">competent but not engaged or challenged</w:t>
      </w:r>
      <w:r>
        <w:t xml:space="preserve"> </w:t>
      </w:r>
      <w:r>
        <w:t xml:space="preserve">profile, with high 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 large number in the full (</w:t>
      </w:r>
      <w:r>
        <w:rPr>
          <w:i/>
        </w:rPr>
        <w:t xml:space="preserve">n</w:t>
      </w:r>
      <w:r>
        <w:t xml:space="preserve"> </w:t>
      </w:r>
      <w:r>
        <w:t xml:space="preserve">= 920) profile, and fewer in the universally low and competent (</w:t>
      </w:r>
      <w:r>
        <w:rPr>
          <w:i/>
        </w:rPr>
        <w:t xml:space="preserve">n</w:t>
      </w:r>
      <w:r>
        <w:t xml:space="preserve"> </w:t>
      </w:r>
      <w:r>
        <w:t xml:space="preserve">n = 427) but not engaged or challenged profiles (</w:t>
      </w:r>
      <w:r>
        <w:rPr>
          <w:i/>
        </w:rPr>
        <w:t xml:space="preserve">n</w:t>
      </w:r>
      <w:r>
        <w:t xml:space="preserve"> </w:t>
      </w:r>
      <w:r>
        <w:t xml:space="preserve">= 415). With somewhat more purchase in terms of its interpretability than the solution for model 1 with three profiles, like that solution, this one may not be as useful as more complex models for understanding youth’s experiences.</w:t>
      </w:r>
    </w:p>
    <w:p>
      <w:pPr>
        <w:pStyle w:val="BodyText"/>
      </w:pPr>
      <w:r>
        <w:t xml:space="preserve">The log-likelihood was replicated many (more than 10)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4p-1.png" id="0" name="Picture"/>
                    <pic:cNvPicPr>
                      <a:picLocks noChangeArrowheads="1" noChangeAspect="1"/>
                    </pic:cNvPicPr>
                  </pic:nvPicPr>
                  <pic:blipFill>
                    <a:blip r:embed="rId102"/>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03" w:name="model-1-profiles-5"/>
      <w:bookmarkEnd w:id="103"/>
      <w:r>
        <w:t xml:space="preserve">Model: 1, Profiles: 5</w:t>
      </w:r>
    </w:p>
    <w:p>
      <w:pPr>
        <w:pStyle w:val="FirstParagraph"/>
      </w:pPr>
      <w:r>
        <w:t xml:space="preserve">This solution is characterized by:</w:t>
      </w:r>
    </w:p>
    <w:p>
      <w:pPr>
        <w:pStyle w:val="Compact"/>
        <w:numPr>
          <w:numId w:val="1006"/>
          <w:ilvl w:val="0"/>
        </w:numPr>
      </w:pPr>
      <w:r>
        <w:t xml:space="preserve">a</w:t>
      </w:r>
      <w:r>
        <w:t xml:space="preserve"> </w:t>
      </w:r>
      <w:r>
        <w:rPr>
          <w:b/>
        </w:rPr>
        <w:t xml:space="preserve">full</w:t>
      </w:r>
      <w:r>
        <w:t xml:space="preserve"> </w:t>
      </w:r>
      <w:r>
        <w:t xml:space="preserve">profile, profile 5</w:t>
      </w:r>
    </w:p>
    <w:p>
      <w:pPr>
        <w:pStyle w:val="Compact"/>
        <w:numPr>
          <w:numId w:val="1006"/>
          <w:ilvl w:val="0"/>
        </w:numPr>
      </w:pPr>
      <w:r>
        <w:t xml:space="preserve">a</w:t>
      </w:r>
      <w:r>
        <w:t xml:space="preserve"> </w:t>
      </w:r>
      <w:r>
        <w:rPr>
          <w:b/>
        </w:rPr>
        <w:t xml:space="preserve">universally low</w:t>
      </w:r>
      <w:r>
        <w:t xml:space="preserve"> </w:t>
      </w:r>
      <w:r>
        <w:t xml:space="preserve">profile, profile 3</w:t>
      </w:r>
    </w:p>
    <w:p>
      <w:pPr>
        <w:pStyle w:val="Compact"/>
        <w:numPr>
          <w:numId w:val="1006"/>
          <w:ilvl w:val="0"/>
        </w:numPr>
      </w:pPr>
      <w:r>
        <w:t xml:space="preserve">an</w:t>
      </w:r>
      <w:r>
        <w:t xml:space="preserve"> </w:t>
      </w:r>
      <w:r>
        <w:rPr>
          <w:b/>
        </w:rPr>
        <w:t xml:space="preserve">all moderate</w:t>
      </w:r>
      <w:r>
        <w:t xml:space="preserve"> </w:t>
      </w:r>
      <w:r>
        <w:t xml:space="preserve">profile, profile 3, though with moderate levels of affective engagement than in similar profiles associated with the four and five profile solutions, perhaps suggesting that a different profile than in those solutions</w:t>
      </w:r>
    </w:p>
    <w:p>
      <w:pPr>
        <w:pStyle w:val="Compact"/>
        <w:numPr>
          <w:numId w:val="1006"/>
          <w:ilvl w:val="0"/>
        </w:numPr>
      </w:pPr>
      <w:r>
        <w:t xml:space="preserve">an</w:t>
      </w:r>
      <w:r>
        <w:t xml:space="preserve"> </w:t>
      </w:r>
      <w:r>
        <w:rPr>
          <w:b/>
        </w:rPr>
        <w:t xml:space="preserve">only behavioral</w:t>
      </w:r>
      <w:r>
        <w:t xml:space="preserve"> </w:t>
      </w:r>
      <w:r>
        <w:t xml:space="preserve">profile, profile 2, with moderate levels of behavioral engagement, very low affective engagement, and moderately (low) levels of cognitive engagement and challenge and competence</w:t>
      </w:r>
    </w:p>
    <w:p>
      <w:pPr>
        <w:pStyle w:val="Compact"/>
        <w:numPr>
          <w:numId w:val="1006"/>
          <w:ilvl w:val="0"/>
        </w:numPr>
      </w:pPr>
      <w:r>
        <w:t xml:space="preserve">an</w:t>
      </w:r>
      <w:r>
        <w:t xml:space="preserve"> </w:t>
      </w:r>
      <w:r>
        <w:rPr>
          <w:b/>
        </w:rPr>
        <w:t xml:space="preserve">only affective</w:t>
      </w:r>
      <w:r>
        <w:t xml:space="preserve"> </w:t>
      </w:r>
      <w:r>
        <w:t xml:space="preserve">profile, profile 4, with moderate levels of affective engagement, low levels of behavioral engagement, and moderately (low) levels of cognitive engagement and challenge and competence</w:t>
      </w:r>
    </w:p>
    <w:p>
      <w:pPr>
        <w:pStyle w:val="FirstParagraph"/>
      </w:pPr>
      <w:r>
        <w:t xml:space="preserve">The number of observations associated with each of the profiles is somewhat balanced, with a large number in the full profile (</w:t>
      </w:r>
      <w:r>
        <w:rPr>
          <w:i/>
        </w:rPr>
        <w:t xml:space="preserve">n</w:t>
      </w:r>
      <w:r>
        <w:t xml:space="preserve"> </w:t>
      </w:r>
      <w:r>
        <w:t xml:space="preserve">= 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 observations in the only behaviorally engaged (</w:t>
      </w:r>
      <w:r>
        <w:rPr>
          <w:i/>
        </w:rPr>
        <w:t xml:space="preserve">n</w:t>
      </w:r>
      <w:r>
        <w:t xml:space="preserve"> </w:t>
      </w:r>
      <w:r>
        <w:t xml:space="preserve">= 375) and only affective engaged (</w:t>
      </w:r>
      <w:r>
        <w:rPr>
          <w:i/>
        </w:rPr>
        <w:t xml:space="preserve">n</w:t>
      </w:r>
      <w:r>
        <w:t xml:space="preserve"> </w:t>
      </w:r>
      <w:r>
        <w:t xml:space="preserve">= 345) profiles. This solution primarily distinguishes between affective and behavioral engagement; unlike the solution for model 1 with four profiles, there is not a competent but not engaged or challenged profile. This may suggest that solutions with a greater number of profiles represents both the distinction between behavioral and affective engagement highlighted by profiles in this solution as well as profiles that are characterized by higher or lower levels of the conditions for engagement (i.e., competence). The log-likelihood was replicated four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5p-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05" w:name="model-1-profiles-6-alternate"/>
      <w:bookmarkEnd w:id="105"/>
      <w:r>
        <w:t xml:space="preserve">Model: 1, Profiles: 6 (alternate)</w:t>
      </w:r>
    </w:p>
    <w:p>
      <w:pPr>
        <w:pStyle w:val="FirstParagraph"/>
      </w:pPr>
      <w:r>
        <w:t xml:space="preserve">This solution is characterized by:</w:t>
      </w:r>
    </w:p>
    <w:p>
      <w:pPr>
        <w:pStyle w:val="Compact"/>
        <w:numPr>
          <w:numId w:val="1007"/>
          <w:ilvl w:val="0"/>
        </w:numPr>
      </w:pPr>
      <w:r>
        <w:t xml:space="preserve">a</w:t>
      </w:r>
      <w:r>
        <w:t xml:space="preserve"> </w:t>
      </w:r>
      <w:r>
        <w:rPr>
          <w:b/>
        </w:rPr>
        <w:t xml:space="preserve">full</w:t>
      </w:r>
      <w:r>
        <w:t xml:space="preserve"> </w:t>
      </w:r>
      <w:r>
        <w:t xml:space="preserve">profile, profile 6</w:t>
      </w:r>
    </w:p>
    <w:p>
      <w:pPr>
        <w:pStyle w:val="Compact"/>
        <w:numPr>
          <w:numId w:val="1007"/>
          <w:ilvl w:val="0"/>
        </w:numPr>
      </w:pPr>
      <w:r>
        <w:t xml:space="preserve">a</w:t>
      </w:r>
      <w:r>
        <w:t xml:space="preserve"> </w:t>
      </w:r>
      <w:r>
        <w:rPr>
          <w:b/>
        </w:rPr>
        <w:t xml:space="preserve">universally low</w:t>
      </w:r>
      <w:r>
        <w:t xml:space="preserve"> </w:t>
      </w:r>
      <w:r>
        <w:t xml:space="preserve">profile, profile 1</w:t>
      </w:r>
    </w:p>
    <w:p>
      <w:pPr>
        <w:pStyle w:val="Compact"/>
        <w:numPr>
          <w:numId w:val="1007"/>
          <w:ilvl w:val="0"/>
        </w:numPr>
      </w:pPr>
      <w:r>
        <w:t xml:space="preserve">an</w:t>
      </w:r>
      <w:r>
        <w:t xml:space="preserve"> </w:t>
      </w:r>
      <w:r>
        <w:rPr>
          <w:b/>
        </w:rPr>
        <w:t xml:space="preserve">engaged and competent but not challenged</w:t>
      </w:r>
      <w:r>
        <w:t xml:space="preserve"> </w:t>
      </w:r>
      <w:r>
        <w:t xml:space="preserve">profile, profile 3</w:t>
      </w:r>
    </w:p>
    <w:p>
      <w:pPr>
        <w:pStyle w:val="Compact"/>
        <w:numPr>
          <w:numId w:val="1007"/>
          <w:ilvl w:val="0"/>
        </w:numPr>
      </w:pPr>
      <w:r>
        <w:t xml:space="preserve">a</w:t>
      </w:r>
      <w:r>
        <w:t xml:space="preserve"> </w:t>
      </w:r>
      <w:r>
        <w:rPr>
          <w:b/>
        </w:rPr>
        <w:t xml:space="preserve">challenged</w:t>
      </w:r>
      <w:r>
        <w:t xml:space="preserve"> </w:t>
      </w:r>
      <w:r>
        <w:t xml:space="preserve">profile, profile 2</w:t>
      </w:r>
    </w:p>
    <w:p>
      <w:pPr>
        <w:pStyle w:val="Compact"/>
        <w:numPr>
          <w:numId w:val="1007"/>
          <w:ilvl w:val="0"/>
        </w:numPr>
      </w:pPr>
      <w:r>
        <w:t xml:space="preserve">a</w:t>
      </w:r>
      <w:r>
        <w:t xml:space="preserve"> </w:t>
      </w:r>
      <w:r>
        <w:rPr>
          <w:b/>
        </w:rPr>
        <w:t xml:space="preserve">highly challenged</w:t>
      </w:r>
      <w:r>
        <w:t xml:space="preserve"> </w:t>
      </w:r>
      <w:r>
        <w:t xml:space="preserve">profile, profile 3</w:t>
      </w:r>
    </w:p>
    <w:p>
      <w:pPr>
        <w:pStyle w:val="Compact"/>
        <w:numPr>
          <w:numId w:val="1007"/>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 low profile with a large number of observations (</w:t>
      </w:r>
      <w:r>
        <w:rPr>
          <w:i/>
        </w:rPr>
        <w:t xml:space="preserve">n</w:t>
      </w:r>
      <w:r>
        <w:t xml:space="preserve"> </w:t>
      </w:r>
      <w:r>
        <w:t xml:space="preserve">= 852) and the challenged, engaged and competent but not challenged, and full profiles with moderate numbers of observations (from 464 to 619 observations), and low numbers of observations exhibited by universally low (</w:t>
      </w:r>
      <w:r>
        <w:rPr>
          <w:i/>
        </w:rPr>
        <w:t xml:space="preserve">n</w:t>
      </w:r>
      <w:r>
        <w:t xml:space="preserve"> </w:t>
      </w:r>
      <w:r>
        <w:t xml:space="preserve">= 280) and</w:t>
      </w:r>
      <w:r>
        <w:t xml:space="preserve"> </w:t>
      </w:r>
      <w:r>
        <w:t xml:space="preserve">highly challenged (</w:t>
      </w:r>
      <w:r>
        <w:rPr>
          <w:i/>
        </w:rPr>
        <w:t xml:space="preserve">n</w:t>
      </w:r>
      <w:r>
        <w:t xml:space="preserve"> </w:t>
      </w:r>
      <w:r>
        <w:t xml:space="preserve">= 158) profiles. This–and, critically, the lower log-likelihood of the other model 1, six profile solution–suggests that this solution is not preferred. However, the very different profiles that emerge for this solution suggest that there might not be a somewhat under-identified solution associated with model 1 and six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6p-alt-1.png" id="0" name="Picture"/>
                    <pic:cNvPicPr>
                      <a:picLocks noChangeArrowheads="1" noChangeAspect="1"/>
                    </pic:cNvPicPr>
                  </pic:nvPicPr>
                  <pic:blipFill>
                    <a:blip r:embed="rId106"/>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07" w:name="model-1-profiles-7-alternate"/>
      <w:bookmarkEnd w:id="107"/>
      <w:r>
        <w:t xml:space="preserve">Model: 1, Profiles: 7 (alternate)</w:t>
      </w:r>
    </w:p>
    <w:p>
      <w:pPr>
        <w:pStyle w:val="FirstParagraph"/>
      </w:pPr>
      <w:r>
        <w:t xml:space="preserve">When investigating an alternate solution (associated with the second lowest log-likelihood) for the model 1, seven profile solution, we can see that even for the solutions associated with other log-likelihoods, the profiles that can be identified are very similar. One minor distinction concerns the</w:t>
      </w:r>
      <w:r>
        <w:t xml:space="preserve"> </w:t>
      </w:r>
      <w:r>
        <w:rPr>
          <w:b/>
        </w:rPr>
        <w:t xml:space="preserve">competent but not engaged or challenged</w:t>
      </w:r>
      <w:r>
        <w:t xml:space="preserve"> </w:t>
      </w:r>
      <w:r>
        <w:t xml:space="preserve">profile, which in the alternate solution is associated with neutral levels of affective engagement, compared to moderately low levels of affective engagement in the solution with the lowest log-likelihood. Because five of the seven profiles associated with both of these model 1, seven profile solutions seem to be distinct from those identified from simpler model 1 solutions, investigation of this alternate solution provides additional evidence that these profiles are not associated with an under-identified model and that simpler models may be preferred over these seven profile solutions.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7-other-LL-p-1.png" id="0" name="Picture"/>
                    <pic:cNvPicPr>
                      <a:picLocks noChangeArrowheads="1" noChangeAspect="1"/>
                    </pic:cNvPicPr>
                  </pic:nvPicPr>
                  <pic:blipFill>
                    <a:blip r:embed="rId108"/>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109" w:name="model-2-candidate-solutions"/>
      <w:bookmarkEnd w:id="109"/>
      <w:r>
        <w:t xml:space="preserve">Model 2 candidate solutions</w:t>
      </w:r>
    </w:p>
    <w:p>
      <w:pPr>
        <w:pStyle w:val="Heading4"/>
      </w:pPr>
      <w:bookmarkStart w:id="110" w:name="model-2-profiles-3"/>
      <w:bookmarkEnd w:id="110"/>
      <w:r>
        <w:t xml:space="preserve">Model: 2, Profiles: 3</w:t>
      </w:r>
    </w:p>
    <w:p>
      <w:pPr>
        <w:pStyle w:val="FirstParagraph"/>
      </w:pPr>
      <w:r>
        <w:t xml:space="preserve">This solution is characterized by:</w:t>
      </w:r>
    </w:p>
    <w:p>
      <w:pPr>
        <w:pStyle w:val="Compact"/>
        <w:numPr>
          <w:numId w:val="1008"/>
          <w:ilvl w:val="0"/>
        </w:numPr>
      </w:pPr>
      <w:r>
        <w:t xml:space="preserve">a</w:t>
      </w:r>
      <w:r>
        <w:t xml:space="preserve"> </w:t>
      </w:r>
      <w:r>
        <w:rPr>
          <w:b/>
        </w:rPr>
        <w:t xml:space="preserve">universally low</w:t>
      </w:r>
      <w:r>
        <w:t xml:space="preserve"> </w:t>
      </w:r>
      <w:r>
        <w:t xml:space="preserve">profile, profile 1, associated with moderate (low) and low levels of all of the variables; this profile is similar to the universally low profile identified as part of other solutions, although with more moderate values for some of the variables (especially cognitive engagement)</w:t>
      </w:r>
    </w:p>
    <w:p>
      <w:pPr>
        <w:pStyle w:val="Compact"/>
        <w:numPr>
          <w:numId w:val="1008"/>
          <w:ilvl w:val="0"/>
        </w:numPr>
      </w:pPr>
      <w:r>
        <w:t xml:space="preserve">a</w:t>
      </w:r>
      <w:r>
        <w:t xml:space="preserve"> </w:t>
      </w:r>
      <w:r>
        <w:rPr>
          <w:b/>
        </w:rPr>
        <w:t xml:space="preserve">competent but not challenged</w:t>
      </w:r>
      <w:r>
        <w:t xml:space="preserve"> </w:t>
      </w:r>
      <w:r>
        <w:t xml:space="preserve">profile, profile 2, characterized by high competence and low challenge</w:t>
      </w:r>
    </w:p>
    <w:p>
      <w:pPr>
        <w:pStyle w:val="Compact"/>
        <w:numPr>
          <w:numId w:val="1008"/>
          <w:ilvl w:val="0"/>
        </w:numPr>
      </w:pPr>
      <w:r>
        <w:t xml:space="preserve">a</w:t>
      </w:r>
      <w:r>
        <w:t xml:space="preserve"> </w:t>
      </w:r>
      <w:r>
        <w:rPr>
          <w:b/>
        </w:rPr>
        <w:t xml:space="preserve">challenged</w:t>
      </w:r>
      <w:r>
        <w:t xml:space="preserve"> </w:t>
      </w:r>
      <w:r>
        <w:t xml:space="preserve">profile, profile 3, characterized by very high challenge and moderate (high) levels of the other variables, similar to the challenged profile found as part of the model 1, four profile solution, but with higher levels of competence, which are moderately high in this solution but moderately low for the other solution.</w:t>
      </w:r>
    </w:p>
    <w:p>
      <w:pPr>
        <w:pStyle w:val="FirstParagraph"/>
      </w:pPr>
      <w:r>
        <w:t xml:space="preserve">The number of observations associated with each solution is fairly balanced, with the most in the challenged profile (</w:t>
      </w:r>
      <w:r>
        <w:rPr>
          <w:i/>
        </w:rPr>
        <w:t xml:space="preserve">n</w:t>
      </w:r>
      <w:r>
        <w:t xml:space="preserve"> </w:t>
      </w:r>
      <w:r>
        <w:t xml:space="preserve">= 1,241), followed by the universally low (</w:t>
      </w:r>
      <w:r>
        <w:rPr>
          <w:i/>
        </w:rPr>
        <w:t xml:space="preserve">n</w:t>
      </w:r>
      <w:r>
        <w:t xml:space="preserve"> </w:t>
      </w:r>
      <w:r>
        <w:t xml:space="preserve">= 954 observations) and competent but not challenged (</w:t>
      </w:r>
      <w:r>
        <w:rPr>
          <w:i/>
        </w:rPr>
        <w:t xml:space="preserve">n</w:t>
      </w:r>
      <w:r>
        <w:t xml:space="preserve"> </w:t>
      </w:r>
      <w:r>
        <w:t xml:space="preserve">= 763) profiles. This solution is very different than the three profile solution that was interpreted for model 1. Model 2 differs from model 1 in that covariances between the variables are estimated (they are constrained to be the same are across the profiles). The log-likelihood was replicated (at least) ten times. Thus, this and other solutions associated with model 2 include information about how the variables relate. Including this information seems to be associated with profiles that differentiate the groups on the basis of the levels of each of the variables in more distinct ways: the model 1, three profile solution was characterized by high, moderate, or low levels of all variables for each of the three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3p-1.png" id="0" name="Picture"/>
                    <pic:cNvPicPr>
                      <a:picLocks noChangeArrowheads="1" noChangeAspect="1"/>
                    </pic:cNvPicPr>
                  </pic:nvPicPr>
                  <pic:blipFill>
                    <a:blip r:embed="rId111"/>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12" w:name="model-2-profiles-4"/>
      <w:bookmarkEnd w:id="112"/>
      <w:r>
        <w:t xml:space="preserve">Model: 2, Profiles: 4</w:t>
      </w:r>
    </w:p>
    <w:p>
      <w:pPr>
        <w:pStyle w:val="FirstParagraph"/>
      </w:pPr>
      <w:r>
        <w:t xml:space="preserve">This solution is characterized by:</w:t>
      </w:r>
    </w:p>
    <w:p>
      <w:pPr>
        <w:pStyle w:val="Compact"/>
        <w:numPr>
          <w:numId w:val="1009"/>
          <w:ilvl w:val="0"/>
        </w:numPr>
      </w:pPr>
      <w:r>
        <w:t xml:space="preserve">a</w:t>
      </w:r>
      <w:r>
        <w:t xml:space="preserve"> </w:t>
      </w:r>
      <w:r>
        <w:rPr>
          <w:b/>
        </w:rPr>
        <w:t xml:space="preserve">universally low</w:t>
      </w:r>
      <w:r>
        <w:t xml:space="preserve"> </w:t>
      </w:r>
      <w:r>
        <w:t xml:space="preserve">profile, profile 1</w:t>
      </w:r>
    </w:p>
    <w:p>
      <w:pPr>
        <w:pStyle w:val="Compact"/>
        <w:numPr>
          <w:numId w:val="1009"/>
          <w:ilvl w:val="0"/>
        </w:numPr>
      </w:pPr>
      <w:r>
        <w:t xml:space="preserve">a</w:t>
      </w:r>
      <w:r>
        <w:t xml:space="preserve"> </w:t>
      </w:r>
      <w:r>
        <w:rPr>
          <w:b/>
        </w:rPr>
        <w:t xml:space="preserve">challenged</w:t>
      </w:r>
      <w:r>
        <w:t xml:space="preserve"> </w:t>
      </w:r>
      <w:r>
        <w:t xml:space="preserve">profile, profile 2</w:t>
      </w:r>
    </w:p>
    <w:p>
      <w:pPr>
        <w:pStyle w:val="Compact"/>
        <w:numPr>
          <w:numId w:val="1009"/>
          <w:ilvl w:val="0"/>
        </w:numPr>
      </w:pPr>
      <w:r>
        <w:t xml:space="preserve">a</w:t>
      </w:r>
      <w:r>
        <w:t xml:space="preserve"> </w:t>
      </w:r>
      <w:r>
        <w:rPr>
          <w:b/>
        </w:rPr>
        <w:t xml:space="preserve">highly challenged</w:t>
      </w:r>
      <w:r>
        <w:t xml:space="preserve"> </w:t>
      </w:r>
      <w:r>
        <w:t xml:space="preserve">profile, profile 4</w:t>
      </w:r>
    </w:p>
    <w:p>
      <w:pPr>
        <w:pStyle w:val="Compact"/>
        <w:numPr>
          <w:numId w:val="1009"/>
          <w:ilvl w:val="0"/>
        </w:numPr>
      </w:pPr>
      <w:r>
        <w:t xml:space="preserve">an</w:t>
      </w:r>
      <w:r>
        <w:t xml:space="preserve"> </w:t>
      </w:r>
      <w:r>
        <w:rPr>
          <w:b/>
        </w:rPr>
        <w:t xml:space="preserve">engaged and competent but not challenged</w:t>
      </w:r>
      <w:r>
        <w:t xml:space="preserve"> </w:t>
      </w:r>
      <w:r>
        <w:t xml:space="preserve">profile, profile 3</w:t>
      </w:r>
    </w:p>
    <w:p>
      <w:pPr>
        <w:pStyle w:val="FirstParagraph"/>
      </w:pPr>
      <w:r>
        <w:t xml:space="preserve">The number of observations in each of the profiles is not very balanced, 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 if the engaged and competent but not challenged profile (</w:t>
      </w:r>
      <w:r>
        <w:rPr>
          <w:i/>
        </w:rPr>
        <w:t xml:space="preserve">n</w:t>
      </w:r>
      <w:r>
        <w:t xml:space="preserve"> </w:t>
      </w:r>
      <w:r>
        <w:t xml:space="preserve">= 688), and very few in the highly challenged (</w:t>
      </w:r>
      <w:r>
        <w:rPr>
          <w:i/>
        </w:rPr>
        <w:t xml:space="preserve">n</w:t>
      </w:r>
      <w:r>
        <w:t xml:space="preserve"> </w:t>
      </w:r>
      <w:r>
        <w:t xml:space="preserve">= 135) profile. The log-likelihood was replicated three times. While each of these profiles has been identified in another solution, the small number of observations in the highly challenged profile suggests that this solution be interpreted with some skepticism because of the potentially limited utility (and statistical power associated with the use) of the profiles in subsequent analyses.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4p-1.png" id="0" name="Picture"/>
                    <pic:cNvPicPr>
                      <a:picLocks noChangeArrowheads="1" noChangeAspect="1"/>
                    </pic:cNvPicPr>
                  </pic:nvPicPr>
                  <pic:blipFill>
                    <a:blip r:embed="rId113"/>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14" w:name="model-2-profiles-5"/>
      <w:bookmarkEnd w:id="114"/>
      <w:r>
        <w:t xml:space="preserve">Model: 2, Profiles: 5</w:t>
      </w:r>
    </w:p>
    <w:p>
      <w:pPr>
        <w:pStyle w:val="FirstParagraph"/>
      </w:pPr>
      <w:r>
        <w:t xml:space="preserve">This solution is characterized by:</w:t>
      </w:r>
    </w:p>
    <w:p>
      <w:pPr>
        <w:pStyle w:val="Compact"/>
        <w:numPr>
          <w:numId w:val="1010"/>
          <w:ilvl w:val="0"/>
        </w:numPr>
      </w:pPr>
      <w:r>
        <w:t xml:space="preserve">a</w:t>
      </w:r>
      <w:r>
        <w:t xml:space="preserve"> </w:t>
      </w:r>
      <w:r>
        <w:rPr>
          <w:b/>
        </w:rPr>
        <w:t xml:space="preserve">universally low</w:t>
      </w:r>
      <w:r>
        <w:t xml:space="preserve"> </w:t>
      </w:r>
      <w:r>
        <w:t xml:space="preserve">profile, profile 1</w:t>
      </w:r>
    </w:p>
    <w:p>
      <w:pPr>
        <w:pStyle w:val="Compact"/>
        <w:numPr>
          <w:numId w:val="1010"/>
          <w:ilvl w:val="0"/>
        </w:numPr>
      </w:pPr>
      <w:r>
        <w:t xml:space="preserve">a</w:t>
      </w:r>
      <w:r>
        <w:t xml:space="preserve"> </w:t>
      </w:r>
      <w:r>
        <w:rPr>
          <w:b/>
        </w:rPr>
        <w:t xml:space="preserve">full</w:t>
      </w:r>
      <w:r>
        <w:t xml:space="preserve"> </w:t>
      </w:r>
      <w:r>
        <w:t xml:space="preserve">profile, profile 4, although with very high levels of challenged (in addition to high levels of all of the other variables), making this profile similar to that (challenged) profile</w:t>
      </w:r>
    </w:p>
    <w:p>
      <w:pPr>
        <w:pStyle w:val="Compact"/>
        <w:numPr>
          <w:numId w:val="1010"/>
          <w:ilvl w:val="0"/>
        </w:numPr>
      </w:pPr>
      <w:r>
        <w:t xml:space="preserve">a</w:t>
      </w:r>
      <w:r>
        <w:t xml:space="preserve"> </w:t>
      </w:r>
      <w:r>
        <w:rPr>
          <w:b/>
        </w:rPr>
        <w:t xml:space="preserve">highly challenged</w:t>
      </w:r>
      <w:r>
        <w:t xml:space="preserve"> </w:t>
      </w:r>
      <w:r>
        <w:t xml:space="preserve">profile, profile 5</w:t>
      </w:r>
    </w:p>
    <w:p>
      <w:pPr>
        <w:pStyle w:val="Compact"/>
        <w:numPr>
          <w:numId w:val="1010"/>
          <w:ilvl w:val="0"/>
        </w:numPr>
      </w:pPr>
      <w:r>
        <w:t xml:space="preserve">an</w:t>
      </w:r>
      <w:r>
        <w:t xml:space="preserve"> </w:t>
      </w:r>
      <w:r>
        <w:rPr>
          <w:b/>
        </w:rPr>
        <w:t xml:space="preserve">all moderate</w:t>
      </w:r>
      <w:r>
        <w:t xml:space="preserve"> </w:t>
      </w:r>
      <w:r>
        <w:t xml:space="preserve">profile, profile 3, although with moderately lower levels of competence than is found in profiles associated with other solutions</w:t>
      </w:r>
    </w:p>
    <w:p>
      <w:pPr>
        <w:pStyle w:val="Compact"/>
        <w:numPr>
          <w:numId w:val="1010"/>
          <w:ilvl w:val="0"/>
        </w:numPr>
      </w:pPr>
      <w:r>
        <w:t xml:space="preserve">a</w:t>
      </w:r>
      <w:r>
        <w:t xml:space="preserve"> </w:t>
      </w:r>
      <w:r>
        <w:rPr>
          <w:b/>
        </w:rPr>
        <w:t xml:space="preserve">competent but not challenged</w:t>
      </w:r>
      <w:r>
        <w:t xml:space="preserve"> </w:t>
      </w:r>
      <w:r>
        <w:t xml:space="preserve">profile, profile 2, similar to the competent but not challenged or engaged profile, but with neutral, rather than low, levels of the engagement variables</w:t>
      </w:r>
    </w:p>
    <w:p>
      <w:pPr>
        <w:pStyle w:val="FirstParagraph"/>
      </w:pPr>
      <w:r>
        <w:t xml:space="preserve">The number of observations associated with each of the profiles is not very balanced, with a very large number of observations in the all moderate profile (</w:t>
      </w:r>
      <w:r>
        <w:rPr>
          <w:i/>
        </w:rPr>
        <w:t xml:space="preserve">n</w:t>
      </w:r>
      <w:r>
        <w:t xml:space="preserve"> </w:t>
      </w:r>
      <w:r>
        <w:t xml:space="preserve">= 1,113) and a large number in the competent but not challenged profile (</w:t>
      </w:r>
      <w:r>
        <w:rPr>
          <w:i/>
        </w:rPr>
        <w:t xml:space="preserve">n</w:t>
      </w:r>
      <w:r>
        <w:t xml:space="preserve"> </w:t>
      </w:r>
      <w:r>
        <w:t xml:space="preserve">= 871), a moderate number in the full profile (</w:t>
      </w:r>
      <w:r>
        <w:rPr>
          <w:i/>
        </w:rPr>
        <w:t xml:space="preserve">n</w:t>
      </w:r>
      <w:r>
        <w:t xml:space="preserve"> </w:t>
      </w:r>
      <w:r>
        <w:t xml:space="preserve">= 573), and very few in the universally low (</w:t>
      </w:r>
      <w:r>
        <w:rPr>
          <w:i/>
        </w:rPr>
        <w:t xml:space="preserve">n</w:t>
      </w:r>
      <w:r>
        <w:t xml:space="preserve"> </w:t>
      </w:r>
      <w:r>
        <w:t xml:space="preserve">= 271) and challenged but not competent (</w:t>
      </w:r>
      <w:r>
        <w:rPr>
          <w:i/>
        </w:rPr>
        <w:t xml:space="preserve">n</w:t>
      </w:r>
      <w:r>
        <w:t xml:space="preserve"> </w:t>
      </w:r>
      <w:r>
        <w:t xml:space="preserve">= 130) profiles. The log-likelihood was replicated four times. Like for the model 2, four profile solution, the small number of observations associated with two of the profiles suggests that this solution should be interpreted with some caution.</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5p-1.png" id="0" name="Picture"/>
                    <pic:cNvPicPr>
                      <a:picLocks noChangeArrowheads="1" noChangeAspect="1"/>
                    </pic:cNvPicPr>
                  </pic:nvPicPr>
                  <pic:blipFill>
                    <a:blip r:embed="rId115"/>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2"/>
      </w:pPr>
      <w:bookmarkStart w:id="116" w:name="appendix-models-for-research-question-2-and-3-with-the-seven-profile-solution"/>
      <w:bookmarkEnd w:id="116"/>
      <w:r>
        <w:t xml:space="preserve">Appendix: Models for research question #2 and #3 with the seven-profile 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f048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7fef6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d7606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2018-04-20T15:22:46Z</dcterms:created>
  <dcterms:modified xsi:type="dcterms:W3CDTF">2018-04-20T15:22:46Z</dcterms:modified>
</cp:coreProperties>
</file>