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107.png" ContentType="image/png"/>
  <Override PartName="/word/media/rId108.png" ContentType="image/png"/>
  <Override PartName="/word/media/rId104.png" ContentType="image/png"/>
  <Override PartName="/word/media/rId105.png" ContentType="image/png"/>
  <Override PartName="/word/media/rId63.png" ContentType="image/png"/>
  <Override PartName="/word/media/rId6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youth</w:t>
      </w:r>
      <w:r>
        <w:t xml:space="preserve"> </w:t>
      </w:r>
      <w:r>
        <w:t xml:space="preserve">engagement</w:t>
      </w:r>
      <w:r>
        <w:t xml:space="preserve"> </w:t>
      </w:r>
      <w:r>
        <w:t xml:space="preserve">during</w:t>
      </w:r>
      <w:r>
        <w:t xml:space="preserve"> </w:t>
      </w:r>
      <w:r>
        <w:t xml:space="preserve">learning</w:t>
      </w:r>
      <w:r>
        <w:t xml:space="preserve"> </w:t>
      </w:r>
      <w:r>
        <w:t xml:space="preserve">activities</w:t>
      </w:r>
      <w:r>
        <w:t xml:space="preserve"> </w:t>
      </w:r>
      <w:r>
        <w:t xml:space="preserve">that</w:t>
      </w:r>
      <w:r>
        <w:t xml:space="preserve"> </w:t>
      </w:r>
      <w:r>
        <w:t xml:space="preserve">involve</w:t>
      </w:r>
      <w:r>
        <w:t xml:space="preserve"> </w:t>
      </w:r>
      <w:r>
        <w:t xml:space="preserve">work</w:t>
      </w:r>
      <w:r>
        <w:t xml:space="preserve"> </w:t>
      </w:r>
      <w:r>
        <w:t xml:space="preserve">with</w:t>
      </w:r>
      <w:r>
        <w:t xml:space="preserve"> </w:t>
      </w:r>
      <w:r>
        <w:t xml:space="preserve">data:</w:t>
      </w:r>
      <w:r>
        <w:t xml:space="preserve"> </w:t>
      </w:r>
      <w:r>
        <w:t xml:space="preserve">An</w:t>
      </w:r>
      <w:r>
        <w:t xml:space="preserve"> </w:t>
      </w:r>
      <w:r>
        <w:t xml:space="preserve">Experience</w:t>
      </w:r>
      <w:r>
        <w:t xml:space="preserve"> </w:t>
      </w:r>
      <w:r>
        <w:t xml:space="preserve">Sampling</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2018-06-04</w:t>
      </w:r>
    </w:p>
    <w:p>
      <w:pPr>
        <w:pStyle w:val="Heading1"/>
      </w:pPr>
      <w:bookmarkStart w:id="21" w:name="intro-placemarker"/>
      <w:bookmarkEnd w:id="21"/>
      <w:r>
        <w:t xml:space="preserve">Introduction</w:t>
      </w:r>
    </w:p>
    <w:p>
      <w:pPr>
        <w:pStyle w:val="FirstParagraph"/>
      </w:pPr>
      <w:r>
        <w:t xml:space="preserve">Socializing, working, and even teaching and learning are increasingly impacted by data. These sources of data–either quantitative</w:t>
      </w:r>
      <w:r>
        <w:t xml:space="preserve"> </w:t>
      </w:r>
      <w:r>
        <w:rPr>
          <w:i/>
        </w:rPr>
        <w:t xml:space="preserve">or</w:t>
      </w:r>
      <w:r>
        <w:t xml:space="preserve"> </w:t>
      </w:r>
      <w:r>
        <w:t xml:space="preserve">qualitative–are created by us, for us, and about us. Despite the impacts of data, present opportunities for learners themselves to work with data in educational settings are limited.</w:t>
      </w:r>
    </w:p>
    <w:p>
      <w:pPr>
        <w:pStyle w:val="BodyText"/>
      </w:pPr>
      <w:r>
        <w:t xml:space="preserve">Work with data includes broad processes of collecting, creating, modeling data, and even asking questions that can be answered with data. This work, then, is more than just crunching numbers. It is also more than interpreting a figure created by someone else. Rather, work with data is about making sense of phenomena in the world–or solving problems in the world. This focus on phenomena is particularly relevant to those designing and enacting learning opportunities focused on work with data (Lee &amp; Wilkerson, in press; Singer, Hilton, &amp; Schweingruber, 2006; Wild &amp; Pfannkuch, 1999).</w:t>
      </w:r>
    </w:p>
    <w:p>
      <w:pPr>
        <w:pStyle w:val="BodyText"/>
      </w:pPr>
      <w:r>
        <w:t xml:space="preserve">Despite not being very widespread, aspects of work with data cut across STEM (Science Technology Engineering and Mathematics) domains: Aspects of work with data are recognized as core competencies across recent curricular documents, particularly the</w:t>
      </w:r>
      <w:r>
        <w:t xml:space="preserve"> </w:t>
      </w:r>
      <w:r>
        <w:rPr>
          <w:i/>
        </w:rPr>
        <w:t xml:space="preserve">Next Generation Science Standards</w:t>
      </w:r>
      <w:r>
        <w:t xml:space="preserve"> </w:t>
      </w:r>
      <w:r>
        <w:t xml:space="preserve">(NGSS Lead States, 2013) and the</w:t>
      </w:r>
      <w:r>
        <w:t xml:space="preserve"> </w:t>
      </w:r>
      <w:r>
        <w:rPr>
          <w:i/>
        </w:rPr>
        <w:t xml:space="preserve">Common Core State Standards</w:t>
      </w:r>
      <w:r>
        <w:t xml:space="preserve"> </w:t>
      </w:r>
      <w:r>
        <w:t xml:space="preserve">(in mathematics; National Governors Association Center for Best Practices, Council of Chief State School Officers, 2010). Both of these standards highlight the role of authentic work work with data.</w:t>
      </w:r>
    </w:p>
    <w:p>
      <w:pPr>
        <w:pStyle w:val="BodyText"/>
      </w:pPr>
      <w:r>
        <w:t xml:space="preserve">Past research on work with data has largely been set in mathematics contexts and has focused on mathematical practices, like generating measures of phenomena and creating data models (English, 2012; Lehrer &amp; Romberg, 1996; Lesh, Middleton, Caylor, &amp; Gupta, 2008). There has been some research about work with data in science settings (Lee &amp; Wilkerson, in press; National Research Council, 2012), though this work varies greatly in terms of the nature of work with data (McNeill &amp; Berland, 2017). Findings from this past research broadly suggests that engaging in work with data is powerful in terms of learning both about and how to do mathematics and science. Lehrer and Schauble , summarizing past research on the use of mathematical practices in science contexts, note that work with data</w:t>
      </w:r>
      <w:r>
        <w:t xml:space="preserve"> </w:t>
      </w:r>
      <w:r>
        <w:t xml:space="preserve">“</w:t>
      </w:r>
      <w:r>
        <w:t xml:space="preserve">has an exceptionally high payoff in terms of students’ scientific reasoning</w:t>
      </w:r>
      <w:r>
        <w:t xml:space="preserve">”</w:t>
      </w:r>
      <w:r>
        <w:t xml:space="preserve"> </w:t>
      </w:r>
      <w:r>
        <w:t xml:space="preserve">(Lehrer &amp; Schauble, 2015, p. 696).</w:t>
      </w:r>
    </w:p>
    <w:p>
      <w:pPr>
        <w:pStyle w:val="BodyText"/>
      </w:pPr>
      <w:r>
        <w:t xml:space="preserve">To date, past research shows that using a framework from contemporary engagement theory to characterize students’ experiences has been informative both in research and to practicing educators. Knowing more about how youth engage in work with data is valuable as engagement is a meaningful outcome for STEM learners in its own right (Sinatra, Heddy, &amp; Lombardi, 2015). It may also be an antecedent of changes in other outcomes, such as their well-being, achievement and pursuit of an area of study or career (Wang, Chow, Hofkens, &amp; Salmela-Aro, 2015; Wang &amp; Eccles, 2012). However, research has not examined engagement in work with data. Because engaging in work with data seems to be so potentially beneficial to learners, better understanding the nature of work with data and learners’ engagement in such practices is needed.</w:t>
      </w:r>
    </w:p>
    <w:p>
      <w:pPr>
        <w:pStyle w:val="BodyText"/>
      </w:pPr>
      <w:r>
        <w:t xml:space="preserve">The purpose of this study, then, is to examine youth engagement in a variety of learning activities that involve work with data. Engagement is explored in the context of outside-of-school STEM enrichment programs carried out during the summer and work with data is considered in terms of specific aspects identified from past research, such as asking questions and generating and modeling data.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general.</w:t>
      </w:r>
    </w:p>
    <w:p>
      <w:pPr>
        <w:pStyle w:val="Heading1"/>
      </w:pPr>
      <w:bookmarkStart w:id="22" w:name="literature-review"/>
      <w:bookmarkEnd w:id="22"/>
      <w:r>
        <w:t xml:space="preserve">Literature Review</w:t>
      </w:r>
    </w:p>
    <w:p>
      <w:pPr>
        <w:pStyle w:val="FirstParagraph"/>
      </w:pPr>
      <w:r>
        <w:t xml:space="preserve">The framework for this study is informed by work on STEM-related learning practices, student engagement, and approaches to analyzing complex psychological constructs, like engagement. In this review of literature, I define work with data as a key practice, or learning-related activity, across STEM domains. I also define and justify a multi-dimensional framework for understanding engagement, and then review an approach to analyzing data that is ideal for capturing this multidimensionality.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focus on solving real problems or answering authentic questions–rather than being taught and learned as isolated skills–is an essential part of work with data having the most educational benefits to learners (National Research Council, 2012; see Lehrer and Schauble [2012] Windschitl, Thompson, &amp; Braaten [2018] for excellent, practice, in-depth examples of work with data being used as part of instructional approaches). This approach has primarily been used by mathematics educators, as reflected in its role in statistics curriculum standards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Work with data has been conceived in different ways. For some specific examples from different domains, see Lee and Wikerson’s (in press) forthcoming summary report for the National Academy of Sciences and Wild and Pfannkuch (1999), Franklin et al. (2007), and Lehrer and Schauble (2004). Because there is not an agreed upon definition of work with data–particularly across subject area domains (i.e., across all of the STEM content areas)–I focus on the core aspects that scholars have most often included in their conceptualizations of work with data. These core components, synthesized from definitions across studies, are better for understanding work with data across STEM content areas–as in the present study–than the components from specific examples, which were developed for use in only one domain. The aspects of work with data that have been articulated in prior studies are distilled into five key aspects (Figure 2.1) for use in this study. They are:</w:t>
      </w:r>
    </w:p>
    <w:p>
      <w:pPr>
        <w:pStyle w:val="Compact"/>
        <w:numPr>
          <w:numId w:val="1001"/>
          <w:ilvl w:val="0"/>
        </w:numPr>
      </w:pPr>
      <w:r>
        <w:rPr>
          <w:i/>
        </w:rPr>
        <w:t xml:space="preserve">Asking questions</w:t>
      </w:r>
      <w:r>
        <w:t xml:space="preserve">: Generating questions that can be answered with empirical evidence</w:t>
      </w:r>
    </w:p>
    <w:p>
      <w:pPr>
        <w:pStyle w:val="Compact"/>
        <w:numPr>
          <w:numId w:val="1001"/>
          <w:ilvl w:val="0"/>
        </w:numPr>
      </w:pPr>
      <w:r>
        <w:rPr>
          <w:i/>
        </w:rPr>
        <w:t xml:space="preserve">Making observations</w:t>
      </w:r>
      <w:r>
        <w:t xml:space="preserve">: Watching phenomena and noticing what is happening with respect to the phenomena or problem being investigated</w:t>
      </w:r>
    </w:p>
    <w:p>
      <w:pPr>
        <w:pStyle w:val="Compact"/>
        <w:numPr>
          <w:numId w:val="1001"/>
          <w:ilvl w:val="0"/>
        </w:numPr>
      </w:pPr>
      <w:r>
        <w:rPr>
          <w:i/>
        </w:rPr>
        <w:t xml:space="preserve">Generating data</w:t>
      </w:r>
      <w:r>
        <w:t xml:space="preserve">: The process of figuring out how or why to inscribe an observation as data about phenomena, as well as generating tools for measuring or categorizing</w:t>
      </w:r>
    </w:p>
    <w:p>
      <w:pPr>
        <w:pStyle w:val="Compact"/>
        <w:numPr>
          <w:numId w:val="1001"/>
          <w:ilvl w:val="0"/>
        </w:numPr>
      </w:pPr>
      <w:r>
        <w:rPr>
          <w:i/>
        </w:rPr>
        <w:t xml:space="preserve">Data modeling</w:t>
      </w:r>
      <w:r>
        <w:t xml:space="preserve">: Activities involving use of simple statistics, such as the mean and standard deviation, as well as more complicated models, such as linear models and extensions of the linear model</w:t>
      </w:r>
    </w:p>
    <w:p>
      <w:pPr>
        <w:pStyle w:val="Compact"/>
        <w:numPr>
          <w:numId w:val="1001"/>
          <w:ilvl w:val="0"/>
        </w:numPr>
      </w:pPr>
      <w:r>
        <w:rPr>
          <w:i/>
        </w:rPr>
        <w:t xml:space="preserve">Interpreting and communicating findings</w:t>
      </w:r>
      <w:r>
        <w:t xml:space="preserve">: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These five synthesized aspects of work with data are not stand-alone practices but are a part of a cycle. This is not only because each aspect follows that before it, but also because the overall process is iterative: For example,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Lee &amp; Wilkerson, in press).</w:t>
      </w:r>
    </w:p>
    <w:p>
      <w:pPr>
        <w:pStyle w:val="Heading2"/>
      </w:pPr>
      <w:bookmarkStart w:id="25" w:name="the-role-of-working-with-data-in-stem-learning-environments"/>
      <w:bookmarkEnd w:id="25"/>
      <w:r>
        <w:t xml:space="preserve">The role of working with data in STEM learning environments</w:t>
      </w:r>
    </w:p>
    <w:p>
      <w:pPr>
        <w:pStyle w:val="FirstParagraph"/>
      </w:pPr>
      <w:r>
        <w:t xml:space="preserve">Working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educational reform efforts emphasize work with data (i.e., the scientific and engineering practices in the NGSS and the standards for mathematical practice in the Common Core State Standards). However, work with data is uncommon in many classroom settings, even classrooms emphasizing recent science education reform efforts; McNeill &amp; Berland, 2017; Miller, Manz, Russ, Stroupe, &amp; Berland, in press). As a result,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in particular, are a potentially valuable setting to explore engagement in work with data, because of the combined pedagogical and technical expertise of their staff and the open-ended nature of the activities that are possible to carry out during them. Staff, or youth activity leaders,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a good context for understanding work with data because little research has examined how data are part of the experiences of youth during them.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There is a good amount of past research on cognitive capabilities as outcomes from working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the past research that has been carried out, how learners and youth participate in different aspects of work with data in terms of engagement theory has not been examined. Consider the practice of modeling data, commonly described as a—-or</w:t>
      </w:r>
      <w:r>
        <w:t xml:space="preserve"> </w:t>
      </w:r>
      <w:r>
        <w:rPr>
          <w:i/>
        </w:rPr>
        <w:t xml:space="preserve">the</w:t>
      </w:r>
      <w:r>
        <w:t xml:space="preserve">-—key part of many data analyses (Konold, Finzer, &amp; Kreetong,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In this section, 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or context-dependent, characteristics and its multidimensional nature. Finally, I describe methods for capturing these two features</w:t>
      </w:r>
      <w:r>
        <w:t xml:space="preserve"> </w:t>
      </w:r>
      <w:r>
        <w:rPr>
          <w:i/>
        </w:rPr>
        <w:t xml:space="preserve">empirically</w:t>
      </w:r>
      <w:r>
        <w:t xml:space="preserve"> </w:t>
      </w:r>
      <w:r>
        <w:t xml:space="preserve">through an approach called the Experience Sampling Method, or ESM, and describe how multidimensional data, collected by ESM, can be analyzed.</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w:t>
      </w:r>
    </w:p>
    <w:p>
      <w:pPr>
        <w:pStyle w:val="BodyText"/>
      </w:pPr>
      <w:r>
        <w:t xml:space="preserve">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pPr>
        <w:pStyle w:val="BodyText"/>
      </w:pPr>
      <w:r>
        <w:t xml:space="preserve">Engagement in STEM settings shares characteristics with engagement across disciplines, yet there are some distinct aspects of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w:t>
      </w:r>
      <w:r>
        <w:t xml:space="preserve"> </w:t>
      </w:r>
      <w:r>
        <w:rPr>
          <w:i/>
        </w:rPr>
        <w:t xml:space="preserve">epistemic considerations</w:t>
      </w:r>
      <w:r>
        <w:t xml:space="preserve"> </w:t>
      </w:r>
      <w:r>
        <w:t xml:space="preserve">around sources of evidence and the nature of explanatory processes (see Berland et al. 2016, Stroupe, 2014; Miller et al., in press).</w:t>
      </w:r>
    </w:p>
    <w:p>
      <w:pPr>
        <w:pStyle w:val="BodyText"/>
      </w:pPr>
      <w:r>
        <w:t xml:space="preserve">The emphasis on developing new knowledge and capabilities through engaging in STEM practices must be reflected in how the cognitive dimension of engagement is measured.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Finally, there are some key conditions that facilitate engagement. Emergent Motivation Theory (EMT; Csikszentmihalyi, 1990), provides a useful lens for understanding these conditions. From EMT, a key condition for engagement that can change dynamically, from moment to moment, is how difficult individuals perceive an activity to be, or its</w:t>
      </w:r>
      <w:r>
        <w:t xml:space="preserve"> </w:t>
      </w:r>
      <w:r>
        <w:rPr>
          <w:i/>
        </w:rPr>
        <w:t xml:space="preserve">perceived challenge</w:t>
      </w:r>
      <w:r>
        <w:t xml:space="preserve">. Another key condition is how good at an activity individuals perceive themselves to be, or their</w:t>
      </w:r>
      <w:r>
        <w:t xml:space="preserve"> </w:t>
      </w:r>
      <w:r>
        <w:rPr>
          <w:i/>
        </w:rPr>
        <w:t xml:space="preserve">perceived competence</w:t>
      </w:r>
      <w:r>
        <w:t xml:space="preserve">. What is most important–and necessary in terms of being engaged–is being both challenged by and good at a particular activity.</w:t>
      </w:r>
    </w:p>
    <w:p>
      <w:pPr>
        <w:pStyle w:val="BodyText"/>
      </w:pPr>
      <w:r>
        <w:t xml:space="preserve">Past research has supported this conjecture (Csikszentmihalyi, 1990). As one empirical example, Shernoff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 Thus, these two conditions (challenge and competence) are considered together with engagement in this study, as described in the section below on analyzing multidimensional data on engagement.</w:t>
      </w:r>
    </w:p>
    <w:p>
      <w:pPr>
        <w:pStyle w:val="Heading2"/>
      </w:pPr>
      <w:bookmarkStart w:id="28" w:name="youth-characteristics-that-may-effect-their-engagement"/>
      <w:bookmarkEnd w:id="28"/>
      <w:r>
        <w:t xml:space="preserve">Youth characteristics that may effect their engagement</w:t>
      </w:r>
    </w:p>
    <w:p>
      <w:pPr>
        <w:pStyle w:val="FirstParagraph"/>
      </w:pPr>
      <w:r>
        <w:t xml:space="preserve">Past research suggests learners or youths’ characteristics, such as their interest in the domain of study, impact their cognitive, behavioral, and affective engagement (Shernoff et al., 2003; Shernoff et al., 2016; Shumow, Schmidt, &amp; Zaleski, 2013). These are both moment-to-moment, context-dependent conditions that support engagement (like those discussed above, perceptions of challenge and competence) as well as youth-specific factors. These factors are at the level of individual differences (i.e., youths’ more stable interest in STEM domains), and may impact engagement, as described in this section.</w:t>
      </w:r>
    </w:p>
    <w:p>
      <w:pPr>
        <w:pStyle w:val="BodyText"/>
      </w:pPr>
      <w:r>
        <w:t xml:space="preserve">A factor that can support engagement concerns teacher support for specific learning-related practices (Strati, Schmidt, &amp; Maier, 2017). Particularly concerning work with data, which is demanding not only for learners but also teachers (Lehrer &amp; Schauble, 2015; Wilkerson, Andrews, Shaban, Laina,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large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p>
    <w:p>
      <w:pPr>
        <w:pStyle w:val="BodyText"/>
      </w:pPr>
      <w:r>
        <w:t xml:space="preserve">Other factors that impact youths’ engagement are individual characteristics and differences.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Knowing about whether and to what extent youths’ interest</w:t>
      </w:r>
      <w:r>
        <w:t xml:space="preserve"> </w:t>
      </w:r>
      <w:r>
        <w:rPr>
          <w:i/>
        </w:rPr>
        <w:t xml:space="preserve">before</w:t>
      </w:r>
      <w:r>
        <w:t xml:space="preserve"> </w:t>
      </w:r>
      <w:r>
        <w:t xml:space="preserve">participating in summer STEM programs explains their engagement</w:t>
      </w:r>
      <w:r>
        <w:t xml:space="preserve"> </w:t>
      </w:r>
      <w:r>
        <w:rPr>
          <w:i/>
        </w:rPr>
        <w:t xml:space="preserve">during</w:t>
      </w:r>
      <w:r>
        <w:t xml:space="preserve"> </w:t>
      </w:r>
      <w:r>
        <w:t xml:space="preserve">them is a key question on its own right. It is also important in terms of properly understanding the effects of other factors, such as working with data, above and beyond the effect of pre-program interest. In addition to this interest, gender and the racial and ethnic group of students is also considered, as past research has indicated these as factors that influence engagement in STEM (Bystydzienski, Eisenhart, &amp; Bruning, 2015; Shernoff &amp; Schmidt, 2008). To include the racial and ethnic group of students, being part of an under-represented minority (URM) group is considered. To sum up, youths’ pre-program interest, gender, and URM group membership are considered as individual factors that may impact youths’ engagement.</w:t>
      </w:r>
    </w:p>
    <w:p>
      <w:pPr>
        <w:pStyle w:val="Heading2"/>
      </w:pPr>
      <w:bookmarkStart w:id="29" w:name="challenges-of-measuring-engagement-as-a-contextually-dependent-and-multidimensional-construct"/>
      <w:bookmarkEnd w:id="29"/>
      <w:r>
        <w:t xml:space="preserve">Challenges of Measuring Engagement as a Contextually-Dependent and Multidimensional Construct</w:t>
      </w:r>
    </w:p>
    <w:p>
      <w:pPr>
        <w:pStyle w:val="FirstParagraph"/>
      </w:pPr>
      <w:r>
        <w:t xml:space="preserve">Because of the way engagement has been thought of as having context-dependent characteristics and being multi-dimensional, it is challenging to use engagement (when conceptualized in such a way) in empirical studies. One methodological approach that has benefits in terms of both the context-dependent and multidimensional nature of engagement is the ESM. A number of scholars have explored or extolled benefits to its use in their recent work (e.g., Strati et al., 2017; Turner &amp; Meyer, 2000; Sinatra et al., 2015).</w:t>
      </w:r>
    </w:p>
    <w:p>
      <w:pPr>
        <w:pStyle w:val="BodyText"/>
      </w:pPr>
      <w:r>
        <w:t xml:space="preserve">This study employs the Experience Sampling Method (ESM; Hektner, Schmidt, &amp; Csikszentmihalyi, 2007) where learners answer short questions about their experience when signaled. ESM involves asking (usually using a digital tool and occasionally a diary)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The ESM approach is both sensitive to changes in engagement over time, as well as between learners and allows us to understand engagement and how factors impact it in more nuanced and complex ways (Turner &amp; Meyer, 2000).Though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rPr>
          <w:i/>
        </w:rPr>
        <w:t xml:space="preserve">gold standard</w:t>
      </w:r>
      <w:r>
        <w:t xml:space="preserve"> </w:t>
      </w:r>
      <w:r>
        <w:t xml:space="preserve">for understanding individual’s subjective experience (Schwarz, Kahneman, &amp; Xu, 2009).</w:t>
      </w:r>
    </w:p>
    <w:p>
      <w:pPr>
        <w:pStyle w:val="BodyText"/>
      </w:pPr>
      <w:r>
        <w:t xml:space="preserve">Research has shown us how the use of ESM can lead to distinct contributions to our understanding of learning and engagement. This work also suggests how ESM can be put to use for the purpose of the present study. For example,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that ESM can be used to understand fine-grained differences in learning activities, such as the aspects of work with data that are the focus of this study.</w:t>
      </w:r>
    </w:p>
    <w:p>
      <w:pPr>
        <w:pStyle w:val="BodyText"/>
      </w:pPr>
      <w:r>
        <w:t xml:space="preserve">Other research shows us that there are newer approaches to analyzing ESM data that can contribute insights into the context-dependent nature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context-dependent nature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context-dependent nature of engagement and that such an approach may be able to be used to understand engaging in work with data. Additionally, these recent studies (particularly the study by Strati and colleagues) show that how effects at different levels are treated, namely, how variability at these levels is accounted for through random effects as part of mixed effects models, is a key practical consideration for the analysis of ESM data.</w:t>
      </w:r>
    </w:p>
    <w:p>
      <w:pPr>
        <w:pStyle w:val="BodyText"/>
      </w:pPr>
      <w:r>
        <w:t xml:space="preserve">One powerful and increasingly widely used way to examine context-dependent constructs, such as engagement, is the use of</w:t>
      </w:r>
      <w:r>
        <w:t xml:space="preserve"> </w:t>
      </w:r>
      <w:r>
        <w:rPr>
          <w:i/>
        </w:rPr>
        <w:t xml:space="preserve">profiles of</w:t>
      </w:r>
      <w:r>
        <w:t xml:space="preserve">, or groups of variables that are measured. This profile approach is especially important given the multidimensional nature of engagement. In past research, profiles are commonly used as part of what are described as person-oriented approaches (see Bergman &amp; Magnusson, 1997), those used to consider the way in which psychological constructs are experienced together and at once in the experiences of learners. Note that in the present study, ESM involves asking youth about to report on their experience at the time they were signaled (rather than, for example, before or after the program, which traditional surveys are well-suited for).</w:t>
      </w:r>
    </w:p>
    <w:p>
      <w:pPr>
        <w:pStyle w:val="BodyText"/>
      </w:pPr>
      <w:r>
        <w:t xml:space="preserve">In this study,</w:t>
      </w:r>
      <w:r>
        <w:t xml:space="preserve"> </w:t>
      </w:r>
      <w:r>
        <w:rPr>
          <w:i/>
        </w:rPr>
        <w:t xml:space="preserve">profiles of engagement</w:t>
      </w:r>
      <w:r>
        <w:t xml:space="preserve"> </w:t>
      </w:r>
      <w:r>
        <w:t xml:space="preserve">are used in the service of understanding how students engage in work with data in a more holistic way. There are some recent studies taking a profile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w:t>
      </w:r>
    </w:p>
    <w:p>
      <w:pPr>
        <w:pStyle w:val="BodyText"/>
      </w:pPr>
      <w:r>
        <w:t xml:space="preserve">Past studies have considered profiles of cognitive, behavioral, and affective aspects of engagement. For example, to account for the context-dependent nature of engagement, some past studies have used other measures to predict engagement, such as use of in-the-moment resources and demands (Salmela-Aro et al., 2016b) and the use of instructional activities and choice (Schmidt et al., 2018). A potential way to extend this past research is to account for not only engagement (cognitive, behavioral, and affective), but also its key conditions (challenge and competence). This is especially important since a profile approach emphasizes the holistic nature of engagement and the impact of not only external but also intra-individual factors. Accordingly, youths’ perceptions of the challenge of the activity and of their competence at it are used along with the measures of engagement to construct profiles of engagement. Thus, the profiles of engagement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In addition to this need to study engagement in work with data through the lens of engagement, no research has yet examined work with data in the context of summer STEM programs, though such settings are potentially rich with opportunities for highly engaged youth to analyze authentic data sources.</w:t>
      </w:r>
    </w:p>
    <w:p>
      <w:pPr>
        <w:pStyle w:val="Heading2"/>
      </w:pPr>
      <w:bookmarkStart w:id="31" w:name="conceptual-framework-and-research-questions"/>
      <w:bookmarkEnd w:id="31"/>
      <w:r>
        <w:t xml:space="preserve">Conceptual Framework and Research Questions</w:t>
      </w:r>
    </w:p>
    <w:p>
      <w:pPr>
        <w:pStyle w:val="FirstParagraph"/>
      </w:pPr>
      <w:r>
        <w:t xml:space="preserve">To sum up, the present study is about how learning activities involving various aspects of work with data can be understood in terms of engagement. Its context is out-of-school-time STEM enrichment programs designed to meet guidelines for best practices. The conceptual framework in the present study is presented in Figure 2.2 and is laid out in the remainder of this section.</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2.2,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In addition, a pre-program measure of youths’ pre-program interest in STEM, along with youths’ gender and URM status, are hypothesized to be associated with the profiles and the relations of work with data and the profiles.</w:t>
      </w:r>
    </w:p>
    <w:p>
      <w:pPr>
        <w:pStyle w:val="FigureWithCaption"/>
      </w:pPr>
      <w:r>
        <w:drawing>
          <wp:inline>
            <wp:extent cx="5334000" cy="3392402"/>
            <wp:effectExtent b="0" l="0" r="0" t="0"/>
            <wp:docPr descr="Figure 2 A conceptual framework for this study and research questions"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and research questions</w:t>
      </w:r>
    </w:p>
    <w:p>
      <w:pPr>
        <w:pStyle w:val="BodyText"/>
      </w:pPr>
      <w:r>
        <w:t xml:space="preserve">In reference to research questions 2-5, the ESM responses that make up the profiles are associated with different</w:t>
      </w:r>
      <w:r>
        <w:t xml:space="preserve"> </w:t>
      </w:r>
      <w:r>
        <w:t xml:space="preserve">“</w:t>
      </w:r>
      <w:r>
        <w:t xml:space="preserve">levels.</w:t>
      </w:r>
      <w:r>
        <w:t xml:space="preserve">”</w:t>
      </w:r>
      <w:r>
        <w:t xml:space="preserve"> </w:t>
      </w:r>
      <w:r>
        <w:t xml:space="preserve">These</w:t>
      </w:r>
      <w:r>
        <w:t xml:space="preserve"> </w:t>
      </w:r>
      <w:r>
        <w:rPr>
          <w:i/>
        </w:rPr>
        <w:t xml:space="preserve">levels</w:t>
      </w:r>
      <w:r>
        <w:t xml:space="preserve">, or groups, which may introduce dependencies that violate statistical assumptions of the independence of the responses, are commonly considered in the Hierarchical Linear Modeling (also known as multi-level or mixed effects modeling) literature as</w:t>
      </w:r>
      <w:r>
        <w:t xml:space="preserve"> </w:t>
      </w:r>
      <w:r>
        <w:rPr>
          <w:i/>
        </w:rPr>
        <w:t xml:space="preserve">random effects</w:t>
      </w:r>
      <w:r>
        <w:t xml:space="preserve"> </w:t>
      </w:r>
      <w:r>
        <w:t xml:space="preserve">(Gelman &amp; Hill, 2007; West, Welch, &amp; Galecki, 2015). In this study, there are three levels that can be modeled as random effects to account for the dependencies they introduce: Youth, instructional episode (which are indicators for the moments–or segments–in which youth are asked to respond to the ESM signal), and the program. Thus, these are not predictor variables, but rather are levels present given the approach to data collection and the nature of the sample. Interpreting their effects is not a goal of this study, but accounting for them in the models used, as in this study, is important and and is done via random effects.</w:t>
      </w:r>
    </w:p>
    <w:p>
      <w:pPr>
        <w:pStyle w:val="BodyText"/>
      </w:pPr>
      <w:r>
        <w:t xml:space="preserve">Pre-program interest, gender, and URM status are predictor variables at the youth level. The aspects of work with data are predictor variables at the instructional episode level. There are no predictor variables at the program level, in part due to the small number of programs (and the resulting low statistical power of any variables added at this level). To summarize, pre-program interest, gender, and URM status, and the aspects of work with data are used as predictor variables, while the three levels (youth, instructional episode, and program) are accounted for in the modeling strategy.</w:t>
      </w:r>
    </w:p>
    <w:p>
      <w:pPr>
        <w:pStyle w:val="BodyText"/>
      </w:pPr>
      <w:r>
        <w:t xml:space="preserve">The five research questions, then, are:</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sources of variability are there for the profiles of engagement?</w:t>
      </w:r>
    </w:p>
    <w:p>
      <w:pPr>
        <w:pStyle w:val="Compact"/>
        <w:numPr>
          <w:numId w:val="1003"/>
          <w:ilvl w:val="0"/>
        </w:numPr>
      </w:pPr>
      <w:r>
        <w:t xml:space="preserve">What profiles of engagement emerge from data collected via ESM in the programs?</w:t>
      </w:r>
    </w:p>
    <w:p>
      <w:pPr>
        <w:pStyle w:val="Compact"/>
        <w:numPr>
          <w:numId w:val="1003"/>
          <w:ilvl w:val="0"/>
        </w:numPr>
      </w:pPr>
      <w:r>
        <w:t xml:space="preserve">How do the five aspects of work with data relate to profiles of engagement?</w:t>
      </w:r>
    </w:p>
    <w:p>
      <w:pPr>
        <w:pStyle w:val="Compact"/>
        <w:numPr>
          <w:numId w:val="1003"/>
          <w:ilvl w:val="0"/>
        </w:numPr>
      </w:pPr>
      <w:r>
        <w:t xml:space="preserve">How do youth characteristics relate to profiles of engagement?</w:t>
      </w:r>
    </w:p>
    <w:p>
      <w:pPr>
        <w:pStyle w:val="Heading1"/>
      </w:pPr>
      <w:bookmarkStart w:id="33" w:name="method"/>
      <w:bookmarkEnd w:id="33"/>
      <w:r>
        <w:t xml:space="preserve">Method</w:t>
      </w:r>
    </w:p>
    <w:p>
      <w:pPr>
        <w:pStyle w:val="Heading2"/>
      </w:pPr>
      <w:bookmarkStart w:id="34" w:name="context"/>
      <w:bookmarkEnd w:id="34"/>
      <w:r>
        <w:t xml:space="preserve">Context</w:t>
      </w:r>
    </w:p>
    <w:p>
      <w:pPr>
        <w:pStyle w:val="FirstParagraph"/>
      </w:pPr>
      <w:r>
        <w:t xml:space="preserve">The setting for the present study was nine out-of-school STEM programs during 2015 in the Northeast United States. Two</w:t>
      </w:r>
      <w:r>
        <w:t xml:space="preserve"> </w:t>
      </w:r>
      <w:r>
        <w:rPr>
          <w:i/>
        </w:rPr>
        <w:t xml:space="preserve">intermediary organizations</w:t>
      </w:r>
      <w:r>
        <w:t xml:space="preserve"> </w:t>
      </w:r>
      <w:r>
        <w:t xml:space="preserve">which were contracted by the local school districts to administer the summer programs. The two intermediaries were responsible for soliciting and enrolling youth; establishing guidelines for the design of the programs, and the goals of the programs; and providing training and professional development for the staff, hereafter referred to as youth activity leaders.</w:t>
      </w:r>
    </w:p>
    <w:p>
      <w:pPr>
        <w:pStyle w:val="BodyText"/>
      </w:pPr>
      <w:r>
        <w:t xml:space="preserve">There was a difference between the two intermediary organizations, namely, one</w:t>
      </w:r>
      <w:r>
        <w:t xml:space="preserve"> </w:t>
      </w:r>
      <w:r>
        <w:rPr>
          <w:i/>
        </w:rPr>
        <w:t xml:space="preserve">separated academic and enrichment-related activities</w:t>
      </w:r>
      <w:r>
        <w:t xml:space="preserve">, whereas, in the other, the</w:t>
      </w:r>
      <w:r>
        <w:t xml:space="preserve"> </w:t>
      </w:r>
      <w:r>
        <w:rPr>
          <w:i/>
        </w:rPr>
        <w:t xml:space="preserve">academic and enrichment components were more integrated</w:t>
      </w:r>
      <w:r>
        <w:t xml:space="preserve">, which may have program-related effects on youths’ engagement. Many of the programs aim to involve youth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articipants"/>
      <w:bookmarkEnd w:id="35"/>
      <w:r>
        <w:t xml:space="preserve">Participants</w:t>
      </w:r>
    </w:p>
    <w:p>
      <w:pPr>
        <w:pStyle w:val="FirstParagraph"/>
      </w:pPr>
      <w:r>
        <w:t xml:space="preserve">Participants consisted of 203 youth. Participants were from diverse racial and ethnic backgrounds (see Table 3.1). The mean age of participants was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youth are presented in Table 3.1.</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procedure"/>
      <w:bookmarkEnd w:id="36"/>
      <w:r>
        <w:t xml:space="preserve">Procedure</w:t>
      </w:r>
    </w:p>
    <w:p>
      <w:pPr>
        <w:pStyle w:val="FirstParagraph"/>
      </w:pPr>
      <w:r>
        <w:t xml:space="preserve">Before the start of the programs, youth completed a pre-survey that included questions about their experience in STEM, intention to pursue a STEM major or career, and other motivation and engagement-related measures.</w:t>
      </w:r>
    </w:p>
    <w:p>
      <w:pPr>
        <w:pStyle w:val="BodyText"/>
      </w:pPr>
      <w:r>
        <w:t xml:space="preserve">At the beginning of the programs, youth were introduced to the study and the phones used for data collection related to the ESM. As indicated in the earlier section, ESM is a method of data collection that involves asking youth to respond to short questions on phones (that were provided as part of the study). In particular, youth were signaled at random times (within intervals, so that the signals were not too near or far apart) in order to obtain a sample of their experience throughout the program. ESM data were collected two days each week, for three weeks (weeks 2-4 of the program). In all of the programs, about equal video-recording time was dedicated to classroom and field experiences. This detail is noteworthy because programs associated with one of the intermediaries rotated between classroom and field experience days, while the other used the first half of each day for one and the second for the other. Each day, youth were signaled four times. These signals were at the same time for all of the youth within their program, but at different times between programs and between days within programs (with the constraint that no two signals could occur less than ten minutes apart).</w:t>
      </w:r>
    </w:p>
    <w:p>
      <w:pPr>
        <w:pStyle w:val="BodyText"/>
      </w:pPr>
      <w:r>
        <w:t xml:space="preserve">The programs were video-recorded by research team members on the days during which ESM data were collected. So that the measures relating the video-recording and ESM data can be matched, the videos included a signal from the video-recorder that identified the ESM signal to which youth responded.</w:t>
      </w:r>
    </w:p>
    <w:p>
      <w:pPr>
        <w:pStyle w:val="Heading2"/>
      </w:pPr>
      <w:bookmarkStart w:id="37" w:name="data-sources-and-measures"/>
      <w:bookmarkEnd w:id="37"/>
      <w:r>
        <w:t xml:space="preserve">Data Sources and Measures</w:t>
      </w:r>
    </w:p>
    <w:p>
      <w:pPr>
        <w:pStyle w:val="FirstParagraph"/>
      </w:pPr>
      <w:r>
        <w:t xml:space="preserve">Data sources consist of ESM measures of engagement and youths’ perceptions of themselves and the activity, pre-survey measures of youths’ interest, youths’ demographic information, and the video-recordings of programs.</w:t>
      </w:r>
    </w:p>
    <w:p>
      <w:pPr>
        <w:pStyle w:val="Heading3"/>
      </w:pPr>
      <w:bookmarkStart w:id="38" w:name="esm-measures-of-engagement-for-the-profiles"/>
      <w:bookmarkEnd w:id="38"/>
      <w:r>
        <w:t xml:space="preserve">ESM measures of engagement for the profiles</w:t>
      </w:r>
    </w:p>
    <w:p>
      <w:pPr>
        <w:pStyle w:val="FirstParagraph"/>
      </w:pPr>
      <w:r>
        <w:t xml:space="preserve">Measures for engagement were created from five ESM questions, three serving indicators for the experience of engagement and two for the conditions of engagement. The three indicators for engagement were for learning (for the cognitive engagement construct), working hard (for behavioral engagement), and enjoying (for affective engagement). The variables for the conditions are for perceived challenge and perceived competence.</w:t>
      </w:r>
    </w:p>
    <w:p>
      <w:pPr>
        <w:pStyle w:val="BodyText"/>
      </w:pPr>
      <w:r>
        <w:t xml:space="preserve">All five items are ultimately used to construct the profiles of engaged. Each of the ESM items consisted of the item text and the following four item response options, of which youth were directed to select one: Not at all (associated with the number 1 on the survey; 1), A little (2), Somewhat (3), and Very Much (4), as presented in Table 3.2. Note that because these items are measured using single-item indicators (which is common in studies using ESM; Hektner et al., 2007), information about the reliability and validity information for these measures is not included.</w:t>
      </w:r>
    </w:p>
    <w:p>
      <w:pPr>
        <w:pStyle w:val="TableCaption"/>
      </w:pPr>
      <w:r>
        <w:t xml:space="preserve">Table 2 ESM measures for profiles</w:t>
      </w:r>
    </w:p>
    <w:tbl>
      <w:tblPr>
        <w:tblStyle w:val="TableNormal"/>
        <w:tblW w:type="pct" w:w="0.0"/>
        <w:tblLook w:firstRow="1"/>
        <w:tblCaption w:val="Table 2 ESM measures for profile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the-five-key-aspects-of-work-with-data"/>
      <w:bookmarkEnd w:id="39"/>
      <w:r>
        <w:t xml:space="preserve">The five key aspects of work with data</w:t>
      </w:r>
    </w:p>
    <w:p>
      <w:pPr>
        <w:pStyle w:val="FirstParagraph"/>
      </w:pPr>
      <w:r>
        <w:t xml:space="preserve">Different aspects of work with data are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 school programs. I then identified the specific activities that corresponded to the five aspects of work with data, as defined in Table 3.4. Details on the reliability of this measure is described next; more information on how the measure aligns with the original STEM-PQA on which this measure is based are presented in Appendix A.</w:t>
      </w:r>
    </w:p>
    <w:p>
      <w:pPr>
        <w:pStyle w:val="BodyText"/>
      </w:pPr>
      <w:r>
        <w:t xml:space="preserve">Raters contracted by American Institute of Research (AIR) were trained in the use of the Program Quality Assessment tool (PQA)–the broader assessment tool for which the STEM-PQA is a supplement.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all discuss the issue by telephone or more often by email after viewing the video in question and reach a consensus on how to score the specific item. Note that these codes were unique to each signal to which youth responded (but were not unique to each youth, as youth in the same program were signaled at the same time).</w:t>
      </w:r>
    </w:p>
    <w:p>
      <w:pPr>
        <w:pStyle w:val="TableCaption"/>
      </w:pPr>
      <w:r>
        <w:t xml:space="preserve">Table 3 Coding Frame for Work With Data</w:t>
      </w:r>
    </w:p>
    <w:tbl>
      <w:tblPr>
        <w:tblStyle w:val="TableNormal"/>
        <w:tblW w:type="pct" w:w="0.0"/>
        <w:tblLook w:firstRow="1"/>
        <w:tblCaption w:val="Table 3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0" w:name="survey-measures-of-pre-interest-in-stem"/>
      <w:bookmarkEnd w:id="40"/>
      <w:r>
        <w:t xml:space="preserve">Survey measures of pre-interest in STEM</w:t>
      </w:r>
    </w:p>
    <w:p>
      <w:pPr>
        <w:pStyle w:val="FirstParagraph"/>
      </w:pPr>
      <w:r>
        <w:t xml:space="preserve">Measures of youths’ pre-interest are used as youth-level characteristics that predict the profiles of engagement.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Reliability and validity information on this scale is presented in Vandell et al. (2008).</w:t>
      </w:r>
    </w:p>
    <w:p>
      <w:pPr>
        <w:pStyle w:val="BodyText"/>
      </w:pPr>
      <w:r>
        <w:t xml:space="preserve">This measure was constructed by taking the maximum value for the scales for the different content areas (science, mathematics, and engineering), so that the value for a youth whose response for the science scale was 2.5 and for the mathematics scale was 2.75 would be 2.75. See Beymer, Rosenberg, and Schmidt (2018) for more details on this (taking the maximum value) measurement approach. The items are presented in Table 3.3. Overall levels of this measure were high (</w:t>
      </w:r>
      <w:r>
        <w:rPr>
          <w:i/>
        </w:rPr>
        <w:t xml:space="preserve">M</w:t>
      </w:r>
      <w:r>
        <w:t xml:space="preserve"> </w:t>
      </w:r>
      <w:r>
        <w:t xml:space="preserve">= 3.044 (</w:t>
      </w:r>
      <w:r>
        <w:rPr>
          <w:i/>
        </w:rPr>
        <w:t xml:space="preserve">SD</w:t>
      </w:r>
      <w:r>
        <w:t xml:space="preserve"> </w:t>
      </w:r>
      <w:r>
        <w:t xml:space="preserve">= 0.901).</w:t>
      </w:r>
    </w:p>
    <w:p>
      <w:pPr>
        <w:pStyle w:val="TableCaption"/>
      </w:pPr>
      <w:r>
        <w:t xml:space="preserve">Table 4 Measure for pre-program interest in STEM</w:t>
      </w:r>
    </w:p>
    <w:tbl>
      <w:tblPr>
        <w:tblStyle w:val="TableNormal"/>
        <w:tblW w:type="pct" w:w="0.0"/>
        <w:tblLook w:firstRow="1"/>
        <w:tblCaption w:val="Table 4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Pre-program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1" w:name="other-youth-characteristics"/>
      <w:bookmarkEnd w:id="41"/>
      <w:r>
        <w:t xml:space="preserve">Other youth characteristics</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Heading3"/>
      </w:pPr>
      <w:bookmarkStart w:id="43" w:name="preliminary-analyses"/>
      <w:bookmarkEnd w:id="43"/>
      <w:r>
        <w:t xml:space="preserve">Preliminary analyses</w:t>
      </w:r>
    </w:p>
    <w:p>
      <w:pPr>
        <w:pStyle w:val="FirstParagraph"/>
      </w:pPr>
      <w:r>
        <w:t xml:space="preserve">Correlations (first-order Pearson) and the frequency, range, mean (</w:t>
      </w:r>
      <w:r>
        <w:rPr>
          <w:i/>
        </w:rPr>
        <w:t xml:space="preserve">M</w:t>
      </w:r>
      <w:r>
        <w:t xml:space="preserve">), and standard deviation (</w:t>
      </w:r>
      <w:r>
        <w:rPr>
          <w:i/>
        </w:rPr>
        <w:t xml:space="preserve">SD</w:t>
      </w:r>
      <w:r>
        <w:t xml:space="preserve">) are first presented for all variables. In addition, the frequency of the codes for aspects of work with data and the numbers of responses by youth, program, and instructional episode are presented. Note that out of the 248 instructional episodes, 236 were code-able for work with data; for the 12 that were not codeable, issues with the video-recordings were the primary source of the missing data. These 236 responses are used for all of the analyses.</w:t>
      </w:r>
    </w:p>
    <w:p>
      <w:pPr>
        <w:pStyle w:val="Heading3"/>
      </w:pPr>
      <w:bookmarkStart w:id="44" w:name="analysis-for-research-question-1-on-the-frequency-and-nature-of-work-with-data"/>
      <w:bookmarkEnd w:id="44"/>
      <w:r>
        <w:t xml:space="preserve">Analysis for Research Question #1 (on the frequency and nature of work with data)</w:t>
      </w:r>
    </w:p>
    <w:p>
      <w:pPr>
        <w:pStyle w:val="FirstParagraph"/>
      </w:pPr>
      <w:r>
        <w:t xml:space="preserve">There were two primary steps taken to answer this question, one more quantitative in nature and one more qualitative. The quantitative aspect focused on the frequency of work with data, whereas the qualitative aspect focused on the specific nature of work with data.</w:t>
      </w:r>
    </w:p>
    <w:p>
      <w:pPr>
        <w:pStyle w:val="BodyText"/>
      </w:pPr>
      <w:r>
        <w:t xml:space="preserve">For the quantitative aspect, the codes for the aspects of work with data (described above in the section on the measures) were counted up and presented as a proportion of the number of code-able instructional episodes. As the signals represent a sample of youths’ experiences in the programs, results from this analysis</w:t>
      </w:r>
      <w:r>
        <w:t xml:space="preserve"> </w:t>
      </w:r>
      <w:r>
        <w:t xml:space="preserve">provide insight about how often each of the aspects took place during the programs. Note that this coding frame focused on the degree of</w:t>
      </w:r>
      <w:r>
        <w:t xml:space="preserve"> </w:t>
      </w:r>
      <w:r>
        <w:rPr>
          <w:i/>
        </w:rPr>
        <w:t xml:space="preserve">instructional support</w:t>
      </w:r>
      <w:r>
        <w:t xml:space="preserve"> </w:t>
      </w:r>
      <w:r>
        <w:t xml:space="preserve">the activity leaders provided for youth to work with data, thus results from this analysis will show how often support for the different aspects of work with data was provided, though youth may engage in the aspects of work with data to varying degrees.</w:t>
      </w:r>
    </w:p>
    <w:p>
      <w:pPr>
        <w:pStyle w:val="BodyText"/>
      </w:pPr>
      <w:r>
        <w:t xml:space="preserve">The frequency of work with data, the focus of the quantitative analysis for this research question, will provide insight into how regular the aspects of work with data are, but not about the ways in which work with data was enacted. For example, qualitative differences in</w:t>
      </w:r>
      <w:r>
        <w:t xml:space="preserve"> </w:t>
      </w:r>
      <w:r>
        <w:rPr>
          <w:i/>
        </w:rPr>
        <w:t xml:space="preserve">how</w:t>
      </w:r>
      <w:r>
        <w:t xml:space="preserve"> </w:t>
      </w:r>
      <w:r>
        <w:t xml:space="preserve">youth were asking questions will not be evident from the codes as they are used. In order to provide more detail in terms of the nature of work with data in summer STEM segments, the data was coded with an open-ended, qualitative approach.</w:t>
      </w:r>
    </w:p>
    <w:p>
      <w:pPr>
        <w:pStyle w:val="BodyText"/>
      </w:pPr>
      <w:r>
        <w:t xml:space="preserve">Specifically, three research assistants were trained for approximately eight hours, over the course of four meetings. Then, each research assistant coded all of the segments associated with the videos for a particular. Two coders coded every segment, except for the segments for which the quantitative coding indicated no aspects of work with data were present; instead, for these segments, only one coder coded each segment.</w:t>
      </w:r>
    </w:p>
    <w:p>
      <w:pPr>
        <w:pStyle w:val="BodyText"/>
      </w:pPr>
      <w:r>
        <w:t xml:space="preserve">The coders used the following five guiding questions, associated with each of the five aspects of work with data, for the qualitative coding:</w:t>
      </w:r>
    </w:p>
    <w:p>
      <w:pPr>
        <w:pStyle w:val="Compact"/>
        <w:numPr>
          <w:numId w:val="1004"/>
          <w:ilvl w:val="0"/>
        </w:numPr>
      </w:pPr>
      <w:r>
        <w:t xml:space="preserve">When questioning or defining problems was observed, what types of questions/problems were involved?</w:t>
      </w:r>
    </w:p>
    <w:p>
      <w:pPr>
        <w:pStyle w:val="Compact"/>
        <w:numPr>
          <w:numId w:val="1004"/>
          <w:ilvl w:val="0"/>
        </w:numPr>
      </w:pPr>
      <w:r>
        <w:t xml:space="preserve">When making observations is coded, what is the focus of observing?</w:t>
      </w:r>
    </w:p>
    <w:p>
      <w:pPr>
        <w:pStyle w:val="Compact"/>
        <w:numPr>
          <w:numId w:val="1004"/>
          <w:ilvl w:val="0"/>
        </w:numPr>
      </w:pPr>
      <w:r>
        <w:t xml:space="preserve">When generating data is coded, what is being collected or recorded?</w:t>
      </w:r>
    </w:p>
    <w:p>
      <w:pPr>
        <w:pStyle w:val="Compact"/>
        <w:numPr>
          <w:numId w:val="1004"/>
          <w:ilvl w:val="0"/>
        </w:numPr>
      </w:pPr>
      <w:r>
        <w:t xml:space="preserve">When analyzing or modeling data is coded, what analysis is being done, or what models are used?</w:t>
      </w:r>
    </w:p>
    <w:p>
      <w:pPr>
        <w:pStyle w:val="Compact"/>
        <w:numPr>
          <w:numId w:val="1004"/>
          <w:ilvl w:val="0"/>
        </w:numPr>
      </w:pPr>
      <w:r>
        <w:t xml:space="preserve">When interpreting and communicating findings is coded, what is being interpreted or communicated?</w:t>
      </w:r>
    </w:p>
    <w:p>
      <w:pPr>
        <w:pStyle w:val="FirstParagraph"/>
      </w:pPr>
      <w:r>
        <w:t xml:space="preserve">For all of the guiding questions, the coders also took note of</w:t>
      </w:r>
      <w:r>
        <w:t xml:space="preserve"> </w:t>
      </w:r>
      <w:r>
        <w:rPr>
          <w:i/>
        </w:rPr>
        <w:t xml:space="preserve">who</w:t>
      </w:r>
      <w:r>
        <w:t xml:space="preserve"> </w:t>
      </w:r>
      <w:r>
        <w:t xml:space="preserve">(the youth, youth activity leader, or someone else) was the focus of the aspect of work with data. For example, with respect to interpreting and communicating findings, denoted when youth were sharing the results from a hands-on investigation or when it was the youth activity leader doing so as a summary on the basis of the work youth recently completed.</w:t>
      </w:r>
    </w:p>
    <w:p>
      <w:pPr>
        <w:pStyle w:val="BodyText"/>
      </w:pPr>
      <w:r>
        <w:t xml:space="preserve">After coding all of the segments for each program, the coders and I met to discuss potential issues that emerged throughout the coding. The goal of meeting was to address any problems encountered when using the guiding questions and to clarify how they applied the coding frame. After the coding was complete, I then read through all of the codes for all of the segments then made notes associated with each of the five aspects of work with data. I used these notes to write descriptions of the nature of work with data for each of the five aspects. After reading through the qualitative codes and my descriptions of the nature of work with data during each segment, I grouped the descriptions into themes, which I present in the results for this research question. I also used these themes to calculate proportions, which are also presented in the findings for this section. In summary, an open-ended, qualitative coding approach was used to create descriptions of the ways in which each of the aspects of work with data was enacted. This analysis is used to provide insights into the nature of work with data in summer STEM programs.</w:t>
      </w:r>
    </w:p>
    <w:p>
      <w:pPr>
        <w:pStyle w:val="Heading3"/>
      </w:pPr>
      <w:bookmarkStart w:id="45" w:name="analysis-for-research-question-2-what-profiles-of-engagement-emerge"/>
      <w:bookmarkEnd w:id="45"/>
      <w:r>
        <w:t xml:space="preserve">Analysis for Research Question #2 (what profiles of engagement emerge)</w:t>
      </w:r>
    </w:p>
    <w:p>
      <w:pPr>
        <w:pStyle w:val="FirstParagraph"/>
      </w:pPr>
      <w:r>
        <w:t xml:space="preserve">To answer this question, Latent Profile Analysis (LPA; Harring &amp; Hodis, 2016; Muthen, 2004) is used to identify profiles of engagement. LPA allows for capturing the multidimensional nature of engagement through profiles in terms of discovering groups of the ways in which youth experience engagement together and at once.. A key benefit of the use of LPA, in addition to likelihood estimation-based fit indices, is probabilities of an observation being a member of a cluster (unlike in cluster analysis). These profiles make it possible to analyze the multivariate data collected on engagement in a way that balances the parsimony of a single model.</w:t>
      </w:r>
    </w:p>
    <w:p>
      <w:pPr>
        <w:pStyle w:val="BodyText"/>
      </w:pPr>
      <w:r>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10 profiles were considered. As part of LPA, the model type selection–where the type refers to which parameters are estimated–is a key topic. For the present study, six model types were considered:</w:t>
      </w:r>
    </w:p>
    <w:p>
      <w:pPr>
        <w:pStyle w:val="Compact"/>
        <w:numPr>
          <w:numId w:val="1005"/>
          <w:ilvl w:val="0"/>
        </w:numPr>
      </w:pPr>
      <w:r>
        <w:t xml:space="preserve">Varying means, equal variances, and covariances fixed to 0</w:t>
      </w:r>
    </w:p>
    <w:p>
      <w:pPr>
        <w:pStyle w:val="Compact"/>
        <w:numPr>
          <w:numId w:val="1005"/>
          <w:ilvl w:val="0"/>
        </w:numPr>
      </w:pPr>
      <w:r>
        <w:t xml:space="preserve">Varying means, equal variances, and equal covariances</w:t>
      </w:r>
    </w:p>
    <w:p>
      <w:pPr>
        <w:pStyle w:val="Compact"/>
        <w:numPr>
          <w:numId w:val="1005"/>
          <w:ilvl w:val="0"/>
        </w:numPr>
      </w:pPr>
      <w:r>
        <w:t xml:space="preserve">Varying means, varying variances, and covariances fixed to 0</w:t>
      </w:r>
    </w:p>
    <w:p>
      <w:pPr>
        <w:pStyle w:val="Compact"/>
        <w:numPr>
          <w:numId w:val="1005"/>
          <w:ilvl w:val="0"/>
        </w:numPr>
      </w:pPr>
      <w:r>
        <w:t xml:space="preserve">Varying means, varying variances, and equal covariances</w:t>
      </w:r>
    </w:p>
    <w:p>
      <w:pPr>
        <w:pStyle w:val="Compact"/>
        <w:numPr>
          <w:numId w:val="1005"/>
          <w:ilvl w:val="0"/>
        </w:numPr>
      </w:pPr>
      <w:r>
        <w:t xml:space="preserve">Varying means, equal variances, and varying covariances</w:t>
      </w:r>
    </w:p>
    <w:p>
      <w:pPr>
        <w:pStyle w:val="Compact"/>
        <w:numPr>
          <w:numId w:val="1005"/>
          <w:ilvl w:val="0"/>
        </w:numPr>
      </w:pPr>
      <w:r>
        <w:t xml:space="preserve">Varying means, varying variances, and varying covariances</w:t>
      </w:r>
    </w:p>
    <w:p>
      <w:pPr>
        <w:pStyle w:val="FirstParagraph"/>
      </w:pPr>
      <w:r>
        <w:t xml:space="preserve">The MPlus software (Muthen &amp; Muthen, 1998-2017) is used to carry out LPA through statistical software I developed,</w:t>
      </w:r>
      <w:r>
        <w:t xml:space="preserve"> </w:t>
      </w:r>
      <w:r>
        <w:rPr>
          <w:i/>
        </w:rPr>
        <w:t xml:space="preserve">tidyLPA</w:t>
      </w:r>
      <w:r>
        <w:t xml:space="preserve">. More details on LPA are included in Appendix D.</w:t>
      </w:r>
    </w:p>
    <w:p>
      <w:pPr>
        <w:pStyle w:val="BodyText"/>
      </w:pPr>
      <w:r>
        <w:t xml:space="preserve">To select a solution in terms of the model type and the number of profiles to be interpreted and used in subsequent analyses, a number of fit statistics and other considerations were taken into account. These include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On the basis of these criteria, a particular solution is selected and used as part of subsequent analyses; as the model selection process is an integral part of providing an answer to this question, the model and number of profiles selected is described in the section for the results for this research question.</w:t>
      </w:r>
    </w:p>
    <w:p>
      <w:pPr>
        <w:pStyle w:val="Heading3"/>
      </w:pPr>
      <w:bookmarkStart w:id="46" w:name="analysis-for-research-question-3-sources-of-variability-for-the-profiles"/>
      <w:bookmarkEnd w:id="46"/>
      <w:r>
        <w:t xml:space="preserve">Analysis for Research Question #3 (sources of variability for the profiles)</w:t>
      </w:r>
    </w:p>
    <w:p>
      <w:pPr>
        <w:pStyle w:val="FirstParagraph"/>
      </w:pPr>
      <w:r>
        <w:t xml:space="preserve">How youth are engaging is a function of who they are as an individual, what they happen to be doing during a particular instructional episode, and which youth program they are enrolled in, as well as random variation. This analysis seeks to identify how much of the variation is at each of these levels through using null models, or models only with the indicators for the three levels (youth, instructional episode, and program). These models can show how much variability in the profiles is systematic at these different levels and is potentially attributable to each of these types of factors. These null models may also suggest something about where you might want to be looking to explain sources of youth’s engagement.</w:t>
      </w:r>
    </w:p>
    <w:p>
      <w:pPr>
        <w:pStyle w:val="BodyText"/>
      </w:pPr>
      <w:r>
        <w:t xml:space="preserve">Sources of variability in these profiles can be used as additional information in their own right for interpreting the profiles and in order to anticipate the effects of predictor variables at the youth, instructional episode, and program levels. First, the proportion of the variability at each of these levels is explored through the use of null, or variance components, in Table 4.4. These are models that only include grouping (i.e., the variable identifying which youth a response is from, what signal the response is associated with, and from which program the youth and signal were from) factors. These models provide insight into at which of these</w:t>
      </w:r>
      <w:r>
        <w:t xml:space="preserve"> </w:t>
      </w:r>
      <w:r>
        <w:t xml:space="preserve">“</w:t>
      </w:r>
      <w:r>
        <w:t xml:space="preserve">levels</w:t>
      </w:r>
      <w:r>
        <w:t xml:space="preserve">”</w:t>
      </w:r>
      <w:r>
        <w:t xml:space="preserve"> </w:t>
      </w:r>
      <w:r>
        <w:t xml:space="preserve">predictors may be able to explain the outcome.</w:t>
      </w:r>
    </w:p>
    <w:p>
      <w:pPr>
        <w:pStyle w:val="BodyText"/>
      </w:pPr>
      <w:r>
        <w:t xml:space="preserve">Variability in terms of the number (and proportion) of profiles each youth reports can also be considered. The breakdown of responses in each of the six profiles by youth is used to show the extent to which youth report their most reported profile. In addition, apart from this overall mean proportion of youths’ responses, the mean proportion for specific profiles (i.e., when youth report a particular profile the most, how often, on average, do they report it?) are also considered.</w:t>
      </w:r>
    </w:p>
    <w:p>
      <w:pPr>
        <w:pStyle w:val="BodyText"/>
      </w:pPr>
      <w:r>
        <w:t xml:space="preserve">The ICCs provide information about sources of variability in the profiles of engagement with respect to the same profile. One way to better understand the nature of variability across profiles is by examining how often youth reported the same profile: Whether youth exhibit stable or highly variables modes of engagement (i.e., are some youth always</w:t>
      </w:r>
      <w:r>
        <w:t xml:space="preserve"> </w:t>
      </w:r>
      <w:r>
        <w:rPr>
          <w:i/>
        </w:rPr>
        <w:t xml:space="preserve">Fully</w:t>
      </w:r>
      <w:r>
        <w:t xml:space="preserve"> </w:t>
      </w:r>
      <w:r>
        <w:t xml:space="preserve">engaged?) can provide a descriptive portrait of youths’ experiences the many instructional episodes they were involved in. To determine how stable youths’ engagement was, for each youth, the profile that youth reported most was identified, and then the proportion of their responses in that profile was calculated. These proportions are also presented in the results for this question.</w:t>
      </w:r>
    </w:p>
    <w:p>
      <w:pPr>
        <w:pStyle w:val="Heading3"/>
      </w:pPr>
      <w:bookmarkStart w:id="47" w:name="analysis-for-research-question-4-how-work-with-data-relates-to-engagement"/>
      <w:bookmarkEnd w:id="47"/>
      <w:r>
        <w:t xml:space="preserve">Analysis for Research Question #4 (how work with data relates to engagement)</w:t>
      </w:r>
    </w:p>
    <w:p>
      <w:pPr>
        <w:pStyle w:val="FirstParagraph"/>
      </w:pPr>
      <w:r>
        <w:t xml:space="preserve">This question is focused on how work with data relates to the profiles of engagement. For the primary results for this question, mixed effects models that account for the cross-classification of the instructional episode (because of the dependencies of the responses associated with each of the 248 distinct ESM signals) and youth are used and for the</w:t>
      </w:r>
      <w:r>
        <w:t xml:space="preserve"> </w:t>
      </w:r>
      <w:r>
        <w:t xml:space="preserve">“</w:t>
      </w:r>
      <w:r>
        <w:t xml:space="preserve">nesting</w:t>
      </w:r>
      <w:r>
        <w:t xml:space="preserve">”</w:t>
      </w:r>
      <w:r>
        <w:t xml:space="preserve"> </w:t>
      </w:r>
      <w:r>
        <w:t xml:space="preserve">of both within each of the nine programs are used. The</w:t>
      </w:r>
      <w:r>
        <w:t xml:space="preserve"> </w:t>
      </w:r>
      <w:r>
        <w:rPr>
          <w:i/>
        </w:rPr>
        <w:t xml:space="preserve">lme4</w:t>
      </w:r>
      <w:r>
        <w:t xml:space="preserve"> </w:t>
      </w:r>
      <w:r>
        <w:t xml:space="preserve">R package (Bates, Martin, Bolker, &amp; Walker, 2015) is used. All of the models for this and the subsequent research question use random effects for youth, instructional episode, and program effects. Youth and instructional episode can be considered to be crossed with both nested within the program.</w:t>
      </w:r>
    </w:p>
    <w:p>
      <w:pPr>
        <w:pStyle w:val="BodyText"/>
      </w:pPr>
      <w:r>
        <w:t xml:space="preserve">The probability of a response belonging to the profile is the dependent variable and the aspects of work with data are the independent variable. There are six models, for each of the six profiles. Because the outcome from LPA is not a hard classification (i.e., an observation is in a profile—or not) but a probability, the dependent variable is treated as a continuous variable.</w:t>
      </w:r>
    </w:p>
    <w:p>
      <w:pPr>
        <w:pStyle w:val="BodyText"/>
      </w:pPr>
      <w:r>
        <w:t xml:space="preserve">First, null models with only the random parts (i.e., random youth, instructional episode, and program effects) are specified. Then, the five aspects of work with data are added as predictors to the model. The results will be interpreted on the basis of which of the statistical significance and the magnitude and direction of the coefficients associated with these five predictors. For example, if the coefficient for the effect of the asking questions aspect of work with data upon one of the profiles is 0.10, and is determined to be statistically significant, then this would indicate that when youth are engaged in this aspect of work with data, then they are ten percentage points more likely to report a response in that particular profile.</w:t>
      </w:r>
    </w:p>
    <w:p>
      <w:pPr>
        <w:pStyle w:val="BodyText"/>
      </w:pPr>
      <w:r>
        <w:t xml:space="preserve">For this question, models with the aspects of work with data both separate from and together with the youth characteristics were fit. The models with both together were also used as part of research question #4, though they are presented here (and interpreted in the sections for both results). In specific, mixed effects models, predicting the probability of membership in each of the six profiles as the dependent variable–using the work with data codes as predictors–were specified.</w:t>
      </w:r>
    </w:p>
    <w:p>
      <w:pPr>
        <w:pStyle w:val="BodyText"/>
      </w:pPr>
      <w:r>
        <w:t xml:space="preserve">Because the results were found to be identical when the aspects of work with data and the youth characteristics are considered in separate and in the same model, the results from the two sets of variables being in the same model are used for both to provide answers to both this and the next research question. Note that a composite for work with data (made as the sum of the individual aspects of work with data) was considered, but as it did only yielded one (small) statistically significant result, the results for this analysis are not presented in the results.</w:t>
      </w:r>
    </w:p>
    <w:p>
      <w:pPr>
        <w:pStyle w:val="Heading3"/>
      </w:pPr>
      <w:bookmarkStart w:id="48" w:name="analysis-for-research-question-5-how-youth-characteristics-relate-to-engagement"/>
      <w:bookmarkEnd w:id="48"/>
      <w:r>
        <w:t xml:space="preserve">Analysis for Research Question #5 (how youth characteristics relate to engagement)</w:t>
      </w:r>
    </w:p>
    <w:p>
      <w:pPr>
        <w:pStyle w:val="FirstParagraph"/>
      </w:pPr>
      <w:r>
        <w:t xml:space="preserve">This question is focused on how the relationships of work with data differ on the basis of youth characteristics. In particular, their pre-program interest, gender and URM status are used as predictor variables. The same (mixed effects) models (and statistical software) used for the previous research question are used for this research question. The dependent variable is again the probability of a response being in the profile.</w:t>
      </w:r>
    </w:p>
    <w:p>
      <w:pPr>
        <w:pStyle w:val="BodyText"/>
      </w:pPr>
      <w:r>
        <w:t xml:space="preserve">The three youth characteristics (pre-program interest in STEM, gender (entered s a dummy code with the value of</w:t>
      </w:r>
      <w:r>
        <w:t xml:space="preserve"> </w:t>
      </w:r>
      <w:r>
        <w:t xml:space="preserve">“</w:t>
      </w:r>
      <w:r>
        <w:t xml:space="preserve">1</w:t>
      </w:r>
      <w:r>
        <w:t xml:space="preserve">”</w:t>
      </w:r>
      <w:r>
        <w:t xml:space="preserve"> </w:t>
      </w:r>
      <w:r>
        <w:t xml:space="preserve">indicating female), and URM status (also entered as a dummy code, with</w:t>
      </w:r>
      <w:r>
        <w:t xml:space="preserve"> </w:t>
      </w:r>
      <w:r>
        <w:t xml:space="preserve">“</w:t>
      </w:r>
      <w:r>
        <w:t xml:space="preserve">1</w:t>
      </w:r>
      <w:r>
        <w:t xml:space="preserve">”</w:t>
      </w:r>
      <w:r>
        <w:t xml:space="preserve"> </w:t>
      </w:r>
      <w:r>
        <w:t xml:space="preserve">indicating a youth from a URM group) are added as predictors. Like for the previous research question, the statistical significance and the magnitude and direction of the coefficients associated with each predictor are interpreted to answer this question. For example, and similar to the interpretation of the predictors associated with RQ #3, if the relationship between pre-program interest and a profile is 0.05, then for each one-unit increase in pre-program interest, then youth are are five percentage points more likely to report a response in a particular profile.</w:t>
      </w:r>
    </w:p>
    <w:p>
      <w:pPr>
        <w:pStyle w:val="BodyText"/>
      </w:pPr>
      <w:r>
        <w:t xml:space="preserve">Models with the youth characteristics separate from and together with the aspects of work with data were fit. Like for the results for the previous question, the models only with the youth characteristics yielded very similar results. Thus, the models presented in the previous section with both youth characteristics and the aspects of work (see the table above) with data are interpreted here.</w:t>
      </w:r>
    </w:p>
    <w:p>
      <w:pPr>
        <w:pStyle w:val="BodyText"/>
      </w:pPr>
      <w:r>
        <w:t xml:space="preserve">As described in the previous sub-section, because the results were very similar when the aspects of work with data and the youth characteristics were added in</w:t>
      </w:r>
      <w:r>
        <w:t xml:space="preserve"> </w:t>
      </w:r>
      <w:r>
        <w:rPr>
          <w:i/>
        </w:rPr>
        <w:t xml:space="preserve">separate</w:t>
      </w:r>
      <w:r>
        <w:t xml:space="preserve"> </w:t>
      </w:r>
      <w:r>
        <w:t xml:space="preserve">models compared to when they were included in the same model, the results for both sets of predictors in the same model are presented and interpreted. In addition, interactions between statistically significant aspects of work with data and all of the youth characteristics are examined, though because none of these interactions were found to be statistically significant, they are not included with the results.</w:t>
      </w:r>
    </w:p>
    <w:p>
      <w:pPr>
        <w:pStyle w:val="Heading2"/>
      </w:pPr>
      <w:bookmarkStart w:id="49" w:name="sensitivity-analysis"/>
      <w:bookmarkEnd w:id="49"/>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Using the approach described in Frank, Maroulis, Duong, and Kelcey (2013), I carried out sensitivity analysis for inferences made relative to key findings. I used the R package konfound (Rosenberg, Xu, &amp; Frank, 2018).</w:t>
      </w:r>
    </w:p>
    <w:p>
      <w:pPr>
        <w:pStyle w:val="BodyText"/>
      </w:pPr>
      <w:r>
        <w:t xml:space="preserve">The result of the sensitivity analysis, and what is used to interpret and contextualize findings, is a numeric value, between 0 and 1, for each effect that indicates the proportion of the estimate that would have to be biased in order to invalidate the inference. Value close to 0, such as .05, indicate that a very small change in the size of the effect would change the inference made (i.e., a statistically significant result that is interpreted would no longer be interpreted as an effect). Larger values, such as values around .50, indicate that a substantial amount of an effect could be due to bias (i.e., less than 50% of an effect could be due to bias in the sample), but even still, the same inference about a statistically significant could be made, suggesting that such an effect is more robust than one with a smaller value.</w:t>
      </w:r>
    </w:p>
    <w:p>
      <w:pPr>
        <w:pStyle w:val="BodyText"/>
      </w:pPr>
      <w:r>
        <w:t xml:space="preserve">I use sensitivity analysis to interpret and contextualize hypotheses about key relationships for research questions #4 and #5 for this study, for the relationships between the aspects of work with data and youth characteristics and the profiles of engagement. In particular, I carry out sensitivity analysis for the coefficients that are statistically significant in order to provide some insight into how robust the results are. In addition, I carry out sensitivity analysis for coefficients that are close to statistically significant but are not statistically significant, in order to better understand just how little would need to change in order for an effect to be determined to be significant. H</w:t>
      </w:r>
    </w:p>
    <w:p>
      <w:pPr>
        <w:pStyle w:val="BodyText"/>
      </w:pPr>
      <w:r>
        <w:t xml:space="preserve">higher values from the the analysis (i.e., values closer to 1) indicate more robust estimates in that the inferences would still hold even if there were substantial bias in the estimate and that are interpreted as robust findings, while lower values, when present, indicate less robust findings that I interpret with more caution.</w:t>
      </w:r>
    </w:p>
    <w:p>
      <w:pPr>
        <w:pStyle w:val="Heading1"/>
      </w:pPr>
      <w:bookmarkStart w:id="50" w:name="results"/>
      <w:bookmarkEnd w:id="50"/>
      <w:r>
        <w:t xml:space="preserve">Results</w:t>
      </w:r>
    </w:p>
    <w:p>
      <w:pPr>
        <w:pStyle w:val="Heading2"/>
      </w:pPr>
      <w:bookmarkStart w:id="51" w:name="preliminary-results"/>
      <w:bookmarkEnd w:id="51"/>
      <w:r>
        <w:t xml:space="preserve">Preliminary results</w:t>
      </w:r>
    </w:p>
    <w:p>
      <w:pPr>
        <w:pStyle w:val="Heading3"/>
      </w:pPr>
      <w:bookmarkStart w:id="52" w:name="descriptive-statistics-for-the-engagement-measures"/>
      <w:bookmarkEnd w:id="52"/>
      <w:r>
        <w:t xml:space="preserve">Descriptive statistics for the engagement measures</w:t>
      </w:r>
    </w:p>
    <w:p>
      <w:pPr>
        <w:pStyle w:val="Compact"/>
      </w:pPr>
      <w:r>
        <w:t xml:space="preserve">First, descriptive statistics for the engagement measures (the five variables that were used to estimate the profiles) are presented in Table 4.1. These descriptive statistics show high overall levels of the three indicators of engagement (with mean values on scales that ranged from one to four between 2.768 (</w:t>
      </w:r>
      <w:r>
        <w:rPr>
          <w:i/>
        </w:rPr>
        <w:t xml:space="preserve">SD</w:t>
      </w:r>
      <w:r>
        <w:t xml:space="preserve"> </w:t>
      </w:r>
      <w:r>
        <w:t xml:space="preserve">= 1.063) for cognitive engagement, and 2.863 (</w:t>
      </w:r>
      <w:r>
        <w:rPr>
          <w:i/>
        </w:rPr>
        <w:t xml:space="preserve">SD</w:t>
      </w:r>
      <w:r>
        <w:t xml:space="preserve"> </w:t>
      </w:r>
      <w:r>
        <w:t xml:space="preserve">= 1.044), for behavioral engagement). These statistics also show high perceptions of competence (</w:t>
      </w:r>
      <w:r>
        <w:rPr>
          <w:i/>
        </w:rPr>
        <w:t xml:space="preserve">M</w:t>
      </w:r>
      <w:r>
        <w:t xml:space="preserve"> </w:t>
      </w:r>
      <w:r>
        <w:t xml:space="preserve">= 3.000 (</w:t>
      </w:r>
      <w:r>
        <w:rPr>
          <w:i/>
        </w:rPr>
        <w:t xml:space="preserve">SD</w:t>
      </w:r>
      <w:r>
        <w:t xml:space="preserve"> </w:t>
      </w:r>
      <w:r>
        <w:t xml:space="preserve">= 0.952)) and more moderate perceptions of challenge (</w:t>
      </w:r>
      <w:r>
        <w:rPr>
          <w:i/>
        </w:rPr>
        <w:t xml:space="preserve">M</w:t>
      </w:r>
      <w:r>
        <w:t xml:space="preserve"> </w:t>
      </w:r>
      <w:r>
        <w:t xml:space="preserve">= 2.270 (</w:t>
      </w:r>
      <w:r>
        <w:rPr>
          <w:i/>
        </w:rPr>
        <w:t xml:space="preserve">SD</w:t>
      </w:r>
      <w:r>
        <w:t xml:space="preserve"> </w:t>
      </w:r>
      <w:r>
        <w:t xml:space="preserve">= 1.117)). There was a similar degree of (moderate) variability (see the</w:t>
      </w:r>
      <w:r>
        <w:t xml:space="preserve"> </w:t>
      </w:r>
      <w:r>
        <w:rPr>
          <w:i/>
        </w:rPr>
        <w:t xml:space="preserve">SD</w:t>
      </w:r>
      <w:r>
        <w:t xml:space="preserve">s) across the five measures, indicating that, across all of the ESM responses, engagement was not the same (due to the youth, instructional episode, program, and for unexplained reasons).</w:t>
      </w:r>
    </w:p>
    <w:p>
      <w:pPr>
        <w:pStyle w:val="Heading3"/>
      </w:pPr>
      <w:bookmarkStart w:id="53" w:name="correlations-among-the-study-variables"/>
      <w:bookmarkEnd w:id="53"/>
      <w:r>
        <w:t xml:space="preserve">Correlations among the study variables</w:t>
      </w:r>
    </w:p>
    <w:p>
      <w:pPr>
        <w:pStyle w:val="FirstParagraph"/>
      </w:pPr>
      <w:r>
        <w:t xml:space="preserve">Next, correlations between the variables that are used to create the profiles of engagement are presented (Table 4.2). These correlations, which range from</w:t>
      </w:r>
      <w:r>
        <w:t xml:space="preserve"> </w:t>
      </w:r>
      <w:r>
        <w:rPr>
          <w:i/>
        </w:rPr>
        <w:t xml:space="preserve">r</w:t>
      </w:r>
      <w:r>
        <w:t xml:space="preserve"> </w:t>
      </w:r>
      <w:r>
        <w:t xml:space="preserve">= .08 through</w:t>
      </w:r>
      <w:r>
        <w:t xml:space="preserve"> </w:t>
      </w:r>
      <w:r>
        <w:rPr>
          <w:i/>
        </w:rPr>
        <w:t xml:space="preserve">r</w:t>
      </w:r>
      <w:r>
        <w:t xml:space="preserve"> </w:t>
      </w:r>
      <w:r>
        <w:t xml:space="preserve">= .60 (all statistically significant), reveal low to moderate relations among these variables.</w:t>
      </w:r>
    </w:p>
    <w:p>
      <w:pPr>
        <w:pStyle w:val="Heading2"/>
      </w:pPr>
      <w:bookmarkStart w:id="54" w:name="results-for-research-question-1"/>
      <w:bookmarkEnd w:id="54"/>
      <w:r>
        <w:t xml:space="preserve">Results for Research Question #1</w:t>
      </w:r>
    </w:p>
    <w:p>
      <w:pPr>
        <w:pStyle w:val="Heading3"/>
      </w:pPr>
      <w:bookmarkStart w:id="55" w:name="frequency-of-the-aspects-of-work-with-data"/>
      <w:bookmarkEnd w:id="55"/>
      <w:r>
        <w:t xml:space="preserve">Frequency of the aspects of work with data</w:t>
      </w:r>
    </w:p>
    <w:p>
      <w:pPr>
        <w:pStyle w:val="FirstParagraph"/>
      </w:pPr>
      <w:r>
        <w:t xml:space="preserve">Of the 236 instructional episodes used in the analysis, 170 (72%) of them were coded as involving</w:t>
      </w:r>
      <w:r>
        <w:t xml:space="preserve"> </w:t>
      </w:r>
      <w:r>
        <w:rPr>
          <w:i/>
        </w:rPr>
        <w:t xml:space="preserve">any</w:t>
      </w:r>
      <w:r>
        <w:t xml:space="preserve"> </w:t>
      </w:r>
      <w:r>
        <w:t xml:space="preserve">of the five aspects of work with data. As presented in Table 4.3, the five aspects of work with data occurred regularly. Making observations was found to be the least frequent of the five aspects, occurring in 24% of instructional episodes. Data modeling was the next most frequency, occurring in 29% of the episodes, followed by asking questions (38%), generating data (43%), and communicating findings (again 43%).</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0.381</w:t>
            </w:r>
          </w:p>
        </w:tc>
        <w:tc>
          <w:p>
            <w:pPr>
              <w:pStyle w:val="Compact"/>
              <w:jc w:val="right"/>
            </w:pPr>
            <w:r>
              <w:t xml:space="preserve">90</w:t>
            </w:r>
          </w:p>
        </w:tc>
      </w:tr>
      <w:tr>
        <w:tc>
          <w:p>
            <w:pPr>
              <w:pStyle w:val="Compact"/>
              <w:jc w:val="left"/>
            </w:pPr>
            <w:r>
              <w:t xml:space="preserve">Making Observations</w:t>
            </w:r>
          </w:p>
        </w:tc>
        <w:tc>
          <w:p>
            <w:pPr>
              <w:pStyle w:val="Compact"/>
              <w:jc w:val="right"/>
            </w:pPr>
            <w:r>
              <w:t xml:space="preserve">0.242</w:t>
            </w:r>
          </w:p>
        </w:tc>
        <w:tc>
          <w:p>
            <w:pPr>
              <w:pStyle w:val="Compact"/>
              <w:jc w:val="right"/>
            </w:pPr>
            <w:r>
              <w:t xml:space="preserve">57</w:t>
            </w:r>
          </w:p>
        </w:tc>
      </w:tr>
      <w:tr>
        <w:tc>
          <w:p>
            <w:pPr>
              <w:pStyle w:val="Compact"/>
              <w:jc w:val="left"/>
            </w:pPr>
            <w:r>
              <w:t xml:space="preserve">Generating Data</w:t>
            </w:r>
          </w:p>
        </w:tc>
        <w:tc>
          <w:p>
            <w:pPr>
              <w:pStyle w:val="Compact"/>
              <w:jc w:val="right"/>
            </w:pPr>
            <w:r>
              <w:t xml:space="preserve">0.432</w:t>
            </w:r>
          </w:p>
        </w:tc>
        <w:tc>
          <w:p>
            <w:pPr>
              <w:pStyle w:val="Compact"/>
              <w:jc w:val="right"/>
            </w:pPr>
            <w:r>
              <w:t xml:space="preserve">102</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0.436</w:t>
            </w:r>
          </w:p>
        </w:tc>
        <w:tc>
          <w:p>
            <w:pPr>
              <w:pStyle w:val="Compact"/>
              <w:jc w:val="right"/>
            </w:pPr>
            <w:r>
              <w:t xml:space="preserve">103</w:t>
            </w:r>
          </w:p>
        </w:tc>
      </w:tr>
    </w:tbl>
    <w:p>
      <w:pPr>
        <w:pStyle w:val="BodyText"/>
      </w:pPr>
      <w:r>
        <w:t xml:space="preserve">Note that these results are for the codes for the (approximately ten-minute, video-recorded) instructional episodes, and that the aspects of work with data</w:t>
      </w:r>
      <w:r>
        <w:t xml:space="preserve"> </w:t>
      </w:r>
      <w:r>
        <w:rPr>
          <w:i/>
        </w:rPr>
        <w:t xml:space="preserve">can</w:t>
      </w:r>
      <w:r>
        <w:t xml:space="preserve"> </w:t>
      </w:r>
      <w:r>
        <w:t xml:space="preserve">(and</w:t>
      </w:r>
      <w:r>
        <w:t xml:space="preserve"> </w:t>
      </w:r>
      <w:r>
        <w:rPr>
          <w:i/>
        </w:rPr>
        <w:t xml:space="preserve">did</w:t>
      </w:r>
      <w:r>
        <w:t xml:space="preserve">) co-occur: On average, there were 1.86 (</w:t>
      </w:r>
      <w:r>
        <w:rPr>
          <w:i/>
        </w:rPr>
        <w:t xml:space="preserve">SD</w:t>
      </w:r>
      <w:r>
        <w:t xml:space="preserve"> </w:t>
      </w:r>
      <w:r>
        <w:t xml:space="preserve">= 1.61) aspects of work with data present during each instructional episode. This indicates that, on average, youth were engaged in around two of aspects of the work with data during each instructional episode. There was a considerable amount of variation in the extent to which these types of work with data were supported in each program: In Appendix C, the frequencies by program are presented.</w:t>
      </w:r>
    </w:p>
    <w:p>
      <w:pPr>
        <w:pStyle w:val="Heading3"/>
      </w:pPr>
      <w:bookmarkStart w:id="56" w:name="the-nature-of-work-with-data"/>
      <w:bookmarkEnd w:id="56"/>
      <w:r>
        <w:t xml:space="preserve">The nature of work with data</w:t>
      </w:r>
    </w:p>
    <w:p>
      <w:pPr>
        <w:pStyle w:val="FirstParagraph"/>
      </w:pPr>
      <w:r>
        <w:t xml:space="preserve">The open-ended, qualitative approach used to understand the specific nature of youths’ work with data showed there to be distinct ways in which youth worked with data. Note that for each aspect of work with data, the percentages of the themes do not sum to 100% as many instructional episodes involved the presence of the aspect of work with data in ways that were not very common and systematic.</w:t>
      </w:r>
    </w:p>
    <w:p>
      <w:pPr>
        <w:pStyle w:val="Heading4"/>
      </w:pPr>
      <w:bookmarkStart w:id="57" w:name="asking-questions-or-identifying-problems"/>
      <w:bookmarkEnd w:id="57"/>
      <w:r>
        <w:t xml:space="preserve">Asking questions or identifying problems</w:t>
      </w:r>
    </w:p>
    <w:p>
      <w:pPr>
        <w:pStyle w:val="FirstParagraph"/>
      </w:pPr>
      <w:r>
        <w:t xml:space="preserve">Among the instructional episodes that involved asking questions, qualitative descriptions revealed that around one-third (36/92, or 39%) explicitly demonstrated youth working to understand the phenomenon or problem they were investigating. When doing so, they were focused on actively constructing predictions and hypotheses about phenomena related to the program. For example, in an instructional episode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w:t>
      </w:r>
    </w:p>
    <w:p>
      <w:pPr>
        <w:pStyle w:val="BodyText"/>
      </w:pPr>
      <w:r>
        <w:t xml:space="preserve">Other instructional episodes involved questions that were not focused on predicting or hypothesizing, but rather on asking a more general type of question (21/92; 23%), or involved the</w:t>
      </w:r>
      <w:r>
        <w:t xml:space="preserve"> </w:t>
      </w:r>
      <w:r>
        <w:rPr>
          <w:i/>
        </w:rPr>
        <w:t xml:space="preserve">instructor</w:t>
      </w:r>
      <w:r>
        <w:t xml:space="preserve"> </w:t>
      </w:r>
      <w:r>
        <w:t xml:space="preserve">(but not youth) posing questions or identifying problems (14/96; 16%). In the former case, youth were found to be asking generic questions about understanding the assignment, task, or even the phenomena. For example, in the</w:t>
      </w:r>
      <w:r>
        <w:t xml:space="preserve"> </w:t>
      </w:r>
      <w:r>
        <w:rPr>
          <w:i/>
        </w:rPr>
        <w:t xml:space="preserve">Marine Investigators</w:t>
      </w:r>
      <w:r>
        <w:t xml:space="preserve"> </w:t>
      </w:r>
      <w:r>
        <w:t xml:space="preserve">program, youth visited a water treatment site, and were provided opportunities to ask questions about what they observed: However, youths’ questions were not questions that could then be answered with empirical data, but were rather to clarify their understanding. In the latter, instructors were asking youth questions (i.e., math-related prompts or questions to elicit their conceptual understanding).</w:t>
      </w:r>
    </w:p>
    <w:p>
      <w:pPr>
        <w:pStyle w:val="Heading4"/>
      </w:pPr>
      <w:bookmarkStart w:id="58" w:name="making-observations"/>
      <w:bookmarkEnd w:id="58"/>
      <w:r>
        <w:t xml:space="preserve">Making observations</w:t>
      </w:r>
    </w:p>
    <w:p>
      <w:pPr>
        <w:pStyle w:val="FirstParagraph"/>
      </w:pPr>
      <w:r>
        <w:t xml:space="preserve">In the instructional episodes when the STEM-PQA revealed that youth were making observations, the vast majority (49/57, 86%) of these were focused on observing phenomena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w:t>
      </w:r>
    </w:p>
    <w:p>
      <w:pPr>
        <w:pStyle w:val="BodyText"/>
      </w:pPr>
      <w:r>
        <w:t xml:space="preserve">Sometimes, while youth did make observations of phenomena, they faced the challenge of using that data in subsequent activities and through engaging in other aspects of work with data. For example,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making observations, but these observations were not frequently written down or entered into a spreadsheet as data. For example, in</w:t>
      </w:r>
      <w:r>
        <w:t xml:space="preserve"> </w:t>
      </w:r>
      <w:r>
        <w:rPr>
          <w:i/>
        </w:rPr>
        <w:t xml:space="preserve">Marine Investigators</w:t>
      </w:r>
      <w:r>
        <w:t xml:space="preserve">, youth observed how the Atlantic Ocean brings salt water into the (freshwater) bay. Youth observe</w:t>
      </w:r>
      <w:r>
        <w:t xml:space="preserve"> </w:t>
      </w:r>
      <w:r>
        <w:t xml:space="preserve">“</w:t>
      </w:r>
      <w:r>
        <w:t xml:space="preserve">buffers</w:t>
      </w:r>
      <w:r>
        <w:t xml:space="preserve">”</w:t>
      </w:r>
      <w:r>
        <w:t xml:space="preserve"> </w:t>
      </w:r>
      <w:r>
        <w:t xml:space="preserve">between the salt and freshwater, but do not collect or otherwise generate data related to their observations.</w:t>
      </w:r>
    </w:p>
    <w:p>
      <w:pPr>
        <w:pStyle w:val="BodyText"/>
      </w:pPr>
      <w:r>
        <w:t xml:space="preserve">In a small number of cases making observations were focused on making observations not of phenomena, but of something more general (10/57; 18%). For example, in the</w:t>
      </w:r>
      <w:r>
        <w:t xml:space="preserve"> </w:t>
      </w:r>
      <w:r>
        <w:rPr>
          <w:i/>
        </w:rPr>
        <w:t xml:space="preserve">Adventures in Mathematics</w:t>
      </w:r>
      <w:r>
        <w:t xml:space="preserve"> </w:t>
      </w:r>
      <w:r>
        <w:t xml:space="preserve">program, youth observed other youth or the activity leader working through a mathematics problem, but not one that at any stage of the activity was focused on a phenomena that youth identified or discussed.</w:t>
      </w:r>
    </w:p>
    <w:p>
      <w:pPr>
        <w:pStyle w:val="Heading4"/>
      </w:pPr>
      <w:bookmarkStart w:id="59" w:name="generating-data"/>
      <w:bookmarkEnd w:id="59"/>
      <w:r>
        <w:t xml:space="preserve">Generating data</w:t>
      </w:r>
    </w:p>
    <w:p>
      <w:pPr>
        <w:pStyle w:val="FirstParagraph"/>
      </w:pPr>
      <w:r>
        <w:t xml:space="preserve">In about half (48/102; 47%) of the episodes that involved generating data, youth were writing down their own observations of a phenomenon,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w:t>
      </w:r>
    </w:p>
    <w:p>
      <w:pPr>
        <w:pStyle w:val="BodyText"/>
      </w:pPr>
      <w:r>
        <w:t xml:space="preserve">During some of these cases, youth generated data, but they did not use the data they generated in subsequent activities.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w:t>
      </w:r>
      <w:r>
        <w:t xml:space="preserve">particularly, youth often generated data that resulted from their engineering designs (and communicated and interpreted their findings,) but did not model this data as a regular part of their activities. In one particular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youth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w:t>
      </w:r>
    </w:p>
    <w:p>
      <w:pPr>
        <w:pStyle w:val="BodyText"/>
      </w:pPr>
      <w:r>
        <w:t xml:space="preserve">In a very small number of cases (2/102; 2%), youth collected, but did not write down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were collected to serve as data for a future activity, there was no recording observed during the episode. Very often, in the (approximately) other half of episodes related to this aspect of work with data, the ways in which youth generated data were not very systematic or clearly identifiable, a point discussed in detail in the next chapter.</w:t>
      </w:r>
    </w:p>
    <w:p>
      <w:pPr>
        <w:pStyle w:val="Heading4"/>
      </w:pPr>
      <w:bookmarkStart w:id="60" w:name="data-modeling"/>
      <w:bookmarkEnd w:id="60"/>
      <w:r>
        <w:t xml:space="preserve">Data modeling</w:t>
      </w:r>
    </w:p>
    <w:p>
      <w:pPr>
        <w:pStyle w:val="FirstParagraph"/>
      </w:pPr>
      <w:r>
        <w:t xml:space="preserve">A large majority (49/68, 72%) of the instructional episodes coded (with the STEM-PQA) for data modeling were focused on youths’ uses of statistical and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In another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involved youth in an ambitious data modeling activity. The aim was to figure out how much plastic enters local waterways. As a part of this activity, youth activity leaders asked youth not only to determine the quantity of trash that entered the waterways, but asked youth about</w:t>
      </w:r>
      <w:r>
        <w:t xml:space="preserve"> </w:t>
      </w:r>
      <w:r>
        <w:rPr>
          <w:i/>
        </w:rPr>
        <w:t xml:space="preserve">why</w:t>
      </w:r>
      <w:r>
        <w:t xml:space="preserve"> </w:t>
      </w:r>
      <w:r>
        <w:t xml:space="preserve">youth thought about and used math in particular ways (i.e., by adding the quantity of trash collected and then extrapolating from this quantity to the amount from across the entire city over the course of the year). This appeared to be an ambitious and powerful data modeling activity.</w:t>
      </w:r>
    </w:p>
    <w:p>
      <w:pPr>
        <w:pStyle w:val="BodyText"/>
      </w:pPr>
      <w:r>
        <w:t xml:space="preserve">Very often, data modeling was focused on solving equations, even when related to real-life (as in buying groceries, how money is spent, and how to budget, in</w:t>
      </w:r>
      <w:r>
        <w:t xml:space="preserve"> </w:t>
      </w:r>
      <w:r>
        <w:rPr>
          <w:i/>
        </w:rPr>
        <w:t xml:space="preserve">Comunidad de Apendizaje</w:t>
      </w:r>
      <w:r>
        <w:t xml:space="preserve">). In these episodes during which youth were modeling data (4/68; 6%), they were using equations provided by the youth activity leader to solve problems. When data modeling, a model was not always one of data. In a small number of the cases (5/68; 7%), the model was a physical model, such as during the</w:t>
      </w:r>
      <w:r>
        <w:t xml:space="preserve"> </w:t>
      </w:r>
      <w:r>
        <w:rPr>
          <w:i/>
        </w:rPr>
        <w:t xml:space="preserve">Crazy Machines</w:t>
      </w:r>
      <w:r>
        <w:t xml:space="preserve"> </w:t>
      </w:r>
      <w:r>
        <w:t xml:space="preserve">program, in which youth saw how changes to their Rube Goldberg machine worked or did not work.</w:t>
      </w:r>
    </w:p>
    <w:p>
      <w:pPr>
        <w:pStyle w:val="BodyText"/>
      </w:pPr>
      <w:r>
        <w:t xml:space="preserve">While data modeling activities appeared to be ambitious in their design and enactment, youth activity leaders sometimes faced the challenge of linking data modeling activities to other aspects of work with data.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in their attempts to approach mathematics problem-solving in creative ways.</w:t>
      </w:r>
    </w:p>
    <w:p>
      <w:pPr>
        <w:pStyle w:val="BodyText"/>
      </w:pPr>
      <w:r>
        <w:t xml:space="preserve">In a small number of instructional episodes, data modeling involved a model that could generate data (6/68; 9%).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 In this specific instructional episode, a model was clearly used (by the youth activity leader rather than the youth, in this case), but the model was not a data model but rather a physical one that was used to help youth understand a phenomenon.</w:t>
      </w:r>
    </w:p>
    <w:p>
      <w:pPr>
        <w:pStyle w:val="Heading4"/>
      </w:pPr>
      <w:bookmarkStart w:id="61" w:name="interpreting-and-communicating-findings"/>
      <w:bookmarkEnd w:id="61"/>
      <w:r>
        <w:t xml:space="preserve">Interpreting and communicating findings</w:t>
      </w:r>
    </w:p>
    <w:p>
      <w:pPr>
        <w:pStyle w:val="FirstParagraph"/>
      </w:pPr>
      <w:r>
        <w:t xml:space="preserve">In around half (49/103, 48%) of the instructional episodes in which youth were interpreting and communicating findings (as coded by the STEM-PQA), youth were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instructional episode, the youth activity leader asks youth to think of an idea that would make an investor willing to invest in; youth shared their ideas, describing what their ideas was, why it was a good idea, how much they could sell it for, and what their profit would be, while fielding questions from youth activity leaders and their peers. Interpreting and communicating findings was also commonly present in instructional episodes in which youth were debating the findings of an investigation, such as the results of calculations for the amount of recyclables entering waterways (in</w:t>
      </w:r>
      <w:r>
        <w:t xml:space="preserve"> </w:t>
      </w:r>
      <w:r>
        <w:rPr>
          <w:i/>
        </w:rPr>
        <w:t xml:space="preserve">Marine Investigators</w:t>
      </w:r>
      <w:r>
        <w:t xml:space="preserve">).</w:t>
      </w:r>
    </w:p>
    <w:p>
      <w:pPr>
        <w:pStyle w:val="BodyText"/>
      </w:pPr>
      <w:r>
        <w:t xml:space="preserve">In the other instructional episodes that were not focused on youth sharing what they found from an investigation, youth were most commonly communicating about topics other than the results of an investigation or design process (3/103, 3%), such as trying to find out the answer to a discrete question posed by the youth activity leader, or the youth activity leader was who was doing the interpreting and communicating (4/103, 4%). For example, in the former case, during the</w:t>
      </w:r>
      <w:r>
        <w:t xml:space="preserve"> </w:t>
      </w:r>
      <w:r>
        <w:rPr>
          <w:i/>
        </w:rPr>
        <w:t xml:space="preserve">Adventures in Mathematics</w:t>
      </w:r>
      <w:r>
        <w:t xml:space="preserve"> </w:t>
      </w:r>
      <w:r>
        <w:t xml:space="preserve">program, the youth activity leader helped youth to solve problems on a worksheet, asking guiding questions to help them to begin to solve problems on their own. In the latter type of interpreting and communicating findings (the youth activity leader doing the interpreting and communicating), youth commonly engaged in other aspects of work with data (i.e., generating data), but the youth activity leader compiled, modeled, and then interpreted the data that the youth generated, rather than youth doing such activities themselves.</w:t>
      </w:r>
    </w:p>
    <w:p>
      <w:pPr>
        <w:pStyle w:val="Heading2"/>
      </w:pPr>
      <w:bookmarkStart w:id="62" w:name="results-for-research-question-2-what-profiles-of-youth-engagement-emerge-from-experiential-data-collected-in-the-programs"/>
      <w:bookmarkEnd w:id="62"/>
      <w:r>
        <w:t xml:space="preserve">Results for Research Question #2: What profiles of youth engagement emerge from experiential data collected in the programs?</w:t>
      </w:r>
    </w:p>
    <w:p>
      <w:pPr>
        <w:pStyle w:val="FirstParagraph"/>
      </w:pPr>
      <w:r>
        <w:t xml:space="preserve">On the basis of fit statistics, statistical tests, and concerns of interpretability and parsimony, a solution with six profiles was selected for use in subsequent analyses. This solution was associated with a model with varying means, equal variances, and covariances fixed to 0 (the first model type among those described in the methods). Because of the exploratory nature of the approach used to identify the profiles, LPA, it is important to consider alternate solutions. In particular, a seven profile solution with the same model specification was similar (but not superior) in terms of the fit statistics and statistical tests. This solution, presented in Appendix F, was determined to not be superior to the six profile solution, ultimately chosen on the basis of parsimony and interpretability.</w:t>
      </w:r>
    </w:p>
    <w:p>
      <w:pPr>
        <w:pStyle w:val="BodyText"/>
      </w:pPr>
      <w:r>
        <w:t xml:space="preserve">The results of this model selection process was the estimation of</w:t>
      </w:r>
      <w:r>
        <w:t xml:space="preserve"> </w:t>
      </w:r>
      <w:r>
        <w:rPr>
          <w:i/>
        </w:rPr>
        <w:t xml:space="preserve">six distinct profiles</w:t>
      </w:r>
      <w:r>
        <w:t xml:space="preserve"> </w:t>
      </w:r>
      <w:r>
        <w:t xml:space="preserve">identified from the data, as presented in Figures 4.1 and 4.2. Figure 4.1 shows the profiles with variables that were centered to have a mean equal to 0 and a standard deviation of 1. Thus, the</w:t>
      </w:r>
      <w:r>
        <w:t xml:space="preserve"> </w:t>
      </w:r>
      <w:r>
        <w:rPr>
          <w:i/>
        </w:rPr>
        <w:t xml:space="preserve">y</w:t>
      </w:r>
      <w:r>
        <w:t xml:space="preserve">-axis for this plot is labeled</w:t>
      </w:r>
      <w:r>
        <w:t xml:space="preserve"> </w:t>
      </w:r>
      <w:r>
        <w:t xml:space="preserve">“</w:t>
      </w:r>
      <w:r>
        <w:t xml:space="preserve">Z-score</w:t>
      </w:r>
      <w:r>
        <w:t xml:space="preserve">”</w:t>
      </w:r>
      <w:r>
        <w:t xml:space="preserve">). Figure 4.2 shows the profiles with the raw data (not transformed). Thus, the</w:t>
      </w:r>
      <w:r>
        <w:t xml:space="preserve"> </w:t>
      </w:r>
      <w:r>
        <w:rPr>
          <w:i/>
        </w:rPr>
        <w:t xml:space="preserve">y</w:t>
      </w:r>
      <w:r>
        <w:t xml:space="preserve">-axis for this plot is labeled</w:t>
      </w:r>
      <w:r>
        <w:t xml:space="preserve"> </w:t>
      </w:r>
      <w:r>
        <w:t xml:space="preserve">“</w:t>
      </w:r>
      <w:r>
        <w:t xml:space="preserve">Value.</w:t>
      </w:r>
      <w:r>
        <w:t xml:space="preserve">”</w:t>
      </w:r>
      <w:r>
        <w:t xml:space="preserve"> </w:t>
      </w:r>
      <w:r>
        <w:t xml:space="preserve">The two plots are presented because they provide different insight into the composition of the profiles: Those with the centered variables highlights positive and negative departures from the mean value for each variable, making differences between the profiles distinct. The plot with the raw data instead highlights the reported values of the variables, emphasizing the values of the variables in the profiles in the same units youth considered when they responded (and potentially highlighting similarities that may seem very different in the plot with the centered data).</w:t>
      </w:r>
    </w:p>
    <w:p>
      <w:pPr>
        <w:pStyle w:val="FigureWithCaption"/>
      </w:pPr>
      <w:r>
        <w:drawing>
          <wp:inline>
            <wp:extent cx="5334000" cy="3294062"/>
            <wp:effectExtent b="0" l="0" r="0" t="0"/>
            <wp:docPr descr="Figure 3 The six profiles of engagement (with variable values standardized)" title="" id="1" name="Picture"/>
            <a:graphic>
              <a:graphicData uri="http://schemas.openxmlformats.org/drawingml/2006/picture">
                <pic:pic>
                  <pic:nvPicPr>
                    <pic:cNvPr descr="rosenberg-dissertation_files/figure-docx/unnamed-chunk-11-1.png" id="0" name="Picture"/>
                    <pic:cNvPicPr>
                      <a:picLocks noChangeArrowheads="1" noChangeAspect="1"/>
                    </pic:cNvPicPr>
                  </pic:nvPicPr>
                  <pic:blipFill>
                    <a:blip r:embed="rId63"/>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Figure 3 The six profiles of engagement (with variable values standardized)</w:t>
      </w:r>
    </w:p>
    <w:p>
      <w:pPr>
        <w:pStyle w:val="FigureWithCaption"/>
      </w:pPr>
      <w:r>
        <w:drawing>
          <wp:inline>
            <wp:extent cx="5334000" cy="3287447"/>
            <wp:effectExtent b="0" l="0" r="0" t="0"/>
            <wp:docPr descr="Figure 4 The six profiles of engagement (with raw variable values)" title="" id="1" name="Picture"/>
            <a:graphic>
              <a:graphicData uri="http://schemas.openxmlformats.org/drawingml/2006/picture">
                <pic:pic>
                  <pic:nvPicPr>
                    <pic:cNvPr descr="rosenberg-dissertation_files/figure-docx/unnamed-chunk-12-1.png" id="0" name="Picture"/>
                    <pic:cNvPicPr>
                      <a:picLocks noChangeArrowheads="1" noChangeAspect="1"/>
                    </pic:cNvPicPr>
                  </pic:nvPicPr>
                  <pic:blipFill>
                    <a:blip r:embed="rId64"/>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The six profiles of engagement (with raw variable values)</w:t>
      </w:r>
    </w:p>
    <w:p>
      <w:pPr>
        <w:pStyle w:val="BodyText"/>
      </w:pPr>
      <w:r>
        <w:t xml:space="preserve">This solution is characterized by:</w:t>
      </w:r>
    </w:p>
    <w:p>
      <w:pPr>
        <w:pStyle w:val="Compact"/>
        <w:numPr>
          <w:numId w:val="1006"/>
          <w:ilvl w:val="0"/>
        </w:numPr>
      </w:pPr>
      <w:r>
        <w:t xml:space="preserve">A</w:t>
      </w:r>
      <w:r>
        <w:t xml:space="preserve"> </w:t>
      </w:r>
      <w:r>
        <w:rPr>
          <w:i/>
        </w:rPr>
        <w:t xml:space="preserve">universally low</w:t>
      </w:r>
      <w:r>
        <w:t xml:space="preserve"> </w:t>
      </w:r>
      <w:r>
        <w:t xml:space="preserve">profile, characterized by low levels of working hard, learning something new, and enjoying the activity, and perceptions challenge and competence</w:t>
      </w:r>
    </w:p>
    <w:p>
      <w:pPr>
        <w:pStyle w:val="Compact"/>
        <w:numPr>
          <w:numId w:val="1006"/>
          <w:ilvl w:val="0"/>
        </w:numPr>
      </w:pPr>
      <w:r>
        <w:t xml:space="preserve">An</w:t>
      </w:r>
      <w:r>
        <w:t xml:space="preserve"> </w:t>
      </w:r>
      <w:r>
        <w:rPr>
          <w:i/>
        </w:rPr>
        <w:t xml:space="preserve">only behaviorally engaged</w:t>
      </w:r>
      <w:r>
        <w:t xml:space="preserve"> </w:t>
      </w:r>
      <w:r>
        <w:t xml:space="preserve">profile, with moderate levels of working hard, very low enjoyment of the activity, and moderately (low) levels of learning something new and challenge and competence</w:t>
      </w:r>
    </w:p>
    <w:p>
      <w:pPr>
        <w:pStyle w:val="Compact"/>
        <w:numPr>
          <w:numId w:val="1006"/>
          <w:ilvl w:val="0"/>
        </w:numPr>
      </w:pPr>
      <w:r>
        <w:t xml:space="preserve">An</w:t>
      </w:r>
      <w:r>
        <w:t xml:space="preserve"> </w:t>
      </w:r>
      <w:r>
        <w:rPr>
          <w:i/>
        </w:rPr>
        <w:t xml:space="preserve">only affectively engaged</w:t>
      </w:r>
      <w:r>
        <w:t xml:space="preserve"> </w:t>
      </w:r>
      <w:r>
        <w:t xml:space="preserve">profile, with moderate levels of enjoyment, low levels of hard work, and moderately (low) levels of cognitive learning something new, challenge, and competence</w:t>
      </w:r>
    </w:p>
    <w:p>
      <w:pPr>
        <w:pStyle w:val="Compact"/>
        <w:numPr>
          <w:numId w:val="1006"/>
          <w:ilvl w:val="0"/>
        </w:numPr>
      </w:pPr>
      <w:r>
        <w:t xml:space="preserve">A</w:t>
      </w:r>
      <w:r>
        <w:t xml:space="preserve"> </w:t>
      </w:r>
      <w:r>
        <w:rPr>
          <w:i/>
        </w:rPr>
        <w:t xml:space="preserve">all moderate</w:t>
      </w:r>
      <w:r>
        <w:t xml:space="preserve"> </w:t>
      </w:r>
      <w:r>
        <w:t xml:space="preserve">profile, with moderate levels of the three indicators of working hard, learning something new, enjoying the activity, challenge, and competence</w:t>
      </w:r>
    </w:p>
    <w:p>
      <w:pPr>
        <w:pStyle w:val="Compact"/>
        <w:numPr>
          <w:numId w:val="1006"/>
          <w:ilvl w:val="0"/>
        </w:numPr>
      </w:pPr>
      <w:r>
        <w:t xml:space="preserve">An</w:t>
      </w:r>
      <w:r>
        <w:t xml:space="preserve"> </w:t>
      </w:r>
      <w:r>
        <w:rPr>
          <w:i/>
        </w:rPr>
        <w:t xml:space="preserve">engaged and competent but not challenged</w:t>
      </w:r>
      <w:r>
        <w:t xml:space="preserve"> </w:t>
      </w:r>
      <w:r>
        <w:t xml:space="preserve">profile, characterized by high levels of working hard, learning something new, enjoying the activity, and competence, but with low levels of challenge</w:t>
      </w:r>
    </w:p>
    <w:p>
      <w:pPr>
        <w:pStyle w:val="Compact"/>
        <w:numPr>
          <w:numId w:val="1006"/>
          <w:ilvl w:val="0"/>
        </w:numPr>
      </w:pPr>
      <w:r>
        <w:t xml:space="preserve">A</w:t>
      </w:r>
      <w:r>
        <w:t xml:space="preserve"> </w:t>
      </w:r>
      <w:r>
        <w:rPr>
          <w:i/>
        </w:rPr>
        <w:t xml:space="preserve">full</w:t>
      </w:r>
      <w:r>
        <w:t xml:space="preserve"> </w:t>
      </w:r>
      <w:r>
        <w:t xml:space="preserve">profile, with high levels of working hard, learning something new, enjoying the activity, challenge, and competence</w:t>
      </w:r>
    </w:p>
    <w:p>
      <w:pPr>
        <w:pStyle w:val="FirstParagraph"/>
      </w:pPr>
      <w:r>
        <w:t xml:space="preserve">The six profiles are characterized by both varying levels on both the indicators of engagement (cognitive, behavioral, and affective) and perceptions of challenge and competence. In addition, the number of observations across the profiles is relatively balanced (with no profiles associated with a very large or small number of observations). The universally low profile was associated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 The results for research questions 3-5 use this solution and the six profiles in subsequent analyses.</w:t>
      </w:r>
    </w:p>
    <w:p>
      <w:pPr>
        <w:pStyle w:val="Heading2"/>
      </w:pPr>
      <w:bookmarkStart w:id="65" w:name="results-for-research-question-3-what-sources-of-variability-are-there-for-the-profiles-of-engagement"/>
      <w:bookmarkEnd w:id="65"/>
      <w:r>
        <w:t xml:space="preserve">Results for Research Question #3: What sources of variability are there for the profiles of engagement?</w:t>
      </w:r>
    </w:p>
    <w:p>
      <w:pPr>
        <w:pStyle w:val="FirstParagraph"/>
      </w:pPr>
      <w:r>
        <w:t xml:space="preserve">For all six profiles, the ICCs represent the systematic variability (the proportion of variance explained) associated with each of the three levels (youth, instructional episode, and program) for each profile. Thus, the different levels can have different proportions of variance explained for different profiles: The systematic variability at the youth level, for example, could be .10 for the</w:t>
      </w:r>
      <w:r>
        <w:t xml:space="preserve"> </w:t>
      </w:r>
      <w:r>
        <w:rPr>
          <w:i/>
        </w:rPr>
        <w:t xml:space="preserve">Full</w:t>
      </w:r>
      <w:r>
        <w:t xml:space="preserve"> </w:t>
      </w:r>
      <w:r>
        <w:t xml:space="preserve">profile and .025 for the</w:t>
      </w:r>
      <w:r>
        <w:t xml:space="preserve"> </w:t>
      </w:r>
      <w:r>
        <w:rPr>
          <w:i/>
        </w:rPr>
        <w:t xml:space="preserve">Universally Low</w:t>
      </w:r>
      <w:r>
        <w:t xml:space="preserve"> </w:t>
      </w:r>
      <w:r>
        <w:t xml:space="preserve">profile.</w:t>
      </w:r>
    </w:p>
    <w:p>
      <w:pPr>
        <w:pStyle w:val="BodyText"/>
      </w:pPr>
      <w:r>
        <w:t xml:space="preserve">At the program level, the ICCs were found to be small, with values ranging from 0.00 to 0.023, suggesting that little variability can be explained by the program youth were in. For the instructional episode level, the ICCs were also small, ranging from 0.004 to 0.01. Finally, at the youth-level, the ICCs ranged from .093 to .432. Looking across these values, most of the explained variability in the responses is associated with youth; the program and instructional episode levels were associated with very small values, suggesting that variables at the instructional episode may have minimal effects, although adding variables at</w:t>
      </w:r>
      <w:r>
        <w:t xml:space="preserve"> </w:t>
      </w:r>
      <w:r>
        <w:rPr>
          <w:i/>
        </w:rPr>
        <w:t xml:space="preserve">other</w:t>
      </w:r>
      <w:r>
        <w:t xml:space="preserve"> </w:t>
      </w:r>
      <w:r>
        <w:t xml:space="preserve">levels (i.e., youth characteristics that are at the youth level) can change the value of (other levels’) ICCs (Gelman &amp; Hill, 2007).</w:t>
      </w:r>
    </w:p>
    <w:p>
      <w:pPr>
        <w:pStyle w:val="BodyText"/>
      </w:pPr>
      <w:r>
        <w:t xml:space="preserve">As described earlier, the levels are associated with different ICCs for different profiles. In terms of ICCS at youth level across the six profiles, the value for the youth-level ICC was highest for the</w:t>
      </w:r>
      <w:r>
        <w:t xml:space="preserve"> </w:t>
      </w:r>
      <w:r>
        <w:rPr>
          <w:i/>
        </w:rPr>
        <w:t xml:space="preserve">Full</w:t>
      </w:r>
      <w:r>
        <w:t xml:space="preserve"> </w:t>
      </w:r>
      <w:r>
        <w:t xml:space="preserve">profile (</w:t>
      </w:r>
      <w:r>
        <w:rPr>
          <w:i/>
        </w:rPr>
        <w:t xml:space="preserve">ICC</w:t>
      </w:r>
      <w:r>
        <w:t xml:space="preserve"> </w:t>
      </w:r>
      <w:r>
        <w:t xml:space="preserve">= .432),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value for the ICC at the youth level (</w:t>
      </w:r>
      <w:r>
        <w:rPr>
          <w:i/>
        </w:rPr>
        <w:t xml:space="preserve">ICC</w:t>
      </w:r>
      <w:r>
        <w:t xml:space="preserve"> </w:t>
      </w:r>
      <w:r>
        <w:t xml:space="preserve">= .267). Finally, a large amount of variability is associated with the residual (variance that is not associated with the program, instructional episode, or youth levels). This suggests that there is wide variation in youths’ responses that may not be readily explained or predicted by variables</w:t>
      </w:r>
      <w:r>
        <w:t xml:space="preserve"> </w:t>
      </w:r>
      <w:r>
        <w:rPr>
          <w:i/>
        </w:rPr>
        <w:t xml:space="preserve">at one level alone</w:t>
      </w:r>
      <w:r>
        <w:t xml:space="preserve">. Remaining unexplained variability is captured by the residual term. Some youth from particular programs may engage during some episode instructional episodes in very high or low ways that are not captured by modeling the variability at each of these levels alone.</w:t>
      </w:r>
    </w:p>
    <w:p>
      <w:pPr>
        <w:pStyle w:val="BodyText"/>
      </w:pPr>
      <w:r>
        <w:t xml:space="preserve">The ICCs lend insight into the sources of variability for a specific profile. In addition to this analysis, examining how often youth reported the same across instructional episodes lends further insight into sources of variability for the profiles. This analysis can be particularly useful for understanding variability at the youth level, which the ICCs show to be associated with the most systematic variability. As presented in Figure 4.3, the mean proportion of responses for each youth in the profile they reported most varied widely across youth. There was a small number of youth who reported the same profile in all of their responses, but for most youth, the profile they reported most made up only a portion of all of their responses. For most youth, the most frequent profile was observed just over 50% of the time. Specifically, on average, youth reported their most-reported profile in .540 (</w:t>
      </w:r>
      <w:r>
        <w:rPr>
          <w:i/>
        </w:rPr>
        <w:t xml:space="preserve">SD</w:t>
      </w:r>
      <w:r>
        <w:t xml:space="preserve"> </w:t>
      </w:r>
      <w:r>
        <w:t xml:space="preserve">= .194,</w:t>
      </w:r>
      <w:r>
        <w:t xml:space="preserve"> </w:t>
      </w:r>
      <w:r>
        <w:rPr>
          <w:i/>
        </w:rPr>
        <w:t xml:space="preserve">min</w:t>
      </w:r>
      <w:r>
        <w:t xml:space="preserve"> </w:t>
      </w:r>
      <w:r>
        <w:t xml:space="preserve">= .182,</w:t>
      </w:r>
      <w:r>
        <w:t xml:space="preserve"> </w:t>
      </w:r>
      <w:r>
        <w:rPr>
          <w:i/>
        </w:rPr>
        <w:t xml:space="preserve">max</w:t>
      </w:r>
      <w:r>
        <w:t xml:space="preserve"> </w:t>
      </w:r>
      <w:r>
        <w:t xml:space="preserve">= 1.00) of their responses.</w:t>
      </w:r>
    </w:p>
    <w:p>
      <w:pPr>
        <w:pStyle w:val="BodyText"/>
      </w:pPr>
      <w:r>
        <w:t xml:space="preserve">In sum, these findings show that there was substantial variability in the profiles present at the youth level.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#4) and the youth characteristics (for research question #5) and the profiles of engagement.</w:t>
      </w:r>
    </w:p>
    <w:p>
      <w:pPr>
        <w:pStyle w:val="FigureWithCaption"/>
      </w:pPr>
      <w:r>
        <w:drawing>
          <wp:inline>
            <wp:extent cx="5334000" cy="3287447"/>
            <wp:effectExtent b="0" l="0" r="0" t="0"/>
            <wp:docPr descr="Figure 5 Histogram of the proportion of responses for each youth in the profile they reported most" title="" id="1" name="Picture"/>
            <a:graphic>
              <a:graphicData uri="http://schemas.openxmlformats.org/drawingml/2006/picture">
                <pic:pic>
                  <pic:nvPicPr>
                    <pic:cNvPr descr="rosenberg-dissertation_files/figure-docx/unnamed-chunk-14-1.png" id="0" name="Picture"/>
                    <pic:cNvPicPr>
                      <a:picLocks noChangeArrowheads="1" noChangeAspect="1"/>
                    </pic:cNvPicPr>
                  </pic:nvPicPr>
                  <pic:blipFill>
                    <a:blip r:embed="rId66"/>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5 Histogram of the proportion of responses for each youth in the profile they reported most</w:t>
      </w:r>
    </w:p>
    <w:p>
      <w:pPr>
        <w:pStyle w:val="Heading2"/>
      </w:pPr>
      <w:bookmarkStart w:id="67" w:name="results-for-research-question-4-aspects-of-work-with-data-and-engagement"/>
      <w:bookmarkEnd w:id="67"/>
      <w:r>
        <w:t xml:space="preserve">Results for Research Question #4: Aspects of work with data and engagement</w:t>
      </w:r>
    </w:p>
    <w:p>
      <w:pPr>
        <w:pStyle w:val="FirstParagraph"/>
      </w:pPr>
      <w:r>
        <w:t xml:space="preserve">As a part of the analysis for this question, six models (one for each profile) were specified. For these models, the probability of a response being associated with one of the six profiles was the dependent variable, and the aspects of work with data were the predictor (or independent) variables. As this question is about how the aspects of work with data relate to the profiles, the coefficients associated with each of the five aspects are interpreted in order to provide results for this research question: While the youth characteristics were included in the same six models, these are interpreted for research question #5. I included both of the two sets of variables in this same models because the results were practically the same whether they were included separate models (i.e., only the aspects of work with data in six models and only the youth characteristics in six models) or the same (both the aspects of work with data and the youth characteristics in the same six models) models.</w:t>
      </w:r>
    </w:p>
    <w:p>
      <w:pPr>
        <w:pStyle w:val="BodyText"/>
      </w:pPr>
      <w:r>
        <w:t xml:space="preserve">The results for this and the next research question are both presented in Table 4.5. In this table, each column represents the output from one of the six different models. As an example, the first column in Table 5.4 includes results for the model predicting the probability of a response being associated with the</w:t>
      </w:r>
      <w:r>
        <w:t xml:space="preserve"> </w:t>
      </w:r>
      <w:r>
        <w:rPr>
          <w:i/>
        </w:rPr>
        <w:t xml:space="preserve">Only behavioral</w:t>
      </w:r>
      <w:r>
        <w:t xml:space="preserve"> </w:t>
      </w:r>
      <w:r>
        <w:t xml:space="preserve">profile as the dependent variable. Each other cell in this column contains the coefficients (and their standard errors and asterisks indicating statistical significance) for each of the predictor variables. Note that the</w:t>
      </w:r>
      <w:r>
        <w:t xml:space="preserve"> </w:t>
      </w:r>
      <w:r>
        <w:rPr>
          <w:i/>
        </w:rPr>
        <w:t xml:space="preserve">p</w:t>
      </w:r>
      <w:r>
        <w:t xml:space="preserve">-values are calculated using the most conservative and recommended by recent research</w:t>
      </w:r>
      <w:r>
        <w:t xml:space="preserve"> </w:t>
      </w:r>
      <w:r>
        <w:rPr>
          <w:i/>
        </w:rPr>
        <w:t xml:space="preserve">Kenward-Rogers approximation</w:t>
      </w:r>
      <w:r>
        <w:t xml:space="preserve"> </w:t>
      </w:r>
      <w:r>
        <w:t xml:space="preserve">(Halekoh &amp; Hojsgaard, 2014).</w:t>
      </w:r>
    </w:p>
    <w:p>
      <w:pPr>
        <w:pStyle w:val="BodyText"/>
      </w:pPr>
      <w:r>
        <w:t xml:space="preserve">This analysis showed that there were minimal relations between work with data and the profiles. There were only significant relations with the</w:t>
      </w:r>
      <w:r>
        <w:t xml:space="preserve"> </w:t>
      </w:r>
      <w:r>
        <w:rPr>
          <w:i/>
        </w:rPr>
        <w:t xml:space="preserve">Full</w:t>
      </w:r>
      <w:r>
        <w:t xml:space="preserve"> </w:t>
      </w:r>
      <w:r>
        <w:t xml:space="preserve">profile (see the column with the column name</w:t>
      </w:r>
      <w:r>
        <w:t xml:space="preserve"> </w:t>
      </w:r>
      <w:r>
        <w:rPr>
          <w:i/>
        </w:rPr>
        <w:t xml:space="preserve">Full</w:t>
      </w:r>
      <w:r>
        <w:t xml:space="preserve"> </w:t>
      </w:r>
      <w:r>
        <w:t xml:space="preserve">for these results). One relation that was statistically significant was for the relations between modeling data and the</w:t>
      </w:r>
      <w:r>
        <w:t xml:space="preserve"> </w:t>
      </w:r>
      <w:r>
        <w:rPr>
          <w:i/>
        </w:rPr>
        <w:t xml:space="preserve">Full</w:t>
      </w:r>
      <w:r>
        <w:t xml:space="preserve"> </w:t>
      </w:r>
      <w:r>
        <w:t xml:space="preserve">profile (</w:t>
      </w:r>
      <m:oMath>
        <m:r>
          <m:t>β</m:t>
        </m:r>
      </m:oMath>
      <w:r>
        <w:t xml:space="preserve"> </w:t>
      </w:r>
      <w:r>
        <w:t xml:space="preserve">= 0.034 (0.017),</w:t>
      </w:r>
      <w:r>
        <w:t xml:space="preserve"> </w:t>
      </w:r>
      <w:r>
        <w:rPr>
          <w:i/>
        </w:rPr>
        <w:t xml:space="preserve">p</w:t>
      </w:r>
      <w:r>
        <w:t xml:space="preserve"> </w:t>
      </w:r>
      <w:r>
        <w:t xml:space="preserve">= .020;</w:t>
      </w:r>
      <w:r>
        <w:t xml:space="preserve"> </w:t>
      </w:r>
      <w:r>
        <w:rPr>
          <w:i/>
        </w:rPr>
        <w:t xml:space="preserve">partial R^2</w:t>
      </w:r>
      <w:r>
        <w:t xml:space="preserve"> </w:t>
      </w:r>
      <w:r>
        <w:t xml:space="preserve">= .002). This shows that when youth were modeling data, they were around 3% more likely to be fully engaged. In other words, when youth are involved in these activities, they are more likely to</w:t>
      </w:r>
      <w:r>
        <w:t xml:space="preserve"> </w:t>
      </w:r>
      <w:r>
        <w:t xml:space="preserve">report working harder, learning more, enjoying themselves more, and feeling more competent</w:t>
      </w:r>
      <w:r>
        <w:t xml:space="preserve"> </w:t>
      </w:r>
      <w:r>
        <w:rPr>
          <w:i/>
        </w:rPr>
        <w:t xml:space="preserve">and</w:t>
      </w:r>
      <w:r>
        <w:t xml:space="preserve"> </w:t>
      </w:r>
      <w:r>
        <w:t xml:space="preserve">challenged.</w:t>
      </w:r>
    </w:p>
    <w:p>
      <w:pPr>
        <w:pStyle w:val="BodyText"/>
      </w:pPr>
      <w:r>
        <w:t xml:space="preserve">Another significant relation was between generating data and the</w:t>
      </w:r>
      <w:r>
        <w:t xml:space="preserve"> </w:t>
      </w:r>
      <w:r>
        <w:rPr>
          <w:i/>
        </w:rPr>
        <w:t xml:space="preserve">Full</w:t>
      </w:r>
      <w:r>
        <w:t xml:space="preserve"> </w:t>
      </w:r>
      <w:r>
        <w:t xml:space="preserve">profile (</w:t>
      </w:r>
      <m:oMath>
        <m:r>
          <m:t>β</m:t>
        </m:r>
      </m:oMath>
      <w:r>
        <w:t xml:space="preserve"> </w:t>
      </w:r>
      <w:r>
        <w:t xml:space="preserve">= 0.027 (0.015),</w:t>
      </w:r>
      <w:r>
        <w:t xml:space="preserve"> </w:t>
      </w:r>
      <w:r>
        <w:rPr>
          <w:i/>
        </w:rPr>
        <w:t xml:space="preserve">p</w:t>
      </w:r>
      <w:r>
        <w:t xml:space="preserve"> </w:t>
      </w:r>
      <w:r>
        <w:t xml:space="preserve">= .033;</w:t>
      </w:r>
      <w:r>
        <w:t xml:space="preserve"> </w:t>
      </w:r>
      <w:r>
        <w:rPr>
          <w:i/>
        </w:rPr>
        <w:t xml:space="preserve">partial R^2</w:t>
      </w:r>
      <w:r>
        <w:t xml:space="preserve"> </w:t>
      </w:r>
      <w:r>
        <w:t xml:space="preserve">= .002): When youth were either modeling or generating data, they were (like for data modeling) around 3% more likely to be fully engaged. To sum up these two findings, modeling data and generating data are associated with a (very) positive form of engagement, that exhibited by the</w:t>
      </w:r>
      <w:r>
        <w:t xml:space="preserve"> </w:t>
      </w:r>
      <w:r>
        <w:rPr>
          <w:i/>
        </w:rPr>
        <w:t xml:space="preserve">Full</w:t>
      </w:r>
      <w:r>
        <w:t xml:space="preserve"> </w:t>
      </w:r>
      <w:r>
        <w:t xml:space="preserve">profile. The effect sizes indicate quite small effects in substantive terms.</w:t>
      </w:r>
    </w:p>
    <w:p>
      <w:pPr>
        <w:pStyle w:val="BodyText"/>
      </w:pPr>
      <w:r>
        <w:t xml:space="preserve">To determine just how robust these effects were, sensitivity analysis was carried out for these two effects (for the relation of data modeling with</w:t>
      </w:r>
      <w:r>
        <w:t xml:space="preserve"> </w:t>
      </w:r>
      <w:r>
        <w:rPr>
          <w:i/>
        </w:rPr>
        <w:t xml:space="preserve">Full</w:t>
      </w:r>
      <w:r>
        <w:t xml:space="preserve"> </w:t>
      </w:r>
      <w:r>
        <w:t xml:space="preserve">engagement and the relation of generating data with</w:t>
      </w:r>
      <w:r>
        <w:t xml:space="preserve"> </w:t>
      </w:r>
      <w:r>
        <w:rPr>
          <w:i/>
        </w:rPr>
        <w:t xml:space="preserve">Full</w:t>
      </w:r>
      <w:r>
        <w:t xml:space="preserve"> </w:t>
      </w:r>
      <w:r>
        <w:t xml:space="preserve">engagement). This follow-up analysis revealed that the effect of modeling data on</w:t>
      </w:r>
      <w:r>
        <w:t xml:space="preserve"> </w:t>
      </w:r>
      <w:r>
        <w:rPr>
          <w:i/>
        </w:rPr>
        <w:t xml:space="preserve">Full</w:t>
      </w:r>
      <w:r>
        <w:t xml:space="preserve"> </w:t>
      </w:r>
      <w:r>
        <w:t xml:space="preserve">engagement much more robust than that for generating data: 9.835% of this effect (of data modeling) would have to be due to bias to invalidate the inference about its effect. For generating data, only 1.884% of the effect of generating data would need to be due to bias to invalidate the inference about its effect. These values are not minuscule but are also not very large (Frank, 2003). So, while statistically significant, the effect of data modeling seems to be a more robust effect than the effect of generating data, which does not seem to be a very robust (and should therefore be interpreted with some skepticism).</w:t>
      </w:r>
    </w:p>
    <w:p>
      <w:pPr>
        <w:pStyle w:val="BodyText"/>
      </w:pPr>
      <w:r>
        <w:t xml:space="preserve">There was another effect which was not statistically significant, but which nearly was so. The effect of asking questions was marginally significant upon the probability of a response being associated with the</w:t>
      </w:r>
      <w:r>
        <w:t xml:space="preserve"> </w:t>
      </w:r>
      <w:r>
        <w:rPr>
          <w:i/>
        </w:rPr>
        <w:t xml:space="preserve">All moderate</w:t>
      </w:r>
      <w:r>
        <w:t xml:space="preserve"> </w:t>
      </w:r>
      <w:r>
        <w:t xml:space="preserve">profile (</w:t>
      </w:r>
      <m:oMath>
        <m:r>
          <m:t>β</m:t>
        </m:r>
      </m:oMath>
      <w:r>
        <w:t xml:space="preserve"> </w:t>
      </w:r>
      <w:r>
        <w:t xml:space="preserve">= 0.023 (0.017),</w:t>
      </w:r>
      <w:r>
        <w:t xml:space="preserve"> </w:t>
      </w:r>
      <w:r>
        <w:rPr>
          <w:i/>
        </w:rPr>
        <w:t xml:space="preserve">p</w:t>
      </w:r>
      <w:r>
        <w:t xml:space="preserve"> </w:t>
      </w:r>
      <w:r>
        <w:t xml:space="preserve">= .090;</w:t>
      </w:r>
      <w:r>
        <w:t xml:space="preserve"> </w:t>
      </w:r>
      <w:r>
        <w:rPr>
          <w:i/>
        </w:rPr>
        <w:t xml:space="preserve">partial R^2</w:t>
      </w:r>
      <w:r>
        <w:t xml:space="preserve"> </w:t>
      </w:r>
      <w:r>
        <w:t xml:space="preserve">= .001).</w:t>
      </w:r>
    </w:p>
    <w:p>
      <w:pPr>
        <w:pStyle w:val="Heading2"/>
      </w:pPr>
      <w:bookmarkStart w:id="68" w:name="results-for-research-question-5-youth-characteristics-and-engagement"/>
      <w:bookmarkEnd w:id="68"/>
      <w:r>
        <w:t xml:space="preserve">Results for Research Question #5: Youth characteristics and engagement</w:t>
      </w:r>
    </w:p>
    <w:p>
      <w:pPr>
        <w:pStyle w:val="FirstParagraph"/>
      </w:pPr>
      <w:r>
        <w:t xml:space="preserve">While the section for results for research #4 focused on the rows for the variables for the aspects of work with data, this section focuses on those for the youth characteristics. As for the previous research question, the first row is again associated with the results for the model predicting the probability of the</w:t>
      </w:r>
      <w:r>
        <w:t xml:space="preserve"> </w:t>
      </w:r>
      <w:r>
        <w:rPr>
          <w:i/>
        </w:rPr>
        <w:t xml:space="preserve">Only behavioral</w:t>
      </w:r>
      <w:r>
        <w:t xml:space="preserve"> </w:t>
      </w:r>
      <w:r>
        <w:t xml:space="preserve">profile, with the cells across the columns containing the coefficients, their standard errors, and their</w:t>
      </w:r>
      <w:r>
        <w:t xml:space="preserve"> </w:t>
      </w:r>
      <w:r>
        <w:rPr>
          <w:i/>
        </w:rPr>
        <w:t xml:space="preserve">p</w:t>
      </w:r>
      <w:r>
        <w:t xml:space="preserve">-values; for this question, the youth characteristics are interpreted.</w:t>
      </w:r>
    </w:p>
    <w:p>
      <w:pPr>
        <w:pStyle w:val="BodyText"/>
      </w:pPr>
      <w:r>
        <w:t xml:space="preserve">In terms of youths’ pre-program interest, these analyses show that youth who enter the program with higher levels of interest (in STEM) are more likely to report being in the</w:t>
      </w:r>
      <w:r>
        <w:t xml:space="preserve"> </w:t>
      </w:r>
      <w:r>
        <w:rPr>
          <w:i/>
        </w:rPr>
        <w:t xml:space="preserve">engaged and competent but not challenged</w:t>
      </w:r>
      <w:r>
        <w:t xml:space="preserve"> </w:t>
      </w:r>
      <w:r>
        <w:t xml:space="preserve">profile (</w:t>
      </w:r>
      <m:oMath>
        <m:r>
          <m:t>β</m:t>
        </m:r>
      </m:oMath>
      <w:r>
        <w:t xml:space="preserve"> </w:t>
      </w:r>
      <w:r>
        <w:t xml:space="preserve">= 0.039,</w:t>
      </w:r>
      <w:r>
        <w:t xml:space="preserve"> </w:t>
      </w:r>
      <w:r>
        <w:rPr>
          <w:i/>
        </w:rPr>
        <w:t xml:space="preserve">p</w:t>
      </w:r>
      <w:r>
        <w:t xml:space="preserve"> </w:t>
      </w:r>
      <w:r>
        <w:t xml:space="preserve">= .009;</w:t>
      </w:r>
      <w:r>
        <w:t xml:space="preserve"> </w:t>
      </w:r>
      <w:r>
        <w:rPr>
          <w:i/>
        </w:rPr>
        <w:t xml:space="preserve">partial R^2</w:t>
      </w:r>
      <w:r>
        <w:t xml:space="preserve"> </w:t>
      </w:r>
      <w:r>
        <w:t xml:space="preserve">= .001). In other words, youth who are more interested at the outset of the program report working harder, learning more, enjoying themselves more, and feeling more competent when they are actually involved in a program activities, though they also report lower levels of challenge. For this effect, 17.879% would be needed to invalidate the inference, a slightly larger value for the follow-up sensitivity analysis than those found for the (statistically significant) relations involving the aspects of work with data, suggesting a moderately robust effect.</w:t>
      </w:r>
    </w:p>
    <w:p>
      <w:pPr>
        <w:pStyle w:val="BodyText"/>
      </w:pPr>
      <w:r>
        <w:t xml:space="preserve">Female youth reported more often than males that they were in the</w:t>
      </w:r>
      <w:r>
        <w:t xml:space="preserve"> </w:t>
      </w:r>
      <w:r>
        <w:rPr>
          <w:i/>
        </w:rPr>
        <w:t xml:space="preserve">Universally low</w:t>
      </w:r>
      <w:r>
        <w:t xml:space="preserve"> </w:t>
      </w:r>
      <w:r>
        <w:t xml:space="preserve">profile, though this difference did not quite reach statistical significance (</w:t>
      </w:r>
      <m:oMath>
        <m:r>
          <m:t>β</m:t>
        </m:r>
      </m:oMath>
      <w:r>
        <w:t xml:space="preserve"> </w:t>
      </w:r>
      <w:r>
        <w:t xml:space="preserve">= 0.037,</w:t>
      </w:r>
      <w:r>
        <w:t xml:space="preserve"> </w:t>
      </w:r>
      <w:r>
        <w:rPr>
          <w:i/>
        </w:rPr>
        <w:t xml:space="preserve">p</w:t>
      </w:r>
      <w:r>
        <w:t xml:space="preserve"> </w:t>
      </w:r>
      <w:r>
        <w:t xml:space="preserve">= .051;</w:t>
      </w:r>
      <w:r>
        <w:t xml:space="preserve"> </w:t>
      </w:r>
      <w:r>
        <w:rPr>
          <w:i/>
        </w:rPr>
        <w:t xml:space="preserve">partial R^2</w:t>
      </w:r>
      <w:r>
        <w:t xml:space="preserve"> </w:t>
      </w:r>
      <w:r>
        <w:t xml:space="preserve">= .006). The effect size again suggest very small effects in substantive terms. For this effect, 17.843% of the bias would need to be removed (or the effect would need to be larger by this percentage) to sustain the inference. The moderately large amount of bias that would need to be removed for the effect of being female (on the</w:t>
      </w:r>
      <w:r>
        <w:t xml:space="preserve"> </w:t>
      </w:r>
      <w:r>
        <w:rPr>
          <w:i/>
        </w:rPr>
        <w:t xml:space="preserve">Universally low</w:t>
      </w:r>
      <w:r>
        <w:t xml:space="preserve"> </w:t>
      </w:r>
      <w:r>
        <w:t xml:space="preserve">profile) to be significant suggests that this effect should not be very seriously interpreted.</w:t>
      </w:r>
    </w:p>
    <w:p>
      <w:pPr>
        <w:pStyle w:val="BodyText"/>
      </w:pPr>
      <w:r>
        <w:t xml:space="preserve">There were not any statistically significant effects of youths’ URM status. This may be a function of the large proportion of youth from under-represented (in STEM) racial and ethnic groups: hispanic (48%), African American or Black (36%), and youth who identify as being from multiple racial and ethnic groups (3%) made up 87% of the youth in the programs, so there were not many youth who were</w:t>
      </w:r>
      <w:r>
        <w:t xml:space="preserve"> </w:t>
      </w:r>
      <w:r>
        <w:rPr>
          <w:i/>
        </w:rPr>
        <w:t xml:space="preserve">not</w:t>
      </w:r>
      <w:r>
        <w:t xml:space="preserve"> </w:t>
      </w:r>
      <w:r>
        <w:t xml:space="preserve">from under-represented groups in the sample, suggesting that the absence of findings may be due to this small sample (and low statistical power). Nevertheless, no relations between URM status and youths’ engagement were found, indicating that there is at least not evidence that youth from such backgrounds do engage in different ways.</w:t>
      </w:r>
    </w:p>
    <w:p>
      <w:pPr>
        <w:pStyle w:val="BodyText"/>
      </w:pPr>
      <w:r>
        <w:t xml:space="preserve">These (somewhat minimal) findings for the youth characteristics were more surprising than those observed for the aspects of work with data. The results of research question #3, on the sources of variability for the profiles of engagement, suggested that there was a lot of systematic variability at the level of the youth (there were large ICCs at the youth level, with smaller ICCs at the instructional episode level). Because pre-interest, gender, and URM status are variables at this level, it could be expected that they would have important relations with the profiles of engagement. However it appears that the particular youth characteristics considered were not effective at explaining much of this variability; possible reasons why are discussed further in the next section.</w:t>
      </w:r>
    </w:p>
    <w:p>
      <w:pPr>
        <w:pStyle w:val="Heading1"/>
      </w:pPr>
      <w:bookmarkStart w:id="69" w:name="discussion"/>
      <w:bookmarkEnd w:id="69"/>
      <w:r>
        <w:t xml:space="preserve">Discussion</w:t>
      </w:r>
    </w:p>
    <w:p>
      <w:pPr>
        <w:pStyle w:val="Heading2"/>
      </w:pPr>
      <w:bookmarkStart w:id="70" w:name="key-findings"/>
      <w:bookmarkEnd w:id="70"/>
      <w:r>
        <w:t xml:space="preserve">Key Findings</w:t>
      </w:r>
    </w:p>
    <w:p>
      <w:pPr>
        <w:pStyle w:val="Heading3"/>
      </w:pPr>
      <w:bookmarkStart w:id="71" w:name="key-findings-for-the-frequency-and-nature-of-work-with-data"/>
      <w:bookmarkEnd w:id="71"/>
      <w:r>
        <w:t xml:space="preserve">Key findings for the frequency and nature of work with data</w:t>
      </w:r>
    </w:p>
    <w:p>
      <w:pPr>
        <w:pStyle w:val="FirstParagraph"/>
      </w:pPr>
      <w:r>
        <w:t xml:space="preserve">These findings provide some of the the first information (that I am aware of) for how frequent work with data is in summer STEM programs. In addition, the findings shed light on the specific, qualitative nature of work with data in these contexts. As I mention, these findings have implications for how science is taught, both in similar, outside-of-school settings and some value in terms of speaking to the role of work with data during formal, K-12 education settings. In the context of describing these findings, I also highlight how the use of video-recordings of the STEM programs was necessary for being able to make claims about the frequency and nature of work with data during them.</w:t>
      </w:r>
    </w:p>
    <w:p>
      <w:pPr>
        <w:pStyle w:val="BodyText"/>
      </w:pPr>
      <w:r>
        <w:t xml:space="preserve">In terms of the frequency of work with data, work with data was found to be common in the summer STEM programs: 170 out of the 236 instructional episodes contained at least one of the five aspects (asking questions, making observations, generating data, data modeling, and interpreting and communicating findings) of work with data. The use of video-recordings of the programs and the strategy of using ESM to select (mostly) random samples of youths’ experiences during the programs enabled me to show just how frequent work with data was, and I found that specific aspects of work with data were more or less frequent: Making observations, in some form, occurred during 24% of the program’s time, while generating data and communicating findings both occurred during 43% of the instructional episodes. Data modeling, like making observations, was somewhat less frequent (29%), whereas asking questions and generating data, like communicating findings, were relatively more common (38%).</w:t>
      </w:r>
    </w:p>
    <w:p>
      <w:pPr>
        <w:pStyle w:val="BodyText"/>
      </w:pPr>
      <w:r>
        <w:t xml:space="preserve">Given the design and goals of summer STEM programs, these align with what may be expected given past research: Such programs are designed to engage youth in the practices, including and as I argue earlier</w:t>
      </w:r>
      <w:r>
        <w:t xml:space="preserve"> </w:t>
      </w:r>
      <w:r>
        <w:rPr>
          <w:i/>
        </w:rPr>
        <w:t xml:space="preserve">especially</w:t>
      </w:r>
      <w:r>
        <w:t xml:space="preserve"> </w:t>
      </w:r>
      <w:r>
        <w:t xml:space="preserve">those relating to work with data, of STEM domains (Dabney et al., 2012; Elam et al., 2012). Even still, these are the first results of this kind that I am aware of (in terms of the proportion of the time spent in the programs). Using video-recording data and a sampling strategy that can provide insight into the amount of overall time spent was an important component of achieving these findings. While there are not other results of this particular kind, a related, an area of related work concerns other studies that has used the PQA measure (recall that in the present study the STEM-PQA measure was adapted for examining work with data). However, studies have (yet) used the version that is adapted for STEM content areas. Some reports call for greater use of measures (such as the PQA) in the study (and evaluation) of summer and outside-of-school STEM programs (e.g., Yohalem et al., 2005). As one example of such a study (but one that is not focused on STEM), Smith et al. (2012) reported findings from a continuous improvement intervention (that used a rigorous experimental design), finding that the intervention positively impacted the quality of instruction in the programs.</w:t>
      </w:r>
    </w:p>
    <w:p>
      <w:pPr>
        <w:pStyle w:val="BodyText"/>
      </w:pPr>
      <w:r>
        <w:t xml:space="preserve">In-depth qualitative analysis that aimed to show the specific ways work with data was enacted during the programs. This analysis revealed that there was often a variety of ways in which each of the aspects were carried out, with implications for how youth may engage in each of them. Many times, youth engaged in what can be described as ambitious and potentially highly engaging ways of being involved in work with data. When youth were asking questions, they regularly (during 39% of the episodes that involved this particular aspect of work with data) worked to make predictions or hypotheses about the phenomena they were exploring or the problem they were seeking to solve. When making observations, they were often (in 86% of the episodes) did so of phenomena in the field (such as an estuary or an island in the case of science-focused programs) or (in the case of mathematics and engineering-focused programs) workshop or through computers in classroom settings. When generating data, many times (in 47% of the episodes that involved this aspect) youth recorded their own observations; when modeling data, youth were involved (in 72% of the episodes) in the use of statistical and mathematical models of real-world phenomena. When interpreting and communicating findings, youth regularly (during 48% of episodes) had opportunities to share (with other youth in the program) what they found or created as a result of their earlier investigations or work.</w:t>
      </w:r>
    </w:p>
    <w:p>
      <w:pPr>
        <w:pStyle w:val="BodyText"/>
      </w:pPr>
      <w:r>
        <w:t xml:space="preserve">Also of note was what occurred during the rest of the time: When youths’ questions, for example, were not focused on predicting or hypothesizing about what they were exploring, they type of question was more general, or was instructor-led, rather than driven by youth. Especially for this aspect of work with data (asking questions) as well as when generating data and interpreting and communicating findings, a substantial proportion of the instructional episodes that involved these aspects of work with data were not as ambitious (and not as much in alignment with recent policy documents and curricular standards, i.e. National Research Council, 2012; NGSS Lead States, 2013; National Governors Association Center for Best Practices, Council of Chief State School Officers, 2010). In the scientific and engineering practices in the NGSS and the standards for mathematical practice in the Common Core State Standards), work with data is described by grade-level bands. For instances, in grades 6-8, students are expected to that ask questions, for example, to determine relationships between variables and relationships in models (NGSS Lead States, Appendix F, 2015). It is</w:t>
      </w:r>
      <w:r>
        <w:t xml:space="preserve"> </w:t>
      </w:r>
      <w:r>
        <w:rPr>
          <w:i/>
        </w:rPr>
        <w:t xml:space="preserve">not</w:t>
      </w:r>
      <w:r>
        <w:t xml:space="preserve"> </w:t>
      </w:r>
      <w:r>
        <w:t xml:space="preserve">expected that students engage in all of the aspects of a practice at once. However, as McNeill and Berland (2017) argue, it is not just engaging in these practices by rote, but about integrating them, as they overlap and interconnect.</w:t>
      </w:r>
    </w:p>
    <w:p>
      <w:pPr>
        <w:pStyle w:val="BodyText"/>
      </w:pPr>
      <w:r>
        <w:t xml:space="preserve">Also of note was the frequency of these three aspects of work with data overall: They occurred much more frequently than the two (making observations and data modeling) for which a larger proportion of their enactment was more in-line with policy and curricular standards. What this suggests is that while work with data that was ambitious and potentially highly-engaging to youth was found to be common (according to the quantitative analysis), this qualitative analysis showed that there how the aspects of work with data took place varied a lot: The type of activities that may be the most demanding for youth were still common, but not quite as common as the overall frequencies presented for the quantitative would suggest.</w:t>
      </w:r>
    </w:p>
    <w:p>
      <w:pPr>
        <w:pStyle w:val="BodyText"/>
      </w:pPr>
      <w:r>
        <w:t xml:space="preserve">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 The use of video-recordings of data was especially helpful in establishing this descriptive data.</w:t>
      </w:r>
    </w:p>
    <w:p>
      <w:pPr>
        <w:pStyle w:val="BodyText"/>
      </w:pPr>
      <w:r>
        <w:t xml:space="preserve">The nature of the aspects of work with data in such settings can more easily (than the frequency of the aspects of work with data) be compared to past research. This past research points out the heterogeneity in how work with data is enacted in educational settings. For example, McNeill and Berland (2017). They argue that a view of work with data focused on sense-making with real-world phenomena and iterative cycles of engaging in work with data, and revision of intermediate ideas. In this sense, some of what was observed in the programs aligned with work with data, while others did not.</w:t>
      </w:r>
    </w:p>
    <w:p>
      <w:pPr>
        <w:pStyle w:val="BodyText"/>
      </w:pPr>
      <w:r>
        <w:t xml:space="preserve">Another comparison is other studies investigating data modeling. Past research, for example, highlights use of</w:t>
      </w:r>
      <w:r>
        <w:t xml:space="preserve"> </w:t>
      </w:r>
      <w:r>
        <w:t xml:space="preserve">“</w:t>
      </w:r>
      <w:r>
        <w:t xml:space="preserve">data to solve real problems and to ask authentic questions</w:t>
      </w:r>
      <w:r>
        <w:t xml:space="preserve">”</w:t>
      </w:r>
      <w:r>
        <w:t xml:space="preserve"> </w:t>
      </w:r>
      <w:r>
        <w:t xml:space="preserve">(Hancock et al., 1992, p. 337). Research on generating data emphasized an aspect not very much the focus of the present research, namely, structuring data into spreadsheets (Konold, Finzer, &amp; Kreetong, 2017; Lehrer &amp; Kim, 2009). Research on posing questions that can be answered with data shows that there is a connection between student-centered teaching strategies and students’ ability to ask empirical (Bielik &amp; Yarden, 2016). This suggests a reason why youth were able to ask questions and ideas for how they might do so more: Make activities in summer STEM program youth-centered, rather than instructor-centered. Research on the data modeling aspect of work with data highlights the use of statistical models much more than the physical models which were sometimes found to be a way in which youth engaged in data modeling (Petrosino, Lehrer, &amp; Schauble, 2003; Lesh, Middleton, Caylor, &amp; Gupta, 2008; Lee, Angotti, &amp; Tarr, 2010). Nevertheless, many of the ways youth engaged in data modeling aligned with this past research, particularly when the goal of the activity is to model variability. This past research that encouraging youth to consider summaries of data, such as the mean and standard deviation, may be a promising way for them to engage more deeply in data modeling (Lehrer, Kim, &amp; Schauble, 2007; Lehrer &amp; Schauble, 2004). In this way, some (but not all) of the aspects work with data aligned with past research; when they align, they are encouraging, and when they do not, some ideas for how to involve youth in more engaging aspects of work with data are able to be identified.</w:t>
      </w:r>
    </w:p>
    <w:p>
      <w:pPr>
        <w:pStyle w:val="Heading3"/>
      </w:pPr>
      <w:bookmarkStart w:id="72" w:name="key-findings-for-what-profiles-of-engagement-were-found"/>
      <w:bookmarkEnd w:id="72"/>
      <w:r>
        <w:t xml:space="preserve">Key findings for what profiles of engagement were found</w:t>
      </w:r>
    </w:p>
    <w:p>
      <w:pPr>
        <w:pStyle w:val="FirstParagraph"/>
      </w:pPr>
      <w:r>
        <w:t xml:space="preserve">These findings provide insight into how youth experience engagement together and at once. By together and at once, I refer to the profile approach used that was used to identify common groups of youths’ responses. This approach provides information about youths’ engagement that is different from that gained from other approaches.</w:t>
      </w:r>
    </w:p>
    <w:p>
      <w:pPr>
        <w:pStyle w:val="BodyText"/>
      </w:pPr>
      <w:r>
        <w:t xml:space="preserve">Six profiles of engagement were found using a rigorous model selection approach. Before discussing these results in-depth, it is important to note that LPA is an exploratory approach: The number and nature of the profiles identified were found through a rigorous and systematic approach, but this is not a guarantee that the same number and make-up of profiles would emerge.</w:t>
      </w:r>
    </w:p>
    <w:p>
      <w:pPr>
        <w:pStyle w:val="BodyText"/>
      </w:pPr>
      <w:r>
        <w:t xml:space="preserve">Six is, in the context of these possible caveats, the same exact number of profiles of engagement identified in recent, past research. Schmidt et al. (2018) found six profiles of engagement. Their profiles were constructed on the basis of the indicators (cognitive, behavioral, and affective) of engagement, and not perceptions of challenge and competence. Nevertheless, the similar number provides further information about the nature of engagement in educational contexts. Namely, six is a number of profiles that is larger than the number of profiles identified in other fields (see Wormington and Linnenbrink-Garcia, 2017, for a review in motivational settings). However, as large as six profiles is, it is not a number that is far higher than the average, suggesting that there may be a greater variety of types of engagement exhibited than, for example, types of motivation.</w:t>
      </w:r>
    </w:p>
    <w:p>
      <w:pPr>
        <w:pStyle w:val="BodyText"/>
      </w:pPr>
      <w:r>
        <w:t xml:space="preserve">In terms of the make-up of the specific profiles, those found in the present study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Little research has examined profiles of engagement, though Schmidt et al. (2018) examined profiles of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BodyText"/>
      </w:pPr>
      <w:r>
        <w:t xml:space="preserve">These profiles have implications for the study of engagement and the analysis of multidimensional data on youth and student engagement. First, they suggest that perceptions of challenge and competence be considered in future research. This is because some of the profiles were distinguished on their basis. This approach also may be more parsimonious than including perceptions of challenge and competence as separate predictors (i.e., Shernoff et al., 2003). In addition to these empirical reasons, past research on engagement (i.e., Csikszentmihalyi, 1990) and on the profile approach (Bergman &amp; Magnusson, 1997) suggest that they are theoretically inseparable from engagement, another reason for modeling them as they were modeled in the present study. These implications are specific to the study of engagement but also highlight some of the promise of the profile approach, as well.</w:t>
      </w:r>
    </w:p>
    <w:p>
      <w:pPr>
        <w:pStyle w:val="Heading3"/>
      </w:pPr>
      <w:bookmarkStart w:id="73" w:name="key-findings-for-sources-of-variability-for-the-profiles"/>
      <w:bookmarkEnd w:id="73"/>
      <w:r>
        <w:t xml:space="preserve">Key findings for sources of variability for the profiles</w:t>
      </w:r>
    </w:p>
    <w:p>
      <w:pPr>
        <w:pStyle w:val="FirstParagraph"/>
      </w:pPr>
      <w:r>
        <w:t xml:space="preserve">These findings help us to understand how much variability in youths’ engagement can be attributed to variables: both those that are measured in this and related studies and those that are not or cannot be measured at different levels, namely youth, instructional episode, and program. What these findings suggest about what relations can be anticipated from predictors at different levels is discussed, as well as how researchers can use null models as used in the present study to understand variability at different levels.</w:t>
      </w:r>
    </w:p>
    <w:p>
      <w:pPr>
        <w:pStyle w:val="BodyText"/>
      </w:pPr>
      <w:r>
        <w:t xml:space="preserve">The profiles suggest that the experiences of youth in summer STEM programs are variable and that the use of ESM can aid in the study of youths’ engagement. The source of this variation can be due to many different factors, including individual differences between youth, the nature of the instruction carried out, and program-specific factors: Knowing about these sources provide valuable information in their own right, a benefit of the use of mixed effects models (Gelman &amp; Hill, 2007).</w:t>
      </w:r>
    </w:p>
    <w:p>
      <w:pPr>
        <w:pStyle w:val="BodyText"/>
      </w:pPr>
      <w:r>
        <w:t xml:space="preserve">The findings for this question were somewhat surprising and disappointing given past research. In particular, youth-level sources of variability were by far the largest, explaining between .093 to .432, depending on the profile: This means that between around 10% and 40% of the unexplained variability in the profiles is attributable to youth characteristics, both those that can be captured with variables and those that are at the youth level but are not measured (or are not measurable but are still at this level). Furthermore, the amount of variability at the instructional episode and program levels was small, no greater than .031 for the instructional episode or .023 for the program. A promise of the use of ESM is that it is able detect contextual differences in youths’ experiences: The small amount of variability that can be explained at this level suggests that, for the engagement profiles, not much difference exists from instructional episode to instructional episode.</w:t>
      </w:r>
    </w:p>
    <w:p>
      <w:pPr>
        <w:pStyle w:val="BodyText"/>
      </w:pPr>
      <w:r>
        <w:t xml:space="preserve">This finding related to minimal variability at the program and particularly at the instructional episode level is useful in its own right. It also suggests that engagement, as measured in this context with ESM and with the engagement items used, may be more stable than dynamic at the instructional episode level, differing from some past theory (e.g., Skinner &amp; Pitzer, 2012) and research that showed relations between instructional episode-level variables and engagement (e.g., Shernoff et al., 2016; Shumow, Schmidt, &amp; Zaleski, 2013). This also suggests that variables at these levels do not have a substantial proportion of variability to explain: Predictor variables (like those for the aspects of work with data) at the instructional episode level had much less variability to explain, while those at the youth level had a substantial amount that was able to be explained.</w:t>
      </w:r>
    </w:p>
    <w:p>
      <w:pPr>
        <w:pStyle w:val="BodyText"/>
      </w:pPr>
      <w:r>
        <w:t xml:space="preserve">One factor of note concerns the analytic approach used. As noted, the profiles demonstrated very little variability at the program and instructional episode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While these are important limitations, it is worth noting that the modeling strategy (with the mixed effects models) is inherently a conservative (particularly in terms of the statistical significance of hypothesis tests)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3"/>
      </w:pPr>
      <w:bookmarkStart w:id="74" w:name="key-findings-for-how-work-with-data-relates-to-engagement"/>
      <w:bookmarkEnd w:id="74"/>
      <w:r>
        <w:t xml:space="preserve">Key findings for how work with data relates to engagement</w:t>
      </w:r>
    </w:p>
    <w:p>
      <w:pPr>
        <w:pStyle w:val="FirstParagraph"/>
      </w:pPr>
      <w:r>
        <w:t xml:space="preserve">These findings show minimal but important relations between the aspects of work with data and youth engagement. They are discussed in the context of past research on work with data and youth engagement in scientific and engineering practices more generally. Finally, some possible reasons for the minimal findings are brought up.</w:t>
      </w:r>
    </w:p>
    <w:p>
      <w:pPr>
        <w:pStyle w:val="BodyText"/>
      </w:pPr>
      <w:r>
        <w:t xml:space="preserve">In line with what the preliminary analysis of the amount of variability that could be explained at the youth, instructional episode, and program levels, relations between work with data were largely not found, though some small, statistically significant relations were identified. These findings, overall, were not necessarily surprising given past research: The question of whether and how work with data relates to engagement has not been the focus of any past research. In this sense, these are important findings that suggest that work with data may not be strongly related to engagement.</w:t>
      </w:r>
    </w:p>
    <w:p>
      <w:pPr>
        <w:pStyle w:val="BodyText"/>
      </w:pPr>
      <w:r>
        <w:t xml:space="preserve">Given the small amount of variability at the instructional episode level, this result was anticipated (on this basis). Importantly, however, there were some noteworthy findings. In particular, both generating and modeling data were found to be positively (and statistically significantly) related to the</w:t>
      </w:r>
      <w:r>
        <w:t xml:space="preserve"> </w:t>
      </w:r>
      <w:r>
        <w:rPr>
          <w:i/>
        </w:rPr>
        <w:t xml:space="preserve">Full</w:t>
      </w:r>
      <w:r>
        <w:t xml:space="preserve"> </w:t>
      </w:r>
      <w:r>
        <w:t xml:space="preserve">profile, suggesting that when youth are involved in these practices, then they are more likely to be highly engaged. In particular, given the makeup of this profile, this suggests that when youth are involved in these aspects of work with data,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w:t>
      </w:r>
    </w:p>
    <w:p>
      <w:pPr>
        <w:pStyle w:val="BodyText"/>
      </w:pPr>
      <w:r>
        <w:t xml:space="preserve">As there is no research on how work with data relates to youths’ engagement, the findings associated with this research question provide some, albeit limited, evidence (and directions for future research) for how some aspects of work with data relate to youths’ engagement. As work with data is a core component of new visions for STEM learning (see the scientific and engineering practices that are part of the NGSS and the standards for mathematical practice in the CCSS), these findings provide some insight into how involvement in a subset (focused on work with data) of these practices relates to engagement. Particularly, the relatively minimal findings suggest that these activities may not be more engaging</w:t>
      </w:r>
      <w:r>
        <w:t xml:space="preserve"> </w:t>
      </w:r>
      <w:r>
        <w:rPr>
          <w:i/>
        </w:rPr>
        <w:t xml:space="preserve">per se</w:t>
      </w:r>
      <w:r>
        <w:t xml:space="preserve">. Instead, it may be the way that youth engage in them that matters, in alignment with past research (Berland et al., 2017; Miller et al., in press).</w:t>
      </w:r>
    </w:p>
    <w:p>
      <w:pPr>
        <w:pStyle w:val="BodyText"/>
      </w:pPr>
      <w:r>
        <w:t xml:space="preserve">While the findings for this question were somewhat minimal, there are key findings from both the important relationships that were found to be statistically significant (between generating data and data modeling and</w:t>
      </w:r>
      <w:r>
        <w:t xml:space="preserve"> </w:t>
      </w:r>
      <w:r>
        <w:rPr>
          <w:i/>
        </w:rPr>
        <w:t xml:space="preserve">Full</w:t>
      </w:r>
      <w:r>
        <w:t xml:space="preserve"> </w:t>
      </w:r>
      <w:r>
        <w:t xml:space="preserve">engagement) and from those that were not. Finding few significant findings may show that, in this sample and with work with data as carried out, it is difficult to say with certainty just how much of an impact work with data has upon youths’ engagement. This suggests that other samples, other enactments of work with data, and, possibly, other analytic approaches can build on this work to further substantiate what is known about how work with data is engaging to youth.</w:t>
      </w:r>
    </w:p>
    <w:p>
      <w:pPr>
        <w:pStyle w:val="Heading3"/>
      </w:pPr>
      <w:bookmarkStart w:id="75" w:name="key-findings-for-how-youth-characteristics-relate-to-engagement"/>
      <w:bookmarkEnd w:id="75"/>
      <w:r>
        <w:t xml:space="preserve">Key findings for how youth characteristics relate to engagement</w:t>
      </w:r>
    </w:p>
    <w:p>
      <w:pPr>
        <w:pStyle w:val="FirstParagraph"/>
      </w:pPr>
      <w:r>
        <w:t xml:space="preserve">These findings, more surprising given the amount of variability able to be explained by variables at the youth level and the minimal relations, are discussed, followed by some reasons for why there are not more (and stronger) relations.</w:t>
      </w:r>
    </w:p>
    <w:p>
      <w:pPr>
        <w:pStyle w:val="BodyText"/>
      </w:pPr>
      <w:r>
        <w:t xml:space="preserve">First, the relations between youth characteristics and the profiles were found to be small and not as much in line with expectations given the preliminary analysis. These small relations were similar (in magnitude) to those between work with data and the profiles, but they were more surprising for a reason related to the sample for this study, namely, given the substantial variability at the youth level among the responses. This is described in detail in the discussion of the findings for research question #3.</w:t>
      </w:r>
    </w:p>
    <w:p>
      <w:pPr>
        <w:pStyle w:val="BodyText"/>
      </w:pPr>
      <w:r>
        <w:t xml:space="preserve">Findings for this question revealed that youth with higher pre-program interest were more likely to be</w:t>
      </w:r>
      <w:r>
        <w:t xml:space="preserve"> </w:t>
      </w:r>
      <w:r>
        <w:rPr>
          <w:i/>
        </w:rPr>
        <w:t xml:space="preserve">Engaged and competent but not challenged</w:t>
      </w:r>
      <w:r>
        <w:t xml:space="preserve">. This suggests that youth with higher interest in STEM are inclined to be highly engaged and good at what they are doing, but are not challenged by the activities they experience. This finding is in line with past research suggesting a relationship (direct or as a moderator) between youth characteristics (including interest) and their engagement (Shernoff et al., 2003; Shernoff et al., 2016; Strati et al., 2017). More specifically, this finding suggests that for youth who are particularly interested (and those who choose to attend) summer STEM programs, what they are involved in may not challenge them very highly. This finding has implications for past research that shows youth who choose to attend summer STEM programs are more engaged (but that does not speak to their degree of challenge; Beymer, Rosenberg, Schmidt, &amp; Naftzger, 2018).</w:t>
      </w:r>
    </w:p>
    <w:p>
      <w:pPr>
        <w:pStyle w:val="BodyText"/>
      </w:pPr>
      <w:r>
        <w:t xml:space="preserve">In terms of youths’ gender, the analysis for this question revealed that female youth who are engaged in work with data</w:t>
      </w:r>
      <w:r>
        <w:t xml:space="preserve"> </w:t>
      </w:r>
      <w:r>
        <w:rPr>
          <w:i/>
        </w:rPr>
        <w:t xml:space="preserve">may</w:t>
      </w:r>
      <w:r>
        <w:t xml:space="preserve"> </w:t>
      </w:r>
      <w:r>
        <w:t xml:space="preserve">be (note that this result was not statistically significant) more likely to be fully engaged. While this finding cannot be interpreted on the basis of the results from this study, given that past research has found that female students are less likely to be engaged in STEM classes (e.g., Patall et al., 2017), it suggests that this relationship between gender and youths’ engagement be considered further in follow-up studies. At present, we have limited information about what types of instruction may best support female students to be engaged and successful both in summer STEM and other settings.</w:t>
      </w:r>
    </w:p>
    <w:p>
      <w:pPr>
        <w:pStyle w:val="BodyText"/>
      </w:pPr>
      <w:r>
        <w:t xml:space="preserve">While the findings for this research question, like those for the relations between the aspects of work with data and youths’ engagement, they provide some information about how these characteristics relate to youths’ engagement. Finding that youth who are more interested prior to the beginning of the summer STEM programs are more likely to be working hard, learning something new, and enjoying what they are learning, and perceive themselves to be good at what they are doing but not challenged, is a meaningful finding. Moreover, the null findings suggest that other characteristics, including those measured but not included for this analysis (such as youths’ pre-program perceptions of their competence) as well as those not measured at all, may be considered in follow-up studies and in future research.</w:t>
      </w:r>
    </w:p>
    <w:p>
      <w:pPr>
        <w:pStyle w:val="Heading2"/>
      </w:pPr>
      <w:bookmarkStart w:id="76" w:name="limitations-of-the-study-and-recommendations-for-future-research"/>
      <w:bookmarkEnd w:id="76"/>
      <w:r>
        <w:t xml:space="preserve">Limitations of the Study and Recommendations for Future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et al.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It is possible that the somewhat minimal findings are, in part, a result of the analytic approach. A similar mixed effects modeling approach has only been used in one other study (Strati et al., 2017), and that approach did not use profiles (as in this study) as the outcome. In this study, little variability at the instructional episode level was found, and so minimal relations between factors at this (instructional episode) level and the profiles of engagement was expected. Might profiles, but not the variables used to create them, be less variable at the instructional episode level? One way to consider such an alternate explanation is to use the data used in this study as part of a correlational analysis, or another analysis that uses that variables used to create profiles of engagement but does not use the profiles themselves.</w:t>
      </w:r>
    </w:p>
    <w:p>
      <w:pPr>
        <w:pStyle w:val="BodyText"/>
      </w:pPr>
      <w:r>
        <w:t xml:space="preserve">A final limitation concerns the measures used for work with data. The dimensions of the STEM-PQA measure aligned closely with the aspects of work with data. But, there were some possible divergences that may have had an impact upon some of the findings. For example, for the interpreting and communicating findings code, the STEM-PQA codes for</w:t>
      </w:r>
      <w:r>
        <w:t xml:space="preserve"> </w:t>
      </w:r>
      <w:r>
        <w:rPr>
          <w:i/>
        </w:rPr>
        <w:t xml:space="preserve">Analyze</w:t>
      </w:r>
      <w:r>
        <w:t xml:space="preserve"> </w:t>
      </w:r>
      <w:r>
        <w:t xml:space="preserve">(</w:t>
      </w:r>
      <w:r>
        <w:t xml:space="preserve">“</w:t>
      </w:r>
      <w:r>
        <w:t xml:space="preserve">Staff support youth in analyzing data to draw conclusions</w:t>
      </w:r>
      <w:r>
        <w:t xml:space="preserve">”</w:t>
      </w:r>
      <w:r>
        <w:t xml:space="preserve">) and</w:t>
      </w:r>
      <w:r>
        <w:t xml:space="preserve"> </w:t>
      </w:r>
      <w:r>
        <w:rPr>
          <w:i/>
        </w:rPr>
        <w:t xml:space="preserve">Use symbols or models</w:t>
      </w:r>
      <w:r>
        <w:t xml:space="preserve"> </w:t>
      </w:r>
      <w:r>
        <w:t xml:space="preserve">(</w:t>
      </w:r>
      <w:r>
        <w:t xml:space="preserve">“</w:t>
      </w:r>
      <w:r>
        <w:t xml:space="preserve">Staff support youth in conveying STEM concepts through symbols, models, or other nonverbal language</w:t>
      </w:r>
      <w:r>
        <w:t xml:space="preserve">”</w:t>
      </w:r>
      <w:r>
        <w:t xml:space="preserv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use of coding for this aspect of work with data (and this aspect of science curricular standards in particular; see NGSS Lead States, 2013).</w:t>
      </w:r>
    </w:p>
    <w:p>
      <w:pPr>
        <w:pStyle w:val="BodyText"/>
      </w:pPr>
      <w:r>
        <w:t xml:space="preserve">As another example of this limitation, generating data was an aspect of work with data that the open-ended qualitative analysis revealed to be less associated with less systematic groups of practices, or themes, than the other aspects. The STEM-PQA codes corresponding to this aspect of work with data were</w:t>
      </w:r>
      <w:r>
        <w:t xml:space="preserve"> </w:t>
      </w:r>
      <w:r>
        <w:rPr>
          <w:i/>
        </w:rPr>
        <w:t xml:space="preserve">Collect data or measure</w:t>
      </w:r>
      <w:r>
        <w:t xml:space="preserve"> </w:t>
      </w:r>
      <w:r>
        <w:t xml:space="preserve">(</w:t>
      </w:r>
      <w:r>
        <w:t xml:space="preserve">“</w:t>
      </w:r>
      <w:r>
        <w:t xml:space="preserve">Staff support youth in collecting data or measuring</w:t>
      </w:r>
      <w:r>
        <w:t xml:space="preserve">”</w:t>
      </w:r>
      <w:r>
        <w:t xml:space="preserve">) and</w:t>
      </w:r>
      <w:r>
        <w:t xml:space="preserve"> </w:t>
      </w:r>
      <w:r>
        <w:rPr>
          <w:i/>
        </w:rPr>
        <w:t xml:space="preserve">Highlight precision and accuracy</w:t>
      </w:r>
      <w:r>
        <w:t xml:space="preserve"> </w:t>
      </w:r>
      <w:r>
        <w:t xml:space="preserve">(</w:t>
      </w:r>
      <w:r>
        <w:t xml:space="preserve">“</w:t>
      </w:r>
      <w:r>
        <w:t xml:space="preserve">Staff highlight value of precision and accuracy in measuring, observing, recording, or calculating</w:t>
      </w:r>
      <w:r>
        <w:t xml:space="preserve">”</w:t>
      </w:r>
      <w:r>
        <w:t xml:space="preserve">). Particularly in the case of the latter code, the emphasis on precision and accuracy may have been outside of activities focused on recording data or creating coding frames. Future research may consider a coding frame that is (even more) focused on generating data, though considerations of precision and accuracy are key aspects of doing so, and so perhaps separating the act of generating data from considerations that are important to keep in mind while doing it may be a promising direction for future research.</w:t>
      </w:r>
    </w:p>
    <w:p>
      <w:pPr>
        <w:pStyle w:val="BodyText"/>
      </w:pPr>
      <w:r>
        <w:t xml:space="preserve">While these divergences in measures were not large, they suggest that the coding frame for work with data is a limitation of the present study. McNeill and Berland (2017) describe a similar type of disagreement across science education settings: While a limitation, the coding frame did represent agreement across a range of studies across STEM contexts for the aspects of work with data, although I recognize that this coding frame may not distinguish the different ways in which work with data is enacted, as</w:t>
      </w:r>
      <w:r>
        <w:t xml:space="preserve"> </w:t>
      </w:r>
      <w:r>
        <w:t xml:space="preserve">revealed by the qualitative coding carried out in this study.</w:t>
      </w:r>
    </w:p>
    <w:p>
      <w:pPr>
        <w:pStyle w:val="Heading2"/>
      </w:pPr>
      <w:bookmarkStart w:id="77" w:name="implications-for-practice"/>
      <w:bookmarkEnd w:id="77"/>
      <w:r>
        <w:t xml:space="preserve">Implications for Practice</w:t>
      </w:r>
    </w:p>
    <w:p>
      <w:pPr>
        <w:pStyle w:val="FirstParagraph"/>
      </w:pPr>
      <w:r>
        <w:t xml:space="preserve">Two key implications related to engaging youth in generating and modeling data and including other practices to the extent that they involve youth in generating and modeling are discussed. While this is somewhat limited evidence, this study suggests that</w:t>
      </w:r>
      <w:r>
        <w:t xml:space="preserve"> </w:t>
      </w:r>
      <w:r>
        <w:rPr>
          <w:i/>
        </w:rPr>
        <w:t xml:space="preserve">generating data</w:t>
      </w:r>
      <w:r>
        <w:t xml:space="preserve"> </w:t>
      </w:r>
      <w:r>
        <w:t xml:space="preserve">and</w:t>
      </w:r>
      <w:r>
        <w:t xml:space="preserve"> </w:t>
      </w:r>
      <w:r>
        <w:rPr>
          <w:i/>
        </w:rPr>
        <w:t xml:space="preserve">modeling data</w:t>
      </w:r>
      <w:r>
        <w:t xml:space="preserve"> </w:t>
      </w:r>
      <w:r>
        <w:t xml:space="preserve">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youth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youth and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2"/>
      </w:pPr>
      <w:bookmarkStart w:id="78" w:name="implications-for-the-development-of-open-source-tool"/>
      <w:bookmarkEnd w:id="78"/>
      <w:r>
        <w:t xml:space="preserve">Implications for the development of open source tool</w:t>
      </w:r>
    </w:p>
    <w:p>
      <w:pPr>
        <w:pStyle w:val="FirstParagraph"/>
      </w:pPr>
      <w:r>
        <w:t xml:space="preserve">A final note concerns how the modeling was carried out. Because LPA is an exploratory approach, it requires a blend of exploring the data while also systematically taking account of how the solutions change while different solutions are explored. Because of the challenge of doing this, I developed an open-source tool that made it easier to work toward the aim of systematically exploring the data. Other educational researchers may consider the utility of such development efforts, though such efforts are not a regular part of the products created in the course of most educational research. Such development work by educational researchers may even inform the type of activities youth do when working with data: While a STEM content area, programming and computer science-related activities were not emphasized as much as those related to science, mathematics, and engineering.</w:t>
      </w:r>
    </w:p>
    <w:p>
      <w:pPr>
        <w:pStyle w:val="Heading2"/>
      </w:pPr>
      <w:bookmarkStart w:id="79" w:name="conclusion"/>
      <w:bookmarkEnd w:id="79"/>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aspects of work with data learners are involved in with respect to work with data, or specific conceptual outcomes from working with data,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were identified, representing different configurations of engagement. Relations of work with data and youth characteristics (pre-program interest in STEM and youths’ gender and status in terms of being a member of under-represented groups in STEM) were, overall, not strongly related with the profiles of engagement, though some key findings were identified. Generating and modeling data were both related to the most potentially beneficial profile, one characterized by high levels of all five of the variables used to create the profiles. Female youth who were involved in work with data (at the instructional episode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80" w:name="references"/>
      <w:bookmarkEnd w:id="80"/>
      <w:r>
        <w:t xml:space="preserve">References</w:t>
      </w:r>
    </w:p>
    <w:p>
      <w:pPr>
        <w:pStyle w:val="FirstParagraph"/>
      </w:pPr>
      <w:r>
        <w:t xml:space="preserve"> </w:t>
      </w:r>
      <w:r>
        <w:t xml:space="preserve"> </w:t>
      </w:r>
      <w:r>
        <w:t xml:space="preserve"> </w:t>
      </w:r>
    </w:p>
    <w:p>
      <w:pPr>
        <w:pStyle w:val="BodyText"/>
      </w:pPr>
      <w:r>
        <w:t xml:space="preserve">Akiva, T. (2005). Turning training into results: The new youth program quality assessment. High/Scope Resource, 24(2), 21-24.</w:t>
      </w:r>
    </w:p>
    <w:p>
      <w:pPr>
        <w:pStyle w:val="BodyText"/>
      </w:pPr>
      <w:r>
        <w:t xml:space="preserve">Bergman, L. R., &amp; Magnusson, D. (1997). A person-oriented approach in research on developmental psychopathology. Development and psychopathology, 9(2), 291-319.</w:t>
      </w:r>
    </w:p>
    <w:p>
      <w:pPr>
        <w:pStyle w:val="BodyText"/>
      </w:pPr>
      <w:r>
        <w:t xml:space="preserve">Bergman, L. R., Magnusson, D., &amp; El Khouri, B. M. (2003). Studying individual development in an interindividual context: A person-oriented approach. Psychology Press.</w:t>
      </w:r>
    </w:p>
    <w:p>
      <w:pPr>
        <w:pStyle w:val="BodyText"/>
      </w:pPr>
      <w:r>
        <w:t xml:space="preserve">Berland, L. K., Schwarz, C. V., Krist, C., Kenyon, L., Lo, A. S., &amp; Reiser, B. J. (2016). Epistemologies in practice: Making scientific practices meaningful for students. Journal of Research in Science Teaching, 53(7), 1082-1112.</w:t>
      </w:r>
    </w:p>
    <w:p>
      <w:pPr>
        <w:pStyle w:val="BodyText"/>
      </w:pPr>
      <w:r>
        <w:t xml:space="preserve">Bielik, T., &amp; Yarden, A. (2016). Promoting the asking of research questions in a high-school biotechnology inquiry-oriented program. International Journal of STEM Education, 3(1), 15.</w:t>
      </w:r>
    </w:p>
    <w:p>
      <w:pPr>
        <w:pStyle w:val="BodyText"/>
      </w:pPr>
      <w:r>
        <w:t xml:space="preserve">Breckenridge, J. N. (2000). Validating cluster analysis: Consistent replication and symmetry. Multivariate Behavioral Research, 35(2), 261-285.</w:t>
      </w:r>
    </w:p>
    <w:p>
      <w:pPr>
        <w:pStyle w:val="BodyText"/>
      </w:pPr>
      <w:r>
        <w:t xml:space="preserve">Bystydzienski, J. M., Eisenhart, M., &amp; Bruning, M. (2015). High school is not too late: Developing girls’ interest and engagement in engineering careers. Career Development Quarterly, 63(1), 88–95.</w:t>
      </w:r>
      <w:r>
        <w:t xml:space="preserve"> </w:t>
      </w:r>
      <w:hyperlink r:id="rId81">
        <w:r>
          <w:rPr>
            <w:rStyle w:val="Hyperlink"/>
          </w:rPr>
          <w:t xml:space="preserve">http://doi.org/10.1002/j.2161-0045.2015.00097.x</w:t>
        </w:r>
      </w:hyperlink>
    </w:p>
    <w:p>
      <w:pPr>
        <w:pStyle w:val="BodyText"/>
      </w:pPr>
      <w:r>
        <w:t xml:space="preserve">Cohen, J. (1992). A power primer. Psychological Bulletin, 112(1), 155.</w:t>
      </w:r>
    </w:p>
    <w:p>
      <w:pPr>
        <w:pStyle w:val="BodyText"/>
      </w:pP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p>
    <w:p>
      <w:pPr>
        <w:pStyle w:val="BodyText"/>
      </w:pPr>
      <w:r>
        <w:t xml:space="preserve">Corpus, J. H., &amp; Wormington, S. V. (2014). Profiles of intrinsic and extrinsic motivations in elementary school: A longitudinal analysis. The Journal of Experimental Education, 82(4), 480-501.</w:t>
      </w:r>
    </w:p>
    <w:p>
      <w:pPr>
        <w:pStyle w:val="BodyText"/>
      </w:pPr>
      <w:r>
        <w:t xml:space="preserve">Csikszentmihalyi, M. (1990). Flow: The psychology of optimal performance. Cambridge, England: Cambridge University Press.</w:t>
      </w:r>
    </w:p>
    <w:p>
      <w:pPr>
        <w:pStyle w:val="BodyText"/>
      </w:pPr>
      <w:r>
        <w:t xml:space="preserve">Csikszentmihalyi, M. (1997). Finding flow: The psychology of engagement with everyday life. New York, NY: Basic Books.</w:t>
      </w:r>
    </w:p>
    <w:p>
      <w:pPr>
        <w:pStyle w:val="BodyText"/>
      </w:pPr>
      <w:r>
        <w:t xml:space="preserve">Creswell, J. W., Plano Clark, V. L., Gutmann, M. L., &amp; Hanson, W. E. (2003). Advanced mixed methods research designs. In A. Tashakkori &amp; C. Teddlie (Eds.), Handbook of mixed methods in social and behavioral research (pp. 209–240). Thousand Oaks, CA: Sage.</w:t>
      </w:r>
    </w:p>
    <w:p>
      <w:pPr>
        <w:pStyle w:val="BodyText"/>
      </w:pPr>
      <w:r>
        <w:t xml:space="preserve">English, L. D. (2012). Data modelling with first-grade students. Educational Studies in Mathematics, 81(1), 15-30.</w:t>
      </w:r>
    </w:p>
    <w:p>
      <w:pPr>
        <w:pStyle w:val="BodyText"/>
      </w:pP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p>
    <w:p>
      <w:pPr>
        <w:pStyle w:val="BodyText"/>
      </w:pP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82">
        <w:r>
          <w:rPr>
            <w:rStyle w:val="Hyperlink"/>
          </w:rPr>
          <w:t xml:space="preserve">https://doi.org/10.1007/978-1-4614-2018-7_37</w:t>
        </w:r>
      </w:hyperlink>
    </w:p>
    <w:p>
      <w:pPr>
        <w:pStyle w:val="BodyText"/>
      </w:pPr>
      <w:r>
        <w:t xml:space="preserve">Fredricks, J. A., Blumenfeld, P. C., &amp; Paris, A. H. (2004). School engagement: Potential of the concept, state of the evidence. Review of Educational Research, 74(1), 59-109.</w:t>
      </w:r>
    </w:p>
    <w:p>
      <w:pPr>
        <w:pStyle w:val="BodyText"/>
      </w:pPr>
      <w:r>
        <w:t xml:space="preserve">Fredricks, J. A., Filsecker, M., &amp; Lawson, M. A. (2016). Student engagement, context, and adjustment: Addressing definitional, measurement, and methodological issues. Learning &amp; Instruction, 43, 1-4.</w:t>
      </w:r>
    </w:p>
    <w:p>
      <w:pPr>
        <w:pStyle w:val="BodyText"/>
      </w:pPr>
      <w:r>
        <w:t xml:space="preserve">Gelman, S. A., &amp; Markman, E. M. (1987). Young children’s inductions from natural kinds: The role of categories and appearances. Child Development, 58(6), 1532-1541.</w:t>
      </w:r>
    </w:p>
    <w:p>
      <w:pPr>
        <w:pStyle w:val="BodyText"/>
      </w:pPr>
      <w:r>
        <w:t xml:space="preserve">Gopnik, A., &amp; Sobel, D. M. (2000). Detecting blickets: How young children use information about novel causal powers in categorization and induction. Child Development, 71(5), 1205-1222.</w:t>
      </w:r>
    </w:p>
    <w:p>
      <w:pPr>
        <w:pStyle w:val="BodyText"/>
      </w:pPr>
      <w:r>
        <w:t xml:space="preserve">Gopnik, A., Sobel, D. M., Schulz, L. E., &amp; Glymour, C. (2001). Causal learning mechanisms in very young children: two-, three-, and four-year-olds infer causal relations from patterns of variation and covariation. Developmental Psychology, 37(5), 620.</w:t>
      </w:r>
    </w:p>
    <w:p>
      <w:pPr>
        <w:pStyle w:val="BodyText"/>
      </w:pPr>
      <w:r>
        <w:t xml:space="preserve">Greene, B. A. (2015). Measuring cognitive engagement with self-report scales: Reflections from over 20 years of research. Educational Psychologist, 50(1), 14-30.</w:t>
      </w:r>
    </w:p>
    <w:p>
      <w:pPr>
        <w:pStyle w:val="BodyText"/>
      </w:pPr>
      <w:r>
        <w:t xml:space="preserve">Greene, K. M., Lee, B., Constance, N., &amp; Hynes, K. (2013). Examining youth and program predictors of engagement in out-of-school time programs. Journal of Youth and Adolescence, 42(10), 1557-1572.</w:t>
      </w:r>
    </w:p>
    <w:p>
      <w:pPr>
        <w:pStyle w:val="BodyText"/>
      </w:pPr>
      <w:r>
        <w:t xml:space="preserve">Hancock, C., Kaput, J. J., &amp; Goldsmith, L. T. (1992). Authentic inquiry with data: Critical barriers to classroom implementation. Educational Psychologist, 27(3), 337-364.</w:t>
      </w:r>
    </w:p>
    <w:p>
      <w:pPr>
        <w:pStyle w:val="BodyText"/>
      </w:pPr>
      <w:r>
        <w:t xml:space="preserve">Harring, J. R., &amp; Hodis, F. A. (2016). Mixture modeling: Applications in educational psychology. Educational Psychologist, 51(3-4), 354-367.</w:t>
      </w:r>
    </w:p>
    <w:p>
      <w:pPr>
        <w:pStyle w:val="BodyText"/>
      </w:pPr>
      <w:r>
        <w:t xml:space="preserve">Hasson, E., &amp; Yarden, A. (2012). Separating the research question from the laboratory techniques: Advancing high‐school biology teachers’ ability to ask research questions. Journal of Research in Science Teaching, 49(10), 1296-1320.</w:t>
      </w:r>
    </w:p>
    <w:p>
      <w:pPr>
        <w:pStyle w:val="BodyText"/>
      </w:pPr>
      <w:r>
        <w:t xml:space="preserve">Hayenga, A. O., &amp; Corpus, J. H. (2010). Profiles of intrinsic and extrinsic motivations: A person-centered approach to motivation and achievement in middle school. Motivation and Emotion, 34(4), 371-383.</w:t>
      </w:r>
    </w:p>
    <w:p>
      <w:pPr>
        <w:pStyle w:val="BodyText"/>
      </w:pPr>
      <w:r>
        <w:t xml:space="preserve">Hektner, J. M., Schmidt, J. A., &amp; Csikszentmihalyi, M. (2007). Experience sampling method: Measuring the quality of everyday life. Sage.</w:t>
      </w:r>
    </w:p>
    <w:p>
      <w:pPr>
        <w:pStyle w:val="BodyText"/>
      </w:pPr>
      <w:r>
        <w:t xml:space="preserve">Jahnukainen, M. (2010). Extreme cases. Encyclopedia of Case Study Research. Thousand Oaks, CA: Sage.</w:t>
      </w:r>
    </w:p>
    <w:p>
      <w:pPr>
        <w:pStyle w:val="BodyText"/>
      </w:pPr>
      <w:r>
        <w:t xml:space="preserve">Konold, C., &amp; Pollatsek, A. (2002). Data analysis as the search for signals in noisy processes. Journal for Research in Mathematics Education, 33(4), 259-289.</w:t>
      </w:r>
    </w:p>
    <w:p>
      <w:pPr>
        <w:pStyle w:val="BodyText"/>
      </w:pPr>
      <w:r>
        <w:t xml:space="preserve">Lauer, P. A., Akiba, M., Wilkerson, S. B., Apthorp, H. S., Snow, D., &amp; Martin-Glenn, M. L. (2006). Out-of-school-time programs: A meta-analysis of effects for at-risk students. Review of educational research, 76(2), 275-313.</w:t>
      </w:r>
    </w:p>
    <w:p>
      <w:pPr>
        <w:pStyle w:val="BodyText"/>
      </w:pPr>
      <w:r>
        <w:t xml:space="preserve">Lee, H. S., Angotti, R. L., &amp; Tarr, J. E. (2010). Making comparisons between observed data and expected outcomes: students’ informal hypothesis testing with probability simulation tools. Statistics Education Research Journal, 9(1), 68-96.</w:t>
      </w:r>
    </w:p>
    <w:p>
      <w:pPr>
        <w:pStyle w:val="BodyText"/>
      </w:pPr>
      <w:r>
        <w:t xml:space="preserve">Lee, H., &amp; Hollebrands, K. (2008). Preparing to teach mathematics with technology: An integrated approach to developing technological pedagogical content knowledge. Contemporary Issues in Technology and Teacher Education, 8(4), 326-341.</w:t>
      </w:r>
    </w:p>
    <w:p>
      <w:pPr>
        <w:pStyle w:val="BodyText"/>
      </w:pPr>
      <w:r>
        <w:t xml:space="preserve">Lehrer, R., &amp; Romberg, T. (1996). Exploring children’s data modeling. Cognition and Instruction, 14(1), 69-108.</w:t>
      </w:r>
    </w:p>
    <w:p>
      <w:pPr>
        <w:pStyle w:val="BodyText"/>
      </w:pPr>
      <w:r>
        <w:t xml:space="preserve">Lehrer, R., &amp; Schauble, L. (2004). Modeling natural variation through distribution. American Educational Research Journal, 41(3), 635-679.</w:t>
      </w:r>
    </w:p>
    <w:p>
      <w:pPr>
        <w:pStyle w:val="BodyText"/>
      </w:pPr>
      <w:r>
        <w:t xml:space="preserve">Lehrer, R. &amp; Schauble, L. (2015). Developing scientific thinking. In L. S. Liben &amp; U. Müller (Eds.), Cognitive processes. Handbook of child psychology and developmental science (Vol. 2, 7th ed., pp. 671-174). Hoboken, NJ: Wiley.</w:t>
      </w:r>
    </w:p>
    <w:p>
      <w:pPr>
        <w:pStyle w:val="BodyText"/>
      </w:pPr>
      <w:r>
        <w:t xml:space="preserve">Lehrer, R., Kim, M. J., &amp; Jones, R. S. (2011). Developing conceptions of statistics by designing measures of distribution. ZDM, 43(5), 723-736.</w:t>
      </w:r>
    </w:p>
    <w:p>
      <w:pPr>
        <w:pStyle w:val="BodyText"/>
      </w:pPr>
      <w:r>
        <w:t xml:space="preserve">Lehrer, R., Kim, M. J., &amp; Schauble, L. (2007). Supporting the development of conceptions of statistics by engaging students in measuring and modeling variability. International Journal of Computers for Mathematical Learning, 12(3), 195-216.</w:t>
      </w:r>
    </w:p>
    <w:p>
      <w:pPr>
        <w:pStyle w:val="BodyText"/>
      </w:pPr>
      <w:r>
        <w:t xml:space="preserve">Lesh, R., Middleton, J. A., Caylor, E., &amp; Gupta, S. (2008). A science need: Designing tasks to engage students in modeling complex data. Educational Studies in Mathematics, 68(2), 113-130.</w:t>
      </w:r>
    </w:p>
    <w:p>
      <w:pPr>
        <w:pStyle w:val="BodyText"/>
      </w:pPr>
      <w:r>
        <w:t xml:space="preserve">Linnansaari, J., Viljaranta, J., Lavonen, J., Schneider, B., &amp; Salmela-Aro, K. (2015). Finnish Students Engagement in Science Lessons. NorDiNa: Nordic Studies in Science Education, 11(2), 192-206. Retrieved from</w:t>
      </w:r>
      <w:r>
        <w:t xml:space="preserve"> </w:t>
      </w:r>
      <w:hyperlink r:id="rId83">
        <w:r>
          <w:rPr>
            <w:rStyle w:val="Hyperlink"/>
          </w:rPr>
          <w:t xml:space="preserve">https://www.journals.uio.no/index.php/nordina/article/view/2047</w:t>
        </w:r>
      </w:hyperlink>
    </w:p>
    <w:p>
      <w:pPr>
        <w:pStyle w:val="BodyText"/>
      </w:pPr>
      <w:r>
        <w:t xml:space="preserve">Lovett, M. C., &amp; Shah, P. (2007). Preface. In M. C. Lovett &amp; P. Shah (Eds.), Thinking with data (pp. x-xx [requested book through ILL to confirm page #s]). New York, NY: Lawrence Erlbaum.</w:t>
      </w:r>
    </w:p>
    <w:p>
      <w:pPr>
        <w:pStyle w:val="BodyText"/>
      </w:pPr>
      <w:r>
        <w:t xml:space="preserve">Magnusson, D., &amp; Cairns, R. B. (1996). Developmental science: Toward a unified framework. Cambridge, England: Cambridge University Press.</w:t>
      </w:r>
    </w:p>
    <w:p>
      <w:pPr>
        <w:pStyle w:val="BodyText"/>
      </w:pPr>
      <w:r>
        <w:t xml:space="preserve">McNeill, K. L., &amp; Berland, L. (2017). What is (or should be) scientific evidence use in k‐12 classrooms? Journal of Research in Science Teaching, 54(5), 672-689.</w:t>
      </w:r>
    </w:p>
    <w:p>
      <w:pPr>
        <w:pStyle w:val="BodyText"/>
      </w:pPr>
      <w:r>
        <w:t xml:space="preserve">Muthén, B. (2004). Latent variable analysis. The Sage handbook of quantitative methodology for the social sciences. Thousand Oaks, CA: Sage Publications, 345-68.</w:t>
      </w:r>
    </w:p>
    <w:p>
      <w:pPr>
        <w:pStyle w:val="BodyText"/>
      </w:pPr>
      <w:r>
        <w:t xml:space="preserve">Muthén, L. K., &amp; Muthén, B. O. (1997-2017). Mplus User’s Guide. Los Angeles, CA: Muthén &amp; Muthén.</w:t>
      </w:r>
    </w:p>
    <w:p>
      <w:pPr>
        <w:pStyle w:val="BodyText"/>
      </w:pPr>
      <w:r>
        <w:t xml:space="preserve">NGSS Lead States. (2013). Next generation science standards: For states, by states. Washington, DC: National Academies Press.</w:t>
      </w:r>
    </w:p>
    <w:p>
      <w:pPr>
        <w:pStyle w:val="BodyText"/>
      </w:pP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p>
    <w:p>
      <w:pPr>
        <w:pStyle w:val="BodyText"/>
      </w:pP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84">
        <w:r>
          <w:rPr>
            <w:rStyle w:val="Hyperlink"/>
          </w:rPr>
          <w:t xml:space="preserve">http://dx.doi.org/10.1037/edu0000214</w:t>
        </w:r>
      </w:hyperlink>
    </w:p>
    <w:p>
      <w:pPr>
        <w:pStyle w:val="BodyText"/>
      </w:pPr>
      <w:r>
        <w:t xml:space="preserve">Pekrun, R., &amp; Linnenbrink-Garcia, L. (2012). Academic emotions and student engagement. In S. L. Christenson, A. L. Reschly, &amp; C. Wylie (Eds.), Handbook of research on student engagement (pp. 259-292). New York, NY: Springer.</w:t>
      </w:r>
    </w:p>
    <w:p>
      <w:pPr>
        <w:pStyle w:val="BodyText"/>
      </w:pPr>
      <w:r>
        <w:t xml:space="preserve">Petrosino, A., Lehrer, R., &amp; Schauble, L. (2003). Structuring error and experimental variation as distribution in the fourth grade. Mathematical Thinking and Learning, 5 (2&amp;3), 131-156.</w:t>
      </w:r>
    </w:p>
    <w:p>
      <w:pPr>
        <w:pStyle w:val="BodyText"/>
      </w:pP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85">
        <w:r>
          <w:rPr>
            <w:rStyle w:val="Hyperlink"/>
          </w:rPr>
          <w:t xml:space="preserve">http://dx.doi.org/10.1016/j.learninstruc.2017.07.007</w:t>
        </w:r>
      </w:hyperlink>
    </w:p>
    <w:p>
      <w:pPr>
        <w:pStyle w:val="BodyText"/>
      </w:pPr>
      <w:r>
        <w:t xml:space="preserve">Rosenberg, J. M. (2018). Comparing mplus and mclust output. Retrieved from</w:t>
      </w:r>
      <w:r>
        <w:t xml:space="preserve"> </w:t>
      </w:r>
      <w:hyperlink r:id="rId86">
        <w:r>
          <w:rPr>
            <w:rStyle w:val="Hyperlink"/>
          </w:rPr>
          <w:t xml:space="preserve">https://jrosen48.github.io/r-markdown/comparing-mplus-mclust.html</w:t>
        </w:r>
      </w:hyperlink>
    </w:p>
    <w:p>
      <w:pPr>
        <w:pStyle w:val="BodyText"/>
      </w:pPr>
      <w:r>
        <w:t xml:space="preserve">Salmela-Aro, K., Moeller, J., Schneider, B., Spicer, J., &amp; Lavonen, J. (2016). Integrating the light and dark sides of student engagement using person-oriented and situation-specific approaches. Learning and Instruction, 43, 61-70.</w:t>
      </w:r>
    </w:p>
    <w:p>
      <w:pPr>
        <w:pStyle w:val="BodyText"/>
      </w:pPr>
      <w:r>
        <w:t xml:space="preserve">Salmela-Aro, K., Muotka, J., Alho, K., Hakkarainen, K., &amp; Lonka, K. (2016). School burnout and engagement profiles among digital natives in Finland: A person-oriented approach. European Journal of Developmental Psychology, 13(6), 704-718.</w:t>
      </w:r>
    </w:p>
    <w:p>
      <w:pPr>
        <w:pStyle w:val="BodyText"/>
      </w:pPr>
      <w:r>
        <w:t xml:space="preserve">Schneider, B., Krajcik, J., Lavonen, J., Salmela‐Aro, K., Broda, M., Spicer, J., … &amp; Viljaranta, J. (2016). Investigating optimal learning moments in US and Finnish science classes. Journal of Research in Science Teaching, 53(3), 400-421.</w:t>
      </w:r>
    </w:p>
    <w:p>
      <w:pPr>
        <w:pStyle w:val="BodyText"/>
      </w:pPr>
      <w:r>
        <w:t xml:space="preserve">Schmidt, J. A., Rosenberg, J. M., Beymer, P. (advance online publication). A person-in-context approach to student engagement in science: Examining learning activities and choice. Journal of Research in Science Teaching.</w:t>
      </w:r>
      <w:r>
        <w:t xml:space="preserve"> </w:t>
      </w:r>
      <w:hyperlink r:id="rId87">
        <w:r>
          <w:rPr>
            <w:rStyle w:val="Hyperlink"/>
          </w:rPr>
          <w:t xml:space="preserve">https://dx.doi.org/10.1002/tea.21409</w:t>
        </w:r>
      </w:hyperlink>
    </w:p>
    <w:p>
      <w:pPr>
        <w:pStyle w:val="BodyText"/>
      </w:pPr>
      <w:r>
        <w:t xml:space="preserve">Schwarz, N., Kahneman, D., &amp; Xu, J. (2009). Global and episodic reports of hedonic experience. In R. Belli, D. Alwen, &amp; F. Stafford (Eds.), Using calendar and diary methods in life events research (pp. 157-174). Newbury Park, CA: Sage.</w:t>
      </w:r>
    </w:p>
    <w:p>
      <w:pPr>
        <w:pStyle w:val="BodyText"/>
      </w:pPr>
      <w:r>
        <w:t xml:space="preserve">Sfard, A. (1998). On two metaphors for learning and the dangers of choosing just one. Educational Researcher, 27(2), 4-13.</w:t>
      </w:r>
    </w:p>
    <w:p>
      <w:pPr>
        <w:pStyle w:val="BodyText"/>
      </w:pPr>
      <w:r>
        <w:t xml:space="preserve">Shernoff, D. J., Csikszentmihalyi, M., Schneider, B., &amp; Shernoff, E. S. (2003). Student engagement in high school classrooms from the perspective of flow theory. School Psychology Quarterly, 18(2), 158-176.</w:t>
      </w:r>
    </w:p>
    <w:p>
      <w:pPr>
        <w:pStyle w:val="BodyText"/>
      </w:pP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p>
    <w:p>
      <w:pPr>
        <w:pStyle w:val="BodyText"/>
      </w:pPr>
      <w:r>
        <w:t xml:space="preserve">Sinatra, G. M., Heddy, B. C., &amp; Lombardi, D. (2015). The challenges of defining and measuring student engagement in science. Educational Psychologist, 50(1), 1-13.</w:t>
      </w:r>
      <w:r>
        <w:t xml:space="preserve"> </w:t>
      </w:r>
      <w:hyperlink r:id="rId88">
        <w:r>
          <w:rPr>
            <w:rStyle w:val="Hyperlink"/>
          </w:rPr>
          <w:t xml:space="preserve">doi:10.1080/00461520.2014.1002924</w:t>
        </w:r>
      </w:hyperlink>
    </w:p>
    <w:p>
      <w:pPr>
        <w:pStyle w:val="BodyText"/>
      </w:pPr>
      <w:r>
        <w:t xml:space="preserve">Singh, K., Granville, M., &amp; Dika, S. (2002). Mathematics and science achievement: Effects of motivation, interest, and academic engagement. The Journal of Educational Research, 95(6), 323-332.</w:t>
      </w:r>
    </w:p>
    <w:p>
      <w:pPr>
        <w:pStyle w:val="BodyText"/>
      </w:pPr>
      <w:r>
        <w:t xml:space="preserve">Shernoff, D. J., &amp; Schmidt, J. A. (2008). Further Evidence of an Engagement–Achievement Paradox Among U.S. High School Students. Journal of Youth and Adolescence, 37(5), 564–580.</w:t>
      </w:r>
      <w:r>
        <w:t xml:space="preserve"> </w:t>
      </w:r>
      <w:hyperlink r:id="rId89">
        <w:r>
          <w:rPr>
            <w:rStyle w:val="Hyperlink"/>
          </w:rPr>
          <w:t xml:space="preserve">http://doi.org/10.1007/s10964-007-9241-z</w:t>
        </w:r>
      </w:hyperlink>
    </w:p>
    <w:p>
      <w:pPr>
        <w:pStyle w:val="BodyText"/>
      </w:pPr>
      <w:r>
        <w:t xml:space="preserve">Shumow, L., Schmidt, J. A., &amp; Zaleski, D. J. (2013). Multiple perspectives on student learning, engagement, and motivation in high school biology labs. The High School Journal, 96(3), 232-252.</w:t>
      </w:r>
    </w:p>
    <w:p>
      <w:pPr>
        <w:pStyle w:val="BodyText"/>
      </w:pPr>
      <w:r>
        <w:t xml:space="preserve">Skinner, E. A., &amp; Pitzer, J. (2012). Developmental dynamics of engagement, coping, and everyday resilience. In S. Christenson, A. Reschly, &amp; C. Wylie (Eds.), Handbook of Research on Student Engagement (pp. 21-45). New York: Springer Science.</w:t>
      </w:r>
    </w:p>
    <w:p>
      <w:pPr>
        <w:pStyle w:val="BodyText"/>
      </w:pP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p>
    <w:p>
      <w:pPr>
        <w:pStyle w:val="BodyText"/>
      </w:pPr>
      <w:r>
        <w:t xml:space="preserve">Skinner, E., Furrer, C., Marchand, G., &amp; Kindermann, T. (2008). Engagement and disaffection in the classroom: Part of a larger motivational dynamic? Journal of Educational Psychology, 100(4), 765.</w:t>
      </w:r>
    </w:p>
    <w:p>
      <w:pPr>
        <w:pStyle w:val="BodyText"/>
      </w:pPr>
      <w:r>
        <w:t xml:space="preserve">Smith, C., Akiva, T., Sugar, S., Lo, Y. J., Frank, K. A., Peck, S. C., Cortina, K. S., &amp; Devaney, T. (2012).Continuous quality improvement in afterschool settings: Impact findings from the Youth Program Quality Intervention study. Washington, DC: The Forum for Youth Investment.</w:t>
      </w:r>
    </w:p>
    <w:p>
      <w:pPr>
        <w:pStyle w:val="BodyText"/>
      </w:pPr>
      <w:r>
        <w:t xml:space="preserve">Steinley, D., &amp; Brusco, M. J. (2011). Evaluating mixture modeling for clustering: recommendations and cautions. Psychological Methods, 16(1), 63.</w:t>
      </w:r>
    </w:p>
    <w:p>
      <w:pPr>
        <w:pStyle w:val="BodyText"/>
      </w:pPr>
      <w:r>
        <w:t xml:space="preserve">Stohl, H., &amp; Tarr, J. E. (2002). Developing notions of inference using probability simulation tools. The Journal of Mathematical Behavior, 21(3), 319-337.</w:t>
      </w:r>
    </w:p>
    <w:p>
      <w:pPr>
        <w:pStyle w:val="BodyText"/>
      </w:pPr>
      <w:r>
        <w:t xml:space="preserve">Stroupe, D. (2014). Examining classroom science practice communities: How teachers and students negotiate epistemic agency and learn science‐as‐practice. Science Education, 98(3), 487-516.</w:t>
      </w:r>
    </w:p>
    <w:p>
      <w:pPr>
        <w:pStyle w:val="BodyText"/>
      </w:pPr>
      <w:r>
        <w:t xml:space="preserve">Strati, A. D., Schmidt, J. A., &amp; Maier, K. S. (2017). Perceived challenge, teacher support, and teacher obstruction as predictors of student engagement. Journal of Educational Psychology, 109(1), 131-147.</w:t>
      </w:r>
    </w:p>
    <w:p>
      <w:pPr>
        <w:pStyle w:val="BodyText"/>
      </w:pPr>
      <w:r>
        <w:t xml:space="preserve">Trevors, G. J., Kendeou, P., Bråten, I., &amp; Braasch, J. L. (2017). Adolescents’ epistemic profiles in the service of knowledge revision. Contemporary Educational Psychology, 49, 107-120.</w:t>
      </w:r>
    </w:p>
    <w:p>
      <w:pPr>
        <w:pStyle w:val="BodyText"/>
      </w:pPr>
      <w:r>
        <w:t xml:space="preserve">Turner, J. C., &amp; Meyer, D. K. (2000). Studying and understanding the instructional contexts of classrooms: Using our past to forge our future. Educational Psychologist, 35(2), 69-85.</w:t>
      </w:r>
    </w:p>
    <w:p>
      <w:pPr>
        <w:pStyle w:val="BodyText"/>
      </w:pPr>
      <w:r>
        <w:t xml:space="preserve">van Rooij, E. C., Jansen, E. P., &amp; van de Grift, W. J. (2017). Secondary school students’ engagement profiles and their relationship with academic adjustment and achievement in university. Learning and Individual Differences, 54, 9-19.</w:t>
      </w:r>
    </w:p>
    <w:p>
      <w:pPr>
        <w:pStyle w:val="BodyText"/>
      </w:pP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90">
        <w:r>
          <w:rPr>
            <w:rStyle w:val="Hyperlink"/>
          </w:rPr>
          <w:t xml:space="preserve">http://faculty.sites.uci.edu/childcare/files/2013/07/SL-Outcomes-2011-Pilot_Edited_8.19.pdf</w:t>
        </w:r>
      </w:hyperlink>
    </w:p>
    <w:p>
      <w:pPr>
        <w:pStyle w:val="BodyText"/>
      </w:pPr>
      <w:r>
        <w:t xml:space="preserve">Wang, M. T., &amp; Eccles, J. S. (2012). Social support matters: Longitudinal effects of social support on three dimensions of school engagement from middle to high school. Child Development, 83(3), 877-895.</w:t>
      </w:r>
    </w:p>
    <w:p>
      <w:pPr>
        <w:pStyle w:val="BodyText"/>
      </w:pPr>
      <w:r>
        <w:t xml:space="preserve">Wang, M. T., &amp; Holcombe, R. (2010). Adolescents’ perceptions of school environment, engagement, and academic achievement in middle school. American Educational Research Journal, 47(3), 633-662.</w:t>
      </w:r>
    </w:p>
    <w:p>
      <w:pPr>
        <w:pStyle w:val="BodyText"/>
      </w:pPr>
      <w:r>
        <w:t xml:space="preserve">Westfall, J., Kenny, D. A., &amp; Judd, C. M. (2014). Statistical power and optimal design in experiments in which samples of participants respond to samples of stimuli. Journal of Experimental Psychology: General, 143(5), 2020-2045.</w:t>
      </w:r>
    </w:p>
    <w:p>
      <w:pPr>
        <w:pStyle w:val="BodyText"/>
      </w:pPr>
      <w:r>
        <w:t xml:space="preserve">Wild, C. J., &amp; Pfannkuch, M. (1999). Statistical thinking in empirical enquiry. International Statistical Review, 67(3), 223-248.</w:t>
      </w:r>
    </w:p>
    <w:p>
      <w:pPr>
        <w:pStyle w:val="BodyText"/>
      </w:pPr>
      <w:r>
        <w:t xml:space="preserve">Wilkerson, M. H., Andrews, C., Shaban, Y., Laina, V., &amp; Gravel, B. E. (2016). What’s the technology for? Teacher attention and pedagogical goals in a modeling-focused professional development workshop. Journal of Science Teacher Education, 27(1), 11-33.</w:t>
      </w:r>
    </w:p>
    <w:p>
      <w:pPr>
        <w:pStyle w:val="BodyText"/>
      </w:pP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p>
    <w:p>
      <w:pPr>
        <w:pStyle w:val="BodyText"/>
      </w:pPr>
      <w:r>
        <w:t xml:space="preserve">Witherington, D. C. (2015). Dynamic systems in developmental science. In W. F. Overton &amp; P. C. M. Molenaar (Vol. Eds.) &amp; R. M. Lerner (Ed.), Handbook of child psychology and developmental science. Vol. 1: Theory &amp; method (7th ed., pp. 63-112). Hoboken, NJ: Wiley.</w:t>
      </w:r>
    </w:p>
    <w:p>
      <w:pPr>
        <w:pStyle w:val="BodyText"/>
      </w:pPr>
      <w:r>
        <w:t xml:space="preserve">Wormington, S. V., &amp; Linnenbrink-Garcia, L. (advance online publication). A new look at multiple goal pursuit: The promise of a person-centered approach. Educational Psychology Review.</w:t>
      </w:r>
      <w:r>
        <w:t xml:space="preserve"> </w:t>
      </w:r>
      <w:hyperlink r:id="rId91">
        <w:r>
          <w:rPr>
            <w:rStyle w:val="Hyperlink"/>
          </w:rPr>
          <w:t xml:space="preserve">doi:10.1007/s10648-016-9358-2</w:t>
        </w:r>
      </w:hyperlink>
    </w:p>
    <w:p>
      <w:pPr>
        <w:pStyle w:val="Heading1"/>
      </w:pPr>
      <w:bookmarkStart w:id="92" w:name="appendix"/>
      <w:bookmarkEnd w:id="92"/>
      <w:r>
        <w:t xml:space="preserve">Appendix</w:t>
      </w:r>
    </w:p>
    <w:p>
      <w:pPr>
        <w:pStyle w:val="Heading2"/>
      </w:pPr>
      <w:bookmarkStart w:id="93" w:name="appendix-a-stem-pqa-alignment"/>
      <w:bookmarkEnd w:id="93"/>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94" w:name="appendix-b-program-descriptions"/>
      <w:bookmarkEnd w:id="94"/>
      <w:r>
        <w:t xml:space="preserve">Appendix B: Program descriptions</w:t>
      </w:r>
    </w:p>
    <w:p>
      <w:pPr>
        <w:pStyle w:val="TableCaption"/>
      </w:pPr>
      <w:r>
        <w:t xml:space="preserve">Table 7 Program (with pseudonyms) descriptions</w:t>
      </w:r>
    </w:p>
    <w:tbl>
      <w:tblPr>
        <w:tblStyle w:val="TableNormal"/>
        <w:tblW w:type="pct" w:w="0.0"/>
        <w:tblLook w:firstRow="1"/>
        <w:tblCaption w:val="Table 7 Program (with pseudonyms)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br w:type="textWrapping"/>
      </w:r>
      <w:r>
        <w:t xml:space="preserve">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r>
        <w:t xml:space="preserve"> </w:t>
      </w:r>
      <w:r>
        <w:t xml:space="preserve">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br w:type="textWrapping"/>
      </w:r>
      <w: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br w:type="textWrapping"/>
      </w:r>
      <w:r>
        <w:t xml:space="preserve">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br w:type="textWrapping"/>
      </w:r>
      <w:r>
        <w:t xml:space="preserve">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pPr>
        <w:pStyle w:val="Heading3"/>
      </w:pPr>
      <w:bookmarkStart w:id="95" w:name="appendix-c-work-with-data-by-program"/>
      <w:bookmarkEnd w:id="95"/>
      <w:r>
        <w:t xml:space="preserve">Appendix C: Work with data by program</w:t>
      </w:r>
    </w:p>
    <w:p>
      <w:pPr>
        <w:pStyle w:val="TableCaption"/>
      </w:pPr>
      <w:r>
        <w:t xml:space="preserve">Table 8 Proportion of instructional episodes for which each of the aspects of work with data was present</w:t>
      </w:r>
    </w:p>
    <w:tbl>
      <w:tblPr>
        <w:tblStyle w:val="TableNormal"/>
        <w:tblW w:type="pct" w:w="0.0"/>
        <w:tblLook w:firstRow="1"/>
        <w:tblCaption w:val="Table 8 Proportion of instructional episode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8 Proportion of instructional episodes for which each of the aspects of work with data was present by program</w:t>
      </w:r>
    </w:p>
    <w:tbl>
      <w:tblPr>
        <w:tblStyle w:val="TableNormal"/>
        <w:tblW w:type="pct" w:w="0.0"/>
        <w:tblLook w:firstRow="1"/>
        <w:tblCaption w:val="Table 8 Proportion of instructional episode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BodyText"/>
      </w:pPr>
      <w:r>
        <w:rPr>
          <w:i/>
        </w:rPr>
        <w:t xml:space="preserve">Note</w:t>
      </w:r>
      <w:r>
        <w:t xml:space="preserve">. The</w:t>
      </w:r>
      <w:r>
        <w:t xml:space="preserve"> </w:t>
      </w:r>
      <w:r>
        <w:rPr>
          <w:i/>
        </w:rPr>
        <w:t xml:space="preserve">Comunidad de Aprendizaje</w:t>
      </w:r>
      <w:r>
        <w:t xml:space="preserve"> </w:t>
      </w:r>
      <w:r>
        <w:t xml:space="preserve">program had different sections in the morning and afternoon, which is why the number of instructional episodes is higher than in the other programs.</w:t>
      </w:r>
    </w:p>
    <w:p>
      <w:pPr>
        <w:pStyle w:val="Heading3"/>
      </w:pPr>
      <w:bookmarkStart w:id="96" w:name="appendix-d-model-specifications-details"/>
      <w:bookmarkEnd w:id="96"/>
      <w:r>
        <w:t xml:space="preserve">Appendix D: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97" w:name="varying-means-equal-variances-and-covariances-fixed-to-0-model-1"/>
      <w:bookmarkEnd w:id="97"/>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98" w:name="varying-means-equal-variances-and-equal-covariances-model-2"/>
      <w:bookmarkEnd w:id="98"/>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99" w:name="varying-means-varying-variances-and-covariances-fixed-to-0-model-3"/>
      <w:bookmarkEnd w:id="99"/>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00" w:name="varying-means-varying-variances-and-equal-covariances-model-4"/>
      <w:bookmarkEnd w:id="100"/>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01" w:name="varying-means-equal-variances-and-varying-covariances-model-5"/>
      <w:bookmarkEnd w:id="101"/>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02" w:name="varying-means-varying-variances-and-varying-covariances-model-6"/>
      <w:bookmarkEnd w:id="102"/>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03" w:name="appendix-e-additional-details-on-the-model-selection-process"/>
      <w:bookmarkEnd w:id="103"/>
      <w:r>
        <w:t xml:space="preserve">Appendix E: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6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04"/>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6 Fit statistics for model 1 solutions</w:t>
      </w:r>
    </w:p>
    <w:p>
      <w:pPr>
        <w:pStyle w:val="FigureWithCaption"/>
      </w:pPr>
      <w:r>
        <w:drawing>
          <wp:inline>
            <wp:extent cx="5334000" cy="3287447"/>
            <wp:effectExtent b="0" l="0" r="0" t="0"/>
            <wp:docPr descr="Figure 7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05"/>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7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06" w:name="appendix-f-alternate-model-selected-model-type-1-seven-profile-solution"/>
      <w:bookmarkEnd w:id="106"/>
      <w:r>
        <w:t xml:space="preserve">Appendix F: Alternate model selected (model type 1, seven profile solution)</w:t>
      </w:r>
    </w:p>
    <w:p>
      <w:pPr>
        <w:pStyle w:val="FirstParagraph"/>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7</w:t>
      </w:r>
    </w:p>
    <w:p>
      <w:pPr>
        <w:pStyle w:val="Compact"/>
        <w:numPr>
          <w:numId w:val="1007"/>
          <w:ilvl w:val="0"/>
        </w:numPr>
      </w:pPr>
      <w:r>
        <w:t xml:space="preserve">A</w:t>
      </w:r>
      <w:r>
        <w:t xml:space="preserve"> </w:t>
      </w:r>
      <w:r>
        <w:rPr>
          <w:i/>
        </w:rPr>
        <w:t xml:space="preserve">universally low</w:t>
      </w:r>
      <w:r>
        <w:t xml:space="preserve"> </w:t>
      </w:r>
      <w:r>
        <w:t xml:space="preserve">profile, profile 1</w:t>
      </w:r>
    </w:p>
    <w:p>
      <w:pPr>
        <w:pStyle w:val="Compact"/>
        <w:numPr>
          <w:numId w:val="1007"/>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7"/>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7"/>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7"/>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7"/>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07"/>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08"/>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81ca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7a72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90540f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hyperlink" Id="rId91" Target="doi:10.1007/s10648-016-9358-2" TargetMode="External" /><Relationship Type="http://schemas.openxmlformats.org/officeDocument/2006/relationships/hyperlink" Id="rId88" Target="doi:10.1080/00461520.2014.1002924" TargetMode="External" /><Relationship Type="http://schemas.openxmlformats.org/officeDocument/2006/relationships/hyperlink" Id="rId81" Target="http://doi.org/10.1002/j.2161-0045.2015.00097.x" TargetMode="External" /><Relationship Type="http://schemas.openxmlformats.org/officeDocument/2006/relationships/hyperlink" Id="rId89" Target="http://doi.org/10.1007/s10964-007-9241-z" TargetMode="External" /><Relationship Type="http://schemas.openxmlformats.org/officeDocument/2006/relationships/hyperlink" Id="rId85" Target="http://dx.doi.org/10.1016/j.learninstruc.2017.07.007" TargetMode="External" /><Relationship Type="http://schemas.openxmlformats.org/officeDocument/2006/relationships/hyperlink" Id="rId84" Target="http://dx.doi.org/10.1037/edu0000214" TargetMode="External" /><Relationship Type="http://schemas.openxmlformats.org/officeDocument/2006/relationships/hyperlink" Id="rId90" Target="http://faculty.sites.uci.edu/childcare/files/2013/07/SL-Outcomes-2011-Pilot_Edited_8.19.pdf" TargetMode="External" /><Relationship Type="http://schemas.openxmlformats.org/officeDocument/2006/relationships/hyperlink" Id="rId82" Target="https://doi.org/10.1007/978-1-4614-2018-7_37" TargetMode="External" /><Relationship Type="http://schemas.openxmlformats.org/officeDocument/2006/relationships/hyperlink" Id="rId87" Target="https://dx.doi.org/10.1002/tea.21409" TargetMode="External" /><Relationship Type="http://schemas.openxmlformats.org/officeDocument/2006/relationships/hyperlink" Id="rId86" Target="https://jrosen48.github.io/r-markdown/comparing-mplus-mclust.html" TargetMode="External" /><Relationship Type="http://schemas.openxmlformats.org/officeDocument/2006/relationships/hyperlink" Id="rId83"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91" Target="doi:10.1007/s10648-016-9358-2" TargetMode="External" /><Relationship Type="http://schemas.openxmlformats.org/officeDocument/2006/relationships/hyperlink" Id="rId88" Target="doi:10.1080/00461520.2014.1002924" TargetMode="External" /><Relationship Type="http://schemas.openxmlformats.org/officeDocument/2006/relationships/hyperlink" Id="rId81" Target="http://doi.org/10.1002/j.2161-0045.2015.00097.x" TargetMode="External" /><Relationship Type="http://schemas.openxmlformats.org/officeDocument/2006/relationships/hyperlink" Id="rId89" Target="http://doi.org/10.1007/s10964-007-9241-z" TargetMode="External" /><Relationship Type="http://schemas.openxmlformats.org/officeDocument/2006/relationships/hyperlink" Id="rId85" Target="http://dx.doi.org/10.1016/j.learninstruc.2017.07.007" TargetMode="External" /><Relationship Type="http://schemas.openxmlformats.org/officeDocument/2006/relationships/hyperlink" Id="rId84" Target="http://dx.doi.org/10.1037/edu0000214" TargetMode="External" /><Relationship Type="http://schemas.openxmlformats.org/officeDocument/2006/relationships/hyperlink" Id="rId90" Target="http://faculty.sites.uci.edu/childcare/files/2013/07/SL-Outcomes-2011-Pilot_Edited_8.19.pdf" TargetMode="External" /><Relationship Type="http://schemas.openxmlformats.org/officeDocument/2006/relationships/hyperlink" Id="rId82" Target="https://doi.org/10.1007/978-1-4614-2018-7_37" TargetMode="External" /><Relationship Type="http://schemas.openxmlformats.org/officeDocument/2006/relationships/hyperlink" Id="rId87" Target="https://dx.doi.org/10.1002/tea.21409" TargetMode="External" /><Relationship Type="http://schemas.openxmlformats.org/officeDocument/2006/relationships/hyperlink" Id="rId86" Target="https://jrosen48.github.io/r-markdown/comparing-mplus-mclust.html" TargetMode="External" /><Relationship Type="http://schemas.openxmlformats.org/officeDocument/2006/relationships/hyperlink" Id="rId83"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dcterms:created xsi:type="dcterms:W3CDTF">2018-06-04T16:30:29Z</dcterms:created>
  <dcterms:modified xsi:type="dcterms:W3CDTF">2018-06-04T16:30:29Z</dcterms:modified>
</cp:coreProperties>
</file>