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357F2FB9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661F4CA4" w:rsidR="008C7ADD" w:rsidRPr="00A649D2" w:rsidRDefault="00BC2B23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ADL5902-Based Receivers"/>
              <w:format w:val="FIRST CAPITAL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ADL5902-Based Receivers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326F830E" w:rsidR="00B17FF8" w:rsidRPr="00477299" w:rsidRDefault="00EE7364" w:rsidP="00151552">
            <w:r>
              <w:t>7/28/2023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66C7C605" w:rsidR="00DF69CA" w:rsidRPr="00DF69CA" w:rsidRDefault="00EE7364" w:rsidP="00DF69CA">
            <w:r>
              <w:t>7/28/2023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646AC557" w14:textId="2E05ECC5" w:rsidR="009643BA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142917066" w:history="1">
            <w:r w:rsidR="009643BA" w:rsidRPr="00AC4ADD">
              <w:rPr>
                <w:rStyle w:val="Hyperlink"/>
              </w:rPr>
              <w:t>1</w:t>
            </w:r>
            <w:r w:rsidR="009643BA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9643BA" w:rsidRPr="00AC4ADD">
              <w:rPr>
                <w:rStyle w:val="Hyperlink"/>
              </w:rPr>
              <w:t>Introduction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_Toc142917066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6F218021" w14:textId="247A9E8A" w:rsidR="009643BA" w:rsidRDefault="009643BA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67" w:history="1">
            <w:r w:rsidRPr="00AC4ADD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AC4ADD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3D76E9" w14:textId="18211F81" w:rsidR="009643BA" w:rsidRDefault="009643BA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68" w:history="1">
            <w:r w:rsidRPr="00AC4ADD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AC4ADD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07AB7A" w14:textId="733DAE50" w:rsidR="009643BA" w:rsidRDefault="009643BA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69" w:history="1">
            <w:r w:rsidRPr="00AC4AD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AC4ADD">
              <w:rPr>
                <w:rStyle w:val="Hyperlink"/>
              </w:rPr>
              <w:t>Related Documents and Drawings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4A3145" w14:textId="49025DEF" w:rsidR="009643BA" w:rsidRDefault="009643BA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70" w:history="1">
            <w:r w:rsidRPr="00AC4AD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AC4ADD">
              <w:rPr>
                <w:rStyle w:val="Hyperlink"/>
              </w:rPr>
              <w:t>Applicable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512EFC" w14:textId="1BC8E7B2" w:rsidR="009643BA" w:rsidRDefault="009643BA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71" w:history="1">
            <w:r w:rsidRPr="00AC4AD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AC4ADD">
              <w:rPr>
                <w:rStyle w:val="Hyperlink"/>
              </w:rPr>
              <w:t>Reference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844A64" w14:textId="25B82095" w:rsidR="009643BA" w:rsidRDefault="009643BA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72" w:history="1">
            <w:r w:rsidRPr="00AC4AD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AC4ADD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26DE29" w14:textId="6E817DFD" w:rsidR="009643BA" w:rsidRDefault="009643BA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73" w:history="1">
            <w:r w:rsidRPr="00AC4AD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AC4ADD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_Toc142917073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E1BE7" w14:textId="2D1A48E2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1" w:name="_Toc520125714"/>
      <w:bookmarkStart w:id="2" w:name="_Toc19720675"/>
      <w:bookmarkStart w:id="3" w:name="_Toc142917066"/>
      <w:r w:rsidR="00AB5DC1" w:rsidRPr="000B202C">
        <w:lastRenderedPageBreak/>
        <w:t>I</w:t>
      </w:r>
      <w:r w:rsidR="00AB5DC1">
        <w:t>ntroduction</w:t>
      </w:r>
      <w:bookmarkEnd w:id="1"/>
      <w:bookmarkEnd w:id="2"/>
      <w:bookmarkEnd w:id="3"/>
    </w:p>
    <w:p w14:paraId="0BE7EAC7" w14:textId="77777777" w:rsidR="00AB5DC1" w:rsidRPr="004E6EEA" w:rsidRDefault="00AB5DC1" w:rsidP="00AB5DC1">
      <w:pPr>
        <w:pStyle w:val="Heading2"/>
      </w:pPr>
      <w:bookmarkStart w:id="4" w:name="_Toc520125715"/>
      <w:bookmarkStart w:id="5" w:name="_Toc19720676"/>
      <w:bookmarkStart w:id="6" w:name="_Toc142917067"/>
      <w:r w:rsidRPr="000B202C">
        <w:t>Purpose</w:t>
      </w:r>
      <w:bookmarkEnd w:id="4"/>
      <w:bookmarkEnd w:id="5"/>
      <w:bookmarkEnd w:id="6"/>
      <w:r w:rsidRPr="000B202C">
        <w:t xml:space="preserve"> </w:t>
      </w:r>
    </w:p>
    <w:p w14:paraId="5B269016" w14:textId="0EE38F54" w:rsidR="00AB5DC1" w:rsidRPr="000B202C" w:rsidRDefault="00714FB9" w:rsidP="00AB5DC1">
      <w:pPr>
        <w:pStyle w:val="DocText"/>
      </w:pPr>
      <w:r>
        <w:t xml:space="preserve">The ADL5902 is an RF power detector which has a linear-in-decibel output voltage to input power ratio. The following tangential sensitivity measurements will more accurately describe the usability of an ADL5902 based receiver by determining the lowest </w:t>
      </w:r>
      <w:r w:rsidR="00851B00">
        <w:t xml:space="preserve">possible </w:t>
      </w:r>
      <w:r>
        <w:t>input power</w:t>
      </w:r>
      <w:r w:rsidR="00851B00">
        <w:t xml:space="preserve"> that produces a discernable pulse at the output</w:t>
      </w:r>
      <w:r>
        <w:t>.</w:t>
      </w:r>
    </w:p>
    <w:p w14:paraId="717273E1" w14:textId="284E904F" w:rsidR="00AB5DC1" w:rsidRPr="000B202C" w:rsidRDefault="00AB5DC1" w:rsidP="00AB5DC1">
      <w:pPr>
        <w:pStyle w:val="Heading2"/>
      </w:pPr>
      <w:bookmarkStart w:id="7" w:name="_Toc520125716"/>
      <w:bookmarkStart w:id="8" w:name="_Toc19720677"/>
      <w:bookmarkStart w:id="9" w:name="_Toc142917068"/>
      <w:r w:rsidRPr="000B202C">
        <w:t>Scope</w:t>
      </w:r>
      <w:bookmarkEnd w:id="7"/>
      <w:bookmarkEnd w:id="8"/>
      <w:bookmarkEnd w:id="9"/>
    </w:p>
    <w:p w14:paraId="4ED4816A" w14:textId="4F17DC86" w:rsidR="00AB5DC1" w:rsidRDefault="00714FB9" w:rsidP="00AB5DC1">
      <w:pPr>
        <w:pStyle w:val="DocText"/>
      </w:pPr>
      <w:r>
        <w:t>This report will define tangential sensitivity and outline the experiments performed</w:t>
      </w:r>
      <w:r w:rsidR="00575A8B">
        <w:t>.</w:t>
      </w:r>
    </w:p>
    <w:p w14:paraId="497590F4" w14:textId="139A4EB7" w:rsidR="00AB5DC1" w:rsidRPr="000B202C" w:rsidRDefault="00AB5DC1" w:rsidP="00AB5DC1">
      <w:pPr>
        <w:pStyle w:val="Heading1"/>
      </w:pPr>
      <w:bookmarkStart w:id="10" w:name="_Toc520125717"/>
      <w:bookmarkStart w:id="11" w:name="_Toc19720678"/>
      <w:bookmarkStart w:id="12" w:name="_Toc142917069"/>
      <w:r>
        <w:t>Related Documents and Drawings</w:t>
      </w:r>
      <w:bookmarkEnd w:id="10"/>
      <w:bookmarkEnd w:id="11"/>
      <w:bookmarkEnd w:id="12"/>
    </w:p>
    <w:p w14:paraId="3E46CB7D" w14:textId="77777777" w:rsidR="00AB5DC1" w:rsidRPr="000B202C" w:rsidRDefault="00AB5DC1" w:rsidP="00AB5DC1">
      <w:pPr>
        <w:pStyle w:val="Heading2"/>
      </w:pPr>
      <w:bookmarkStart w:id="13" w:name="_Toc520125718"/>
      <w:bookmarkStart w:id="14" w:name="_Toc19720679"/>
      <w:bookmarkStart w:id="15" w:name="_Toc142917070"/>
      <w:r w:rsidRPr="000B202C">
        <w:t>Applicable Documents</w:t>
      </w:r>
      <w:bookmarkEnd w:id="13"/>
      <w:bookmarkEnd w:id="14"/>
      <w:bookmarkEnd w:id="15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07BEB4D6" w:rsidR="00EE7364" w:rsidRDefault="00D339B7" w:rsidP="00F91C45">
            <w:hyperlink r:id="rId11" w:history="1">
              <w:r w:rsidR="00EE7364">
                <w:rPr>
                  <w:rStyle w:val="Hyperlink"/>
                </w:rPr>
                <w:t>Filehost</w:t>
              </w:r>
            </w:hyperlink>
            <w:r w:rsidR="00714FB9">
              <w:rPr>
                <w:rStyle w:val="Hyperlink"/>
              </w:rPr>
              <w:t>,</w:t>
            </w:r>
            <w:r w:rsidR="00EE7364">
              <w:t xml:space="preserve"> </w:t>
            </w:r>
            <w:hyperlink r:id="rId12" w:history="1">
              <w:r w:rsidR="00714FB9">
                <w:rPr>
                  <w:rStyle w:val="Hyperlink"/>
                </w:rPr>
                <w:t>Online</w:t>
              </w:r>
            </w:hyperlink>
            <w:r w:rsidR="00714FB9">
              <w:t xml:space="preserve"> </w:t>
            </w:r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53874EF9" w:rsidR="00AB5DC1" w:rsidRPr="000B202C" w:rsidRDefault="00575A8B" w:rsidP="00F91C45">
            <w:pPr>
              <w:jc w:val="center"/>
            </w:pPr>
            <w:r>
              <w:t>AD02</w:t>
            </w:r>
          </w:p>
        </w:tc>
        <w:tc>
          <w:tcPr>
            <w:tcW w:w="5158" w:type="dxa"/>
          </w:tcPr>
          <w:p w14:paraId="09F91397" w14:textId="680B78E2" w:rsidR="00AB5DC1" w:rsidRPr="000B202C" w:rsidRDefault="00575A8B" w:rsidP="00F91C45">
            <w:r>
              <w:t>PMA2-63LN+ Datasheet</w:t>
            </w:r>
          </w:p>
        </w:tc>
        <w:tc>
          <w:tcPr>
            <w:tcW w:w="3117" w:type="dxa"/>
          </w:tcPr>
          <w:p w14:paraId="33714692" w14:textId="119DF320" w:rsidR="00AB5DC1" w:rsidRPr="000B202C" w:rsidRDefault="00D339B7" w:rsidP="00F91C45">
            <w:hyperlink r:id="rId13" w:history="1">
              <w:r w:rsidR="00575A8B">
                <w:rPr>
                  <w:rStyle w:val="Hyperlink"/>
                </w:rPr>
                <w:t>Online</w:t>
              </w:r>
            </w:hyperlink>
            <w:r w:rsidR="00575A8B">
              <w:t xml:space="preserve"> </w:t>
            </w:r>
          </w:p>
        </w:tc>
      </w:tr>
      <w:tr w:rsidR="00575A8B" w:rsidRPr="000B202C" w14:paraId="232CF95F" w14:textId="77777777" w:rsidTr="00F91C45">
        <w:trPr>
          <w:jc w:val="center"/>
        </w:trPr>
        <w:tc>
          <w:tcPr>
            <w:tcW w:w="1075" w:type="dxa"/>
          </w:tcPr>
          <w:p w14:paraId="13C16824" w14:textId="1A42F694" w:rsidR="00575A8B" w:rsidRDefault="00575A8B" w:rsidP="00F91C45">
            <w:pPr>
              <w:jc w:val="center"/>
            </w:pPr>
            <w:r>
              <w:t>AD03</w:t>
            </w:r>
          </w:p>
        </w:tc>
        <w:tc>
          <w:tcPr>
            <w:tcW w:w="5158" w:type="dxa"/>
          </w:tcPr>
          <w:p w14:paraId="7DC4F05C" w14:textId="6BC10626" w:rsidR="00575A8B" w:rsidRDefault="00575A8B" w:rsidP="00F91C45">
            <w:r>
              <w:t>PMA2-123LN+ Datasheet</w:t>
            </w:r>
          </w:p>
        </w:tc>
        <w:tc>
          <w:tcPr>
            <w:tcW w:w="3117" w:type="dxa"/>
          </w:tcPr>
          <w:p w14:paraId="0745FDF9" w14:textId="326DCEB2" w:rsidR="00575A8B" w:rsidRDefault="00D339B7" w:rsidP="00F91C45">
            <w:hyperlink r:id="rId14" w:history="1">
              <w:r w:rsidR="00575A8B">
                <w:rPr>
                  <w:rStyle w:val="Hyperlink"/>
                </w:rPr>
                <w:t>Online</w:t>
              </w:r>
            </w:hyperlink>
            <w:r w:rsidR="00575A8B">
              <w:t xml:space="preserve"> </w:t>
            </w:r>
          </w:p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6" w:name="_Toc520125719"/>
      <w:bookmarkStart w:id="17" w:name="_Toc19720680"/>
      <w:bookmarkStart w:id="18" w:name="_Toc142917071"/>
      <w:r w:rsidRPr="000B202C">
        <w:t>Reference Documen</w:t>
      </w:r>
      <w:r>
        <w:t>ts</w:t>
      </w:r>
      <w:bookmarkEnd w:id="16"/>
      <w:bookmarkEnd w:id="17"/>
      <w:bookmarkEnd w:id="18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575A8B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575A8B" w:rsidRPr="000B202C" w:rsidRDefault="00575A8B" w:rsidP="00575A8B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00AA23A7" w:rsidR="00575A8B" w:rsidRPr="00AB5DC1" w:rsidRDefault="00575A8B" w:rsidP="00575A8B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6A40C6D2" w14:textId="50EEDD2E" w:rsidR="00575A8B" w:rsidRDefault="00D339B7" w:rsidP="00575A8B">
            <w:hyperlink r:id="rId15" w:history="1">
              <w:r w:rsidR="00575A8B">
                <w:rPr>
                  <w:rStyle w:val="Hyperlink"/>
                </w:rPr>
                <w:t>Hewlett Packard AN 956-1 (Filehost)</w:t>
              </w:r>
            </w:hyperlink>
            <w:r w:rsidR="00575A8B">
              <w:t xml:space="preserve">, </w:t>
            </w:r>
            <w:hyperlink r:id="rId16" w:history="1">
              <w:r w:rsidR="00575A8B">
                <w:rPr>
                  <w:rStyle w:val="Hyperlink"/>
                </w:rPr>
                <w:t>Online</w:t>
              </w:r>
            </w:hyperlink>
          </w:p>
        </w:tc>
      </w:tr>
    </w:tbl>
    <w:p w14:paraId="6FD13017" w14:textId="606AD379" w:rsidR="00964F69" w:rsidRPr="00A6764B" w:rsidRDefault="00575A8B" w:rsidP="005C7866">
      <w:pPr>
        <w:pStyle w:val="Heading1"/>
      </w:pPr>
      <w:r>
        <w:fldChar w:fldCharType="begin">
          <w:ffData>
            <w:name w:val="Text32"/>
            <w:enabled/>
            <w:calcOnExit w:val="0"/>
            <w:textInput>
              <w:default w:val="Procedure"/>
            </w:textInput>
          </w:ffData>
        </w:fldChar>
      </w:r>
      <w:bookmarkStart w:id="19" w:name="Text32"/>
      <w:r>
        <w:instrText xml:space="preserve"> FORMTEXT </w:instrText>
      </w:r>
      <w:r>
        <w:fldChar w:fldCharType="separate"/>
      </w:r>
      <w:bookmarkStart w:id="20" w:name="_Toc142917072"/>
      <w:r>
        <w:rPr>
          <w:noProof/>
        </w:rPr>
        <w:t>Procedure</w:t>
      </w:r>
      <w:bookmarkEnd w:id="20"/>
      <w:r>
        <w:fldChar w:fldCharType="end"/>
      </w:r>
      <w:bookmarkEnd w:id="19"/>
    </w:p>
    <w:p w14:paraId="472EC945" w14:textId="5304FE67" w:rsidR="00964F69" w:rsidRDefault="00575A8B" w:rsidP="00850512">
      <w:pPr>
        <w:pStyle w:val="DocText"/>
      </w:pPr>
      <w:r>
        <w:t>Tangential signal sensitivity (TSS) is defined to be the</w:t>
      </w:r>
      <w:r w:rsidR="009438EC">
        <w:t xml:space="preserve"> power</w:t>
      </w:r>
      <w:r>
        <w:t xml:space="preserve"> level of an input pulse to a receiver in which the </w:t>
      </w:r>
      <w:r w:rsidR="00761CF2">
        <w:t>output shows 8 dB of signal-to-noise ratio</w:t>
      </w:r>
      <w:r w:rsidR="009438EC">
        <w:t xml:space="preserve"> (SNR)</w:t>
      </w:r>
      <w:r w:rsidR="00761CF2">
        <w:t xml:space="preserve">. By reading the output of the receiver on an oscilloscope, 8 dB of SNR can be determined by an RMS voltage ratio of 2.5[RD01]. In some cases, the TSS level is determined subjectively to be the </w:t>
      </w:r>
      <w:r w:rsidR="00E16E6B">
        <w:t xml:space="preserve">input </w:t>
      </w:r>
      <w:r w:rsidR="00761CF2">
        <w:t xml:space="preserve">power level at which the bottom of the </w:t>
      </w:r>
      <w:r w:rsidR="00E16E6B">
        <w:t xml:space="preserve">output </w:t>
      </w:r>
      <w:r w:rsidR="00761CF2">
        <w:t>signal waveform touches the top of the noise floor on an oscilloscope, as shown in Fig. 1.</w:t>
      </w:r>
    </w:p>
    <w:p w14:paraId="6A41A5FA" w14:textId="3F637072" w:rsidR="00761CF2" w:rsidRDefault="00654439" w:rsidP="00761CF2">
      <w:pPr>
        <w:pStyle w:val="DocText"/>
        <w:keepNext/>
        <w:jc w:val="center"/>
      </w:pPr>
      <w:r w:rsidRPr="00654439">
        <w:rPr>
          <w:noProof/>
        </w:rPr>
        <w:lastRenderedPageBreak/>
        <w:drawing>
          <wp:inline distT="0" distB="0" distL="0" distR="0" wp14:anchorId="64DD89D2" wp14:editId="46601546">
            <wp:extent cx="2996529" cy="23805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AF8" w14:textId="5F4CF64C" w:rsidR="00761CF2" w:rsidRDefault="00761CF2" w:rsidP="00761CF2">
      <w:pPr>
        <w:pStyle w:val="Caption"/>
        <w:jc w:val="center"/>
      </w:pPr>
      <w:r>
        <w:t xml:space="preserve">Figure </w:t>
      </w:r>
      <w:fldSimple w:instr=" SEQ Figure \* ARABIC ">
        <w:r w:rsidR="005D0A6A">
          <w:rPr>
            <w:noProof/>
          </w:rPr>
          <w:t>1</w:t>
        </w:r>
      </w:fldSimple>
      <w:r>
        <w:t>: Receiver output where pulsed signal power sits just above the noise floor.</w:t>
      </w:r>
    </w:p>
    <w:p w14:paraId="51D5FC56" w14:textId="77777777" w:rsidR="009643BA" w:rsidRDefault="00654439" w:rsidP="00850512">
      <w:pPr>
        <w:pStyle w:val="DocText"/>
      </w:pPr>
      <w:r>
        <w:t>The setup to this experiment i</w:t>
      </w:r>
      <w:r w:rsidR="00415506">
        <w:t>s shown in Fig. 2 and as follows</w:t>
      </w:r>
      <w:r>
        <w:t>. A signal generator is used to create a pulsed input signal at a given frequency and an oscilloscope is used to read the output</w:t>
      </w:r>
      <w:r w:rsidR="009438EC">
        <w:t xml:space="preserve"> of the receiver</w:t>
      </w:r>
      <w:r>
        <w:t>. Then, a step attenuator is used to tune the output trace to a 2.5:1 ratio of signal-to-noise RMS voltage.</w:t>
      </w:r>
      <w:r w:rsidR="009643BA">
        <w:t xml:space="preserve"> As attenuation increases, the RMS voltage out the output pulse decreases and vice versa.</w:t>
      </w:r>
    </w:p>
    <w:p w14:paraId="0AC4B2C3" w14:textId="193E4F3A" w:rsidR="00761CF2" w:rsidRDefault="00654439" w:rsidP="00850512">
      <w:pPr>
        <w:pStyle w:val="DocText"/>
      </w:pPr>
      <w:r>
        <w:t>In this case, a 1 kHz pulse with a 20% duty cycle was used</w:t>
      </w:r>
      <w:r w:rsidR="00030B4C">
        <w:t>;</w:t>
      </w:r>
      <w:r>
        <w:t xml:space="preserve"> the output of each receiver</w:t>
      </w:r>
      <w:r w:rsidR="00030B4C">
        <w:t xml:space="preserve"> setup</w:t>
      </w:r>
      <w:r>
        <w:t xml:space="preserve"> when biased with no input signal measured roughly 400 µV</w:t>
      </w:r>
      <w:r w:rsidR="00415506">
        <w:t>, thus, a</w:t>
      </w:r>
      <w:r w:rsidR="00560AD2">
        <w:t>n</w:t>
      </w:r>
      <w:r w:rsidR="00415506">
        <w:t xml:space="preserve"> </w:t>
      </w:r>
      <w:r w:rsidR="00560AD2">
        <w:t xml:space="preserve">RMS </w:t>
      </w:r>
      <w:proofErr w:type="gramStart"/>
      <w:r w:rsidR="00415506">
        <w:t>signal  voltage</w:t>
      </w:r>
      <w:proofErr w:type="gramEnd"/>
      <w:r w:rsidR="00415506">
        <w:t xml:space="preserve"> of 1 mV is desired for TSS.</w:t>
      </w:r>
    </w:p>
    <w:p w14:paraId="02415F1B" w14:textId="0E814930" w:rsidR="00415506" w:rsidRDefault="009438EC" w:rsidP="00415506">
      <w:pPr>
        <w:pStyle w:val="DocText"/>
        <w:keepNext/>
        <w:jc w:val="center"/>
      </w:pPr>
      <w:r w:rsidRPr="009438EC">
        <w:drawing>
          <wp:inline distT="0" distB="0" distL="0" distR="0" wp14:anchorId="10E176E1" wp14:editId="3F5B6188">
            <wp:extent cx="4457702" cy="11579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533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222" w14:textId="47D603B9" w:rsidR="00415506" w:rsidRDefault="00415506" w:rsidP="00E16E6B">
      <w:pPr>
        <w:pStyle w:val="Caption"/>
        <w:jc w:val="center"/>
      </w:pPr>
      <w:r>
        <w:t xml:space="preserve">Figure </w:t>
      </w:r>
      <w:fldSimple w:instr=" SEQ Figure \* ARABIC ">
        <w:r w:rsidR="005D0A6A">
          <w:rPr>
            <w:noProof/>
          </w:rPr>
          <w:t>2</w:t>
        </w:r>
      </w:fldSimple>
      <w:r>
        <w:t>: Test setup block diagram.</w:t>
      </w:r>
    </w:p>
    <w:p w14:paraId="77076DAC" w14:textId="77777777" w:rsidR="00E16E6B" w:rsidRPr="00E16E6B" w:rsidRDefault="00E16E6B" w:rsidP="00E16E6B"/>
    <w:p w14:paraId="712DF7D2" w14:textId="131AB475" w:rsidR="00673370" w:rsidRDefault="00711C57" w:rsidP="00DF2B45">
      <w:pPr>
        <w:pStyle w:val="Heading1"/>
      </w:pPr>
      <w:r>
        <w:fldChar w:fldCharType="begin">
          <w:ffData>
            <w:name w:val=""/>
            <w:enabled/>
            <w:calcOnExit w:val="0"/>
            <w:textInput>
              <w:default w:val="Result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21" w:name="_Toc142917073"/>
      <w:r>
        <w:rPr>
          <w:noProof/>
        </w:rPr>
        <w:t>Results</w:t>
      </w:r>
      <w:bookmarkEnd w:id="21"/>
      <w:r>
        <w:fldChar w:fldCharType="end"/>
      </w:r>
    </w:p>
    <w:p w14:paraId="329B03E2" w14:textId="11ADA934" w:rsidR="00711C57" w:rsidRDefault="000C2420" w:rsidP="00E16E6B">
      <w:pPr>
        <w:jc w:val="both"/>
      </w:pPr>
      <w:r>
        <w:t>The ADL5902 evaluation board was used in each receiver although it has been slightly modified to increase the gain to approximately 86 mV/dB; R6 was replaced with a 1180Ω resistor and R2 was replaced with a 2kΩ resistor. The voltage-power curve in this configuration is shown in Fig. 3.</w:t>
      </w:r>
    </w:p>
    <w:p w14:paraId="12831369" w14:textId="77777777" w:rsidR="005D0A6A" w:rsidRDefault="005D0A6A" w:rsidP="005D0A6A">
      <w:pPr>
        <w:keepNext/>
        <w:jc w:val="center"/>
      </w:pPr>
      <w:r w:rsidRPr="005D0A6A">
        <w:rPr>
          <w:noProof/>
        </w:rPr>
        <w:lastRenderedPageBreak/>
        <w:drawing>
          <wp:inline distT="0" distB="0" distL="0" distR="0" wp14:anchorId="13AD5FFF" wp14:editId="5AE262A4">
            <wp:extent cx="2977342" cy="25133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351" cy="25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4F1" w14:textId="4E40F2A7" w:rsidR="006351FD" w:rsidRDefault="005D0A6A" w:rsidP="000F08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Power sweep of the ADL5902-EVALZ. R6 = 1180Ω</w:t>
      </w:r>
      <w:r w:rsidR="000C2420">
        <w:t xml:space="preserve"> and R2 = 2000Ω.</w:t>
      </w:r>
    </w:p>
    <w:p w14:paraId="2CA9C470" w14:textId="03048D4A" w:rsidR="000F0841" w:rsidRPr="000F0841" w:rsidRDefault="000F0841" w:rsidP="000F0841">
      <w:r>
        <w:t xml:space="preserve">This V-P curve is a good baseline for systems utilizing the ADL5902 but shows a steep voltage slope immediately after the minimum power limit. Because of this, a more accurate measure of TSS would </w:t>
      </w:r>
      <w:r w:rsidR="00DF1A86">
        <w:t xml:space="preserve">likely </w:t>
      </w:r>
      <w:r>
        <w:t xml:space="preserve">be possible with a </w:t>
      </w:r>
      <w:r w:rsidR="00DF1A86">
        <w:t>precision</w:t>
      </w:r>
      <w:r>
        <w:t xml:space="preserve"> step attenuator below 1 dB per step. In any case, </w:t>
      </w:r>
      <w:r>
        <w:t>TSS levels were measured across a frequency range of 2-10 GHz at various receiver configurations. All of these are outlined in Fig. 4.</w:t>
      </w:r>
    </w:p>
    <w:p w14:paraId="1CBAFFCC" w14:textId="79D5437F" w:rsidR="000F0841" w:rsidRDefault="005366AD" w:rsidP="000F0841">
      <w:pPr>
        <w:keepNext/>
        <w:jc w:val="center"/>
      </w:pPr>
      <w:r w:rsidRPr="005366AD">
        <w:drawing>
          <wp:inline distT="0" distB="0" distL="0" distR="0" wp14:anchorId="058B5155" wp14:editId="7535B231">
            <wp:extent cx="4148058" cy="2588104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942" cy="26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463" w14:textId="281C206B" w:rsidR="000F0841" w:rsidRDefault="000F0841" w:rsidP="000F08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="005366AD">
        <w:t>Tangential sensitivity of the ADL5902 with different preamplifiers.</w:t>
      </w:r>
    </w:p>
    <w:p w14:paraId="708974F4" w14:textId="0EC163C6" w:rsidR="000F0841" w:rsidRDefault="000F0841" w:rsidP="000F0841">
      <w:r>
        <w:t>The RF-DFS board used contains two PMA2-63LN+ amplifiers and a 1 dB attenuator in between.</w:t>
      </w:r>
      <w:r w:rsidR="008C22ED">
        <w:t xml:space="preserve"> Because </w:t>
      </w:r>
      <w:r w:rsidR="005366AD">
        <w:t>the RF-DFS LNAs are built for very low noise, the gain drops significantly after 6 GHz and although noise figure measurements from the datasheet only go up to 6 GHz, it is a fair assumption that noise performance also drops. Note that noise figure numbers were taken from the Mini-Circuits datasheets. The RF-DFS uses two PMA2-63LN+ amplifiers and thus will have a noise figure slightly higher than shown in Fig. 5.</w:t>
      </w:r>
    </w:p>
    <w:p w14:paraId="7997AB6A" w14:textId="4B884C37" w:rsidR="005366AD" w:rsidRDefault="005366AD" w:rsidP="005366AD">
      <w:pPr>
        <w:keepNext/>
        <w:jc w:val="center"/>
      </w:pPr>
      <w:r w:rsidRPr="005366AD">
        <w:lastRenderedPageBreak/>
        <w:drawing>
          <wp:inline distT="0" distB="0" distL="0" distR="0" wp14:anchorId="46E0BAB6" wp14:editId="4B9343C7">
            <wp:extent cx="4025549" cy="326797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286" cy="32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E74" w14:textId="2C1D562F" w:rsidR="005366AD" w:rsidRDefault="005366AD" w:rsidP="005366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Power sweep of the ADL5902-EVALZ. R6 = 1180Ω and R2 = 2000Ω.</w:t>
      </w:r>
    </w:p>
    <w:p w14:paraId="7C8005D6" w14:textId="62CC5549" w:rsidR="005366AD" w:rsidRPr="005366AD" w:rsidRDefault="005366AD" w:rsidP="005366AD">
      <w:r>
        <w:t xml:space="preserve">The poor performance of the RF-DFS board across frequency can likely be attributed to steep gain falloff even in the operating frequency. It’s possible the </w:t>
      </w:r>
      <w:r w:rsidR="00DF1A86">
        <w:t>sub-2 GHz TSS would shown much better performance than the ZX60 LNA, but 2 GHz was the minimum output frequency on available signal generators at the time.</w:t>
      </w:r>
    </w:p>
    <w:p w14:paraId="1C2AE364" w14:textId="77777777" w:rsidR="005366AD" w:rsidRPr="000F0841" w:rsidRDefault="005366AD" w:rsidP="000F0841"/>
    <w:p w14:paraId="3190D7FE" w14:textId="6A666AC2" w:rsidR="000F0841" w:rsidRPr="000F0841" w:rsidRDefault="003D103A" w:rsidP="000F0841">
      <w:r>
        <w:t xml:space="preserve">These tests indicate that a combination of low noise figure and </w:t>
      </w:r>
      <w:r w:rsidR="00D339B7">
        <w:t>high gain can increase receiver sensitivity and also give a baseline for systems utilizing the ADL5902. More in-depth testing could potentially determine how strongly gain or noise figure affect TSS independently, but a greater selection of LNAs is necessary.</w:t>
      </w:r>
      <w:bookmarkStart w:id="22" w:name="_GoBack"/>
      <w:bookmarkEnd w:id="22"/>
    </w:p>
    <w:sectPr w:rsidR="000F0841" w:rsidRPr="000F0841" w:rsidSect="00BD4D11">
      <w:headerReference w:type="even" r:id="rId22"/>
      <w:headerReference w:type="first" r:id="rId2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2F7EA5FF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9D99159" w14:textId="42B495B7" w:rsidR="00851B00" w:rsidRPr="00851B00" w:rsidRDefault="00A75CB6" w:rsidP="008F76A6">
          <w:pPr>
            <w:pStyle w:val="Header"/>
            <w:rPr>
              <w:rFonts w:eastAsia="Times New Roman"/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 xml:space="preserve">Tangential Sensitivity </w:t>
          </w:r>
          <w:r w:rsidR="00345CAA">
            <w:rPr>
              <w:rFonts w:eastAsia="Times New Roman"/>
              <w:sz w:val="20"/>
              <w:szCs w:val="20"/>
            </w:rPr>
            <w:t>of</w:t>
          </w:r>
          <w:r w:rsidR="00851B00">
            <w:rPr>
              <w:rFonts w:eastAsia="Times New Roman"/>
              <w:sz w:val="20"/>
              <w:szCs w:val="20"/>
            </w:rPr>
            <w:t xml:space="preserve"> ADL5902-Based Receiver</w:t>
          </w:r>
          <w:r w:rsidR="00BC2B23">
            <w:rPr>
              <w:rFonts w:eastAsia="Times New Roman"/>
              <w:sz w:val="20"/>
              <w:szCs w:val="20"/>
            </w:rPr>
            <w:t>s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59807E1F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9438EC">
            <w:rPr>
              <w:noProof/>
              <w:sz w:val="20"/>
              <w:szCs w:val="20"/>
            </w:rPr>
            <w:t>2023-08-14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7060"/>
    <w:rsid w:val="0002037E"/>
    <w:rsid w:val="00030B4C"/>
    <w:rsid w:val="000338E6"/>
    <w:rsid w:val="00034A15"/>
    <w:rsid w:val="00041A45"/>
    <w:rsid w:val="00042B92"/>
    <w:rsid w:val="0004791F"/>
    <w:rsid w:val="00054B54"/>
    <w:rsid w:val="000555F6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2420"/>
    <w:rsid w:val="000C59FF"/>
    <w:rsid w:val="000D0ED0"/>
    <w:rsid w:val="000D149F"/>
    <w:rsid w:val="000E1314"/>
    <w:rsid w:val="000F0841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97746"/>
    <w:rsid w:val="002A24EF"/>
    <w:rsid w:val="002A6B5C"/>
    <w:rsid w:val="002B02D7"/>
    <w:rsid w:val="002B49CA"/>
    <w:rsid w:val="002B65A7"/>
    <w:rsid w:val="002B78E4"/>
    <w:rsid w:val="002C4F47"/>
    <w:rsid w:val="002D14C3"/>
    <w:rsid w:val="002D15C1"/>
    <w:rsid w:val="002D6BFE"/>
    <w:rsid w:val="002F0AA8"/>
    <w:rsid w:val="002F594A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45CAA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103A"/>
    <w:rsid w:val="003D29A0"/>
    <w:rsid w:val="003E3523"/>
    <w:rsid w:val="003E6515"/>
    <w:rsid w:val="003F2AC3"/>
    <w:rsid w:val="00401155"/>
    <w:rsid w:val="004057EB"/>
    <w:rsid w:val="00413E44"/>
    <w:rsid w:val="00415506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366AD"/>
    <w:rsid w:val="00547928"/>
    <w:rsid w:val="00547CA1"/>
    <w:rsid w:val="005601CA"/>
    <w:rsid w:val="00560A6A"/>
    <w:rsid w:val="00560AD2"/>
    <w:rsid w:val="005637A3"/>
    <w:rsid w:val="0056685F"/>
    <w:rsid w:val="00571CE3"/>
    <w:rsid w:val="0057350E"/>
    <w:rsid w:val="005750F8"/>
    <w:rsid w:val="00575A8B"/>
    <w:rsid w:val="00581B58"/>
    <w:rsid w:val="005820B7"/>
    <w:rsid w:val="00583D67"/>
    <w:rsid w:val="005871A7"/>
    <w:rsid w:val="0058732F"/>
    <w:rsid w:val="00596677"/>
    <w:rsid w:val="005A392B"/>
    <w:rsid w:val="005A73E5"/>
    <w:rsid w:val="005B41A6"/>
    <w:rsid w:val="005B4FA4"/>
    <w:rsid w:val="005C01DB"/>
    <w:rsid w:val="005C361C"/>
    <w:rsid w:val="005C7866"/>
    <w:rsid w:val="005D0A6A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1FD"/>
    <w:rsid w:val="00635266"/>
    <w:rsid w:val="00640098"/>
    <w:rsid w:val="00641E61"/>
    <w:rsid w:val="006509F2"/>
    <w:rsid w:val="00650C81"/>
    <w:rsid w:val="00654439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1C57"/>
    <w:rsid w:val="00714FB9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1CF2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1B00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2ED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38EC"/>
    <w:rsid w:val="00947148"/>
    <w:rsid w:val="00951999"/>
    <w:rsid w:val="009537E8"/>
    <w:rsid w:val="009539A8"/>
    <w:rsid w:val="009643BA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46D4F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377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2B23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2435"/>
    <w:rsid w:val="00D14918"/>
    <w:rsid w:val="00D22B66"/>
    <w:rsid w:val="00D25546"/>
    <w:rsid w:val="00D306E3"/>
    <w:rsid w:val="00D323CD"/>
    <w:rsid w:val="00D339B7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1A86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16E6B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2DAE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66F23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inicircuits.com/pdfs/PMA2-63LN+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analog.com/media/en/technical-documentation/data-sheets/ADL5902.pdf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p.woodshot.com/hprfhelp/4_downld/lit/diodelit/an956-1.pdf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filehost\evla\techdocs\RFI\coopshare\remynguyen\SolarTelescope-ASWA\Solar-Telescope-Redesign\Research\AN956-1.pdf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nicircuits.com/pdfs/PMA2-123LN+.pdf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2885-0801-4E0E-89E6-F909045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6538</TotalTime>
  <Pages>7</Pages>
  <Words>791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6226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23</cp:revision>
  <cp:lastPrinted>2009-10-10T21:07:00Z</cp:lastPrinted>
  <dcterms:created xsi:type="dcterms:W3CDTF">2019-10-25T18:11:00Z</dcterms:created>
  <dcterms:modified xsi:type="dcterms:W3CDTF">2023-08-14T20:58:00Z</dcterms:modified>
  <cp:category/>
</cp:coreProperties>
</file>