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5639" w14:textId="590F408B" w:rsidR="004C7568" w:rsidRDefault="00123856">
      <w:hyperlink r:id="rId4" w:history="1">
        <w:r w:rsidRPr="00123856">
          <w:rPr>
            <w:rStyle w:val="a3"/>
          </w:rPr>
          <w:t>http://www.consultant.ru/document/cons_doc_LAW_58804/40e51cab3d3012c37e574468108ad7e8b7bef6fe/</w:t>
        </w:r>
      </w:hyperlink>
    </w:p>
    <w:sectPr w:rsidR="004C7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56"/>
    <w:rsid w:val="00123856"/>
    <w:rsid w:val="004C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C7A4"/>
  <w15:chartTrackingRefBased/>
  <w15:docId w15:val="{1A8B92E2-7D61-45B8-B026-DC6A2614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8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58804/40e51cab3d3012c37e574468108ad7e8b7bef6f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Terolai Nekomori</dc:creator>
  <cp:keywords/>
  <dc:description/>
  <cp:lastModifiedBy>Terolai Nekomori</cp:lastModifiedBy>
  <cp:revision>1</cp:revision>
  <dcterms:created xsi:type="dcterms:W3CDTF">2022-02-21T17:55:00Z</dcterms:created>
  <dcterms:modified xsi:type="dcterms:W3CDTF">2022-02-21T17:55:00Z</dcterms:modified>
</cp:coreProperties>
</file>