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545b17a9b8d460c" /><Relationship Type="http://schemas.openxmlformats.org/package/2006/relationships/metadata/core-properties" Target="package/services/metadata/core-properties/3c95b072774641c38da3bb1aa538676e.psmdcp" Id="Rfab476b674514ba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 xmlns:wp14="http://schemas.microsoft.com/office/word/2010/wordml" w14:paraId="71B03630" wp14:textId="77777777">
        <w:trPr>
          <w:cantSplit w:val="0"/>
          <w:tblHeader w:val="0"/>
        </w:trPr>
        <w:tc>
          <w:tcPr>
            <w:vAlign w:val="top"/>
          </w:tcPr>
          <w:p w:rsidRPr="00000000" w:rsidR="00000000" w:rsidDel="00000000" w:rsidP="00000000" w:rsidRDefault="00000000" w14:paraId="00000002" wp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Неронов Роман </w:t>
            </w:r>
          </w:p>
          <w:p w:rsidRPr="00000000" w:rsidR="00000000" w:rsidDel="00000000" w:rsidP="00000000" w:rsidRDefault="00000000" w14:paraId="00000003" wp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04" wp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Pr="00000000" w:rsidR="00000000" w:rsidDel="00000000" w:rsidP="00000000" w:rsidRDefault="00000000" w14:paraId="00000005" wp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06.04.2022</w:t>
            </w:r>
          </w:p>
        </w:tc>
      </w:tr>
      <w:tr xmlns:wp14="http://schemas.microsoft.com/office/word/2010/wordml" w14:paraId="21135C9C" wp14:textId="77777777">
        <w:trPr>
          <w:cantSplit w:val="0"/>
          <w:tblHeader w:val="0"/>
        </w:trPr>
        <w:tc>
          <w:tcPr>
            <w:vAlign w:val="top"/>
          </w:tcPr>
          <w:p w:rsidRPr="00000000" w:rsidR="00000000" w:rsidDel="00000000" w:rsidP="00000000" w:rsidRDefault="00000000" w14:paraId="00000006" wp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Номер эссе: 18</w:t>
            </w: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ab/>
            </w:r>
          </w:p>
        </w:tc>
        <w:tc>
          <w:tcPr>
            <w:gridSpan w:val="2"/>
            <w:vAlign w:val="top"/>
          </w:tcPr>
          <w:p w:rsidRPr="00000000" w:rsidR="00000000" w:rsidDel="00000000" w:rsidP="00000000" w:rsidRDefault="00000000" w14:paraId="00000007" wp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Тема эссе: “УРАВНЕНИЯ ЛАГРАНЖА”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9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1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bookmarkStart w:name="_heading=h.1fob9te" w:colFirst="0" w:colLast="0" w:id="1177830846"/>
      <w:bookmarkEnd w:id="1177830846"/>
      <w:r w:rsidRPr="00000000" w:rsidDel="00000000" w:rsidR="00000000"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Уравнения Лагранжа второго рода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Рассмотрим механическую систему из N материальных точек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</m:oMath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 массы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j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∈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[1:N]</m:t>
        </m:r>
      </m:oMath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, все условия связи независимые, голономные и идеальные, s - число степеней свободы,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...,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</m:oMath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 - независимые обобщенные координаты. Тогда можно положить, что </w:t>
      </w:r>
      <m:oMath>
        <m: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≠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0, 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=....=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</m:t>
        </m:r>
      </m:oMath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, затем </w:t>
      </w:r>
      <m:oMath>
        <m: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>≠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0, 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=...=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</m:t>
        </m:r>
      </m:oMath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 и так далее. В итоге, из  </w:t>
      </w:r>
      <m:oMath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nary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d</m:t>
                </m:r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dt</m:t>
                </m:r>
              </m:den>
            </m:f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∂T</m:t>
                </m:r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q</m:t>
                        </m:r>
                      </m:e>
                    </m:acc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p</m:t>
                    </m:r>
                  </m:sub>
                </m:sSub>
              </m:den>
            </m:f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-</m:t>
            </m:r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∂T</m:t>
                </m:r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p</m:t>
                    </m:r>
                  </m:sub>
                </m:sSub>
              </m:den>
            </m:f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p</m:t>
                </m:r>
              </m:sub>
            </m:sSub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>δ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</m:t>
        </m:r>
      </m:oMath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 получаем </w:t>
      </w:r>
      <w:r w:rsidRPr="1846F306" w:rsidDel="00000000" w:rsidR="1846F306">
        <w:rPr>
          <w:rFonts w:ascii="Times New Roman" w:hAnsi="Times New Roman" w:eastAsia="Times New Roman" w:cs="Times New Roman"/>
          <w:sz w:val="28"/>
          <w:szCs w:val="28"/>
          <w:u w:val="none"/>
        </w:rPr>
        <w:t xml:space="preserve">уравнения Лагранжа второго рода</w:t>
      </w:r>
      <w:r w:rsidRPr="00000000" w:rsidDel="00000000" w:rsidR="1846F306"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m:oMath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∂T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∂T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=0, i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∈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[1:s]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Чтобы для конкретной механической системы выписать их явно, необходимо: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Получить кинетическую энергию T и обобщенные силы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как функции аргументов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,...,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,t</m:t>
        </m:r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подставить их в левую часть уравнений Лагранжа, продифференцировав.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Найти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через потенциал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=-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∂П</m:t>
            </m:r>
            <m:d>
              <m:dPr>
                <m:begChr m:val="("/>
                <m:endChr m:val=")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x</m:t>
                    </m:r>
                  </m:e>
                </m:acc>
                <m:d>
                  <m:dPr>
                    <m:begChr m:val="("/>
                    <m:endChr m:val=")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q,t</m:t>
                    </m:r>
                  </m:e>
                </m:d>
              </m:e>
            </m:d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где </w:t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П</m:t>
        </m:r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x</m:t>
                </m:r>
              </m:e>
            </m:acc>
          </m:e>
        </m:d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– потенциальная энергия этой системы.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spacing w:after="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Ввести функцию Лагранжа: L = T - П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Уравнения Лагранжа можно представить в виде: </w:t>
      </w:r>
      <m:oMath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∂L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∂L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=0, i=</m:t>
        </m:r>
        <m:d>
          <m:dPr>
            <m:begChr m:val="["/>
            <m:endChr m:val="]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1,s</m:t>
            </m:r>
          </m:e>
        </m:d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так как </w:t>
      </w:r>
      <m:oMath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∂П</m:t>
            </m:r>
            <m:d>
              <m:dPr>
                <m:begChr m:val="("/>
                <m:endChr m:val=")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x</m:t>
                    </m:r>
                  </m:e>
                </m:acc>
                <m:d>
                  <m:dPr>
                    <m:begChr m:val="("/>
                    <m:endChr m:val=")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q,t</m:t>
                    </m:r>
                  </m:e>
                </m:d>
              </m:e>
            </m:d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Как видим, для того, чтобы выписать уравнения Лагранжа второго рода в случае потенциальных сил, достаточно составить величину L как функцию аргументов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...,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,...,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,t</m:t>
        </m:r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подставить их в левую часть уравнений </w:t>
      </w:r>
      <m:oMath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d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dt</m:t>
            </m:r>
          </m:den>
        </m:f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∂L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-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∂L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=0, i=</m:t>
        </m:r>
        <m:d>
          <m:dPr>
            <m:begChr m:val="["/>
            <m:endChr m:val="]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1,s</m:t>
            </m:r>
          </m:e>
        </m:d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продифференцировав.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Из алгоритма следует, что уравнения Лагранжа не изменяют своего вида при замене одних обобщённых координат на другие.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Уравнения Лагранжа второго рода инвариантны относительно какого-то класса преобразований, если каждое преобразование этого класса не изменяет функцию Лагранжа L (T и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Q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Style w:val="Heading1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bookmarkStart w:name="_heading=h.3znysh7" w:colFirst="0" w:colLast="0" w:id="1"/>
      <w:bookmarkEnd w:id="1"/>
      <w:r w:rsidRPr="00000000" w:rsidDel="00000000" w:rsidR="00000000"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Разрешимость уравнений Лагранжа второго рода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1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bookmarkStart w:name="_heading=h.ncjjnuu2jke1" w:colFirst="0" w:colLast="0" w:id="2"/>
      <w:bookmarkEnd w:id="2"/>
      <w:r w:rsidRPr="00000000" w:rsidDel="00000000" w:rsidR="00000000"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относительно старших производных.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Покажем, что уравнения Лагранжа второго рода разрешимы относительно вторых производных обобщенных координат.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Рассмотрим кинетическую энергию в декартовых координатах и перейдем к обобщенным: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T=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sSubSup>
          <m:sSubSup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SupPr>
          <m:e>
            <m:acc>
              <m:accPr>
                <m:chr m:val="⃗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υ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s</m:t>
                </m:r>
              </m:sup>
            </m:nary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r</m:t>
                        </m:r>
                      </m:e>
                    </m:acc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j</m:t>
                    </m:r>
                  </m:sub>
                </m:sSub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r</m:t>
                        </m:r>
                      </m:e>
                    </m:acc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j</m:t>
                    </m:r>
                  </m:sub>
                </m:sSub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∂t</m:t>
                </m:r>
              </m:den>
            </m:f>
          </m:e>
        </m:d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k=1</m:t>
                </m:r>
              </m:sub>
              <m:sup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s</m:t>
                </m:r>
              </m:sup>
            </m:nary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r</m:t>
                        </m:r>
                      </m:e>
                    </m:acc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j</m:t>
                    </m:r>
                  </m:sub>
                </m:sSub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k</m:t>
                    </m:r>
                  </m:sub>
                </m:sSub>
              </m:den>
            </m:f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k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r</m:t>
                        </m:r>
                      </m:e>
                    </m:acc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j</m:t>
                    </m:r>
                  </m:sub>
                </m:sSub>
              </m:num>
              <m:den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∂t</m:t>
                </m:r>
              </m:den>
            </m:f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0</m:t>
            </m:r>
          </m:sub>
        </m:sSub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где 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</m:t>
            </m:r>
          </m:sub>
        </m:sSub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k,i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j=0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k</m:t>
                </m:r>
              </m:sub>
            </m:sSub>
          </m:den>
        </m:f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p=1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p</m:t>
            </m:r>
          </m:sub>
        </m:sSub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p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p</m:t>
                </m:r>
              </m:sub>
            </m:sSub>
          </m:den>
        </m:f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∂t</m:t>
            </m:r>
          </m:den>
        </m:f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sSup>
          <m:sSup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m:t xml:space="preserve"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j</m:t>
                        </m:r>
                      </m:sub>
                    </m:sSub>
                  </m:num>
                  <m:den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∂t</m:t>
                    </m:r>
                  </m:den>
                </m:f>
              </m:e>
            </m:d>
          </m:e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.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Используя эти обозначения запишем уравнения Лагранжа в следующем виде: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</m:t>
            </m:r>
          </m:sub>
        </m:sSub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</m:acc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 i∈</m:t>
        </m:r>
        <m:d>
          <m:dPr>
            <m:begChr m:val="["/>
            <m:endChr m:val="]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1:s</m:t>
            </m:r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,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after="160"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где величины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не зависят от обобщенных ускорений. Отсюда следует, что для доказательства разрешимости уравнений Лагранжа второго рода относительно обобщенных ускорений достаточно доказать, что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after="160"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detA </m:t>
        </m:r>
        <m:r>
          <w:rPr>
            <w:rFonts w:ascii="Times New Roman" w:hAnsi="Times New Roman" w:eastAsia="Times New Roman" w:cs="Times New Roman"/>
            <w:sz w:val="28"/>
            <w:szCs w:val="28"/>
          </w:rPr>
          <m:t>≠</m:t>
        </m:r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0, A=(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)</m:t>
        </m:r>
        <m:sSup>
          <m:sSup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|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i,k = 1</m:t>
                </m:r>
              </m:sub>
            </m:sSub>
          </m:e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sSup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 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after="160"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u=</m:t>
        </m:r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,…,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s</m:t>
                </m:r>
              </m:sub>
            </m:sSub>
          </m:e>
        </m:d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тогда рассмотрим квадратичную форму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after="160" w:line="24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i,k</m:t>
            </m:r>
          </m:sub>
        </m:sSub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k</m:t>
            </m:r>
          </m:sub>
        </m:sSub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after="160"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Применив критерий Сильвестра, получаем, что нам необходимо доказать, что для любых </w:t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u </m:t>
        </m:r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</m:t>
        </m:r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Пусть при некотором </w:t>
      </w:r>
      <m:oMath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u≠0</m:t>
        </m:r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выполнено равенство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</m:t>
        </m:r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то тогда с учетом того, что </w:t>
      </w:r>
      <m:oMath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j</m:t>
            </m:r>
          </m:sub>
        </m:sSub>
        <m:sSup>
          <m:sSup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s</m:t>
                    </m:r>
                  </m:sup>
                </m:nary>
                <m:f>
                  <m:f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  <m:t xml:space="preserve"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j</m:t>
                        </m:r>
                      </m:sub>
                    </m:sSub>
                  </m:num>
                  <m:den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Times New Roman" w:hAnsi="Times New Roman" w:eastAsia="Times New Roman" w:cs="Times New Roman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2</m:t>
            </m:r>
          </m:sup>
        </m:sSup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  получаем, что </w:t>
      </w:r>
      <m:oMath>
        <m:nary>
          <m:naryPr>
            <m:chr m:val="∑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s</m:t>
            </m:r>
          </m:sup>
        </m:nary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Times New Roman" w:hAnsi="Times New Roman" w:eastAsia="Times New Roman" w:cs="Times New Roman"/>
                        <w:sz w:val="28"/>
                        <w:szCs w:val="28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j</m:t>
                </m:r>
              </m:sub>
            </m:sSub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  <m:sSub>
          <m:sSub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=0,j∈</m:t>
        </m:r>
        <m:d>
          <m:dPr>
            <m:begChr m:val="["/>
            <m:endChr m:val="]"/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 xml:space="preserve">1:N</m:t>
            </m:r>
          </m:e>
        </m:d>
        <m:r>
          <w:rPr>
            <w:rFonts w:ascii="Times New Roman" w:hAnsi="Times New Roman" w:eastAsia="Times New Roman" w:cs="Times New Roman"/>
            <w:sz w:val="28"/>
            <w:szCs w:val="28"/>
          </w:rPr>
          <m:t xml:space="preserve">.</m:t>
        </m:r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40" w:after="240" w:line="323.4375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Чтобы столбцы матрицы </w:t>
      </w:r>
      <m:oMath>
        <m:f>
          <m:num>
            <m: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v</m:t>
                </m:r>
              </m:sub>
            </m:sSub>
          </m:num>
          <m:den>
            <m:r>
              <w:rPr>
                <w:rFonts w:ascii="Times New Roman" w:hAnsi="Times New Roman" w:eastAsia="Times New Roman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  <m:t xml:space="preserve">p</m:t>
                </m:r>
              </m:sub>
            </m:sSub>
          </m:den>
        </m:f>
      </m:oMath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были линейно зависимы, ранг должен быть меньше s, в то время как, мы ранее доказывали, что он равен s.</w:t>
      </w:r>
    </w:p>
    <w:sectPr>
      <w:pgSz w:w="11909" w:h="16834" w:orient="portrait"/>
      <w:pgMar w:top="566" w:right="566" w:bottom="566" w:lef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3B8D712"/>
  <w15:docId w15:val="{75D780B3-1D70-43EA-845E-A87C1DBDF483}"/>
  <w:rsids>
    <w:rsidRoot w:val="1846F306"/>
    <w:rsid w:val="1846F30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fIOQS2yZSTMb4ShOVPtYWQdSQ==">AMUW2mUg+IePOewDMpwf9vQgWvDAwaLSzzU/6dwaUPWNQw6ex5DCqULBv6LDOB6zv110PQJJyZOVbBWWCoV4s+GIxOjQgwn4gxHJq53HNmWrnwANF2Wo1TBcSvO4NR1RwMymmWsSreGbQO099bzSfdbIgjOvGbOfp5TLpiYf45+guaays+0ci8o=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