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F3864"/>
          <w:sz w:val="40"/>
          <w:szCs w:val="40"/>
        </w:rPr>
        <w:t xml:space="preserve">ViewComponent for Lawyer Card Rendering</w:t>
      </w:r>
    </w:p>
    <w:p>
      <w:pPr>
        <w:spacing w:after="80"/>
      </w:pPr>
      <w:r>
        <w:rPr>
          <w:rFonts w:ascii="Arial" w:cs="Arial" w:eastAsia="Arial" w:hAnsi="Arial"/>
          <w:color w:val="2E75B6"/>
          <w:sz w:val="24"/>
          <w:szCs w:val="24"/>
        </w:rPr>
        <w:t xml:space="preserve">Initiative Summary, Problem Statement,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April 8, 2026</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CSMR Tech Weekly meeting + CSMR-16002 spike + Technical Proposal Doc</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Filip Tkalec (Dev Lead)</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Tickets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CSMR-16002 (Spike, Closed) / CSMR-16040 (Implementation)</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Ready for QA, pending branch deploy + performance measurement</w:t>
            </w:r>
          </w:p>
        </w:tc>
      </w:tr>
    </w:tbl>
    <w:p>
      <w:pPr>
        <w:spacing w:after="40" w:before="40"/>
      </w:pPr>
    </w:p>
    <w:p>
      <w:pPr>
        <w:pStyle w:val="Heading1"/>
      </w:pPr>
      <w:r>
        <w:t xml:space="preserve">What Is the Issue</w:t>
      </w:r>
    </w:p>
    <w:p>
      <w:pPr>
        <w:spacing w:after="160"/>
      </w:pPr>
      <w:r>
        <w:rPr>
          <w:rFonts w:ascii="Arial" w:cs="Arial" w:eastAsia="Arial" w:hAnsi="Arial"/>
          <w:sz w:val="22"/>
          <w:szCs w:val="22"/>
        </w:rPr>
        <w:t xml:space="preserve">The lawyer card on the Avvo Consumer Directory SERP page has two completely separate code paths that render the same visual card:</w:t>
      </w:r>
    </w:p>
    <w:p>
      <w:pPr>
        <w:pStyle w:val="ListParagraph"/>
        <w:numPr>
          <w:ilvl w:val="0"/>
          <w:numId w:val="2"/>
        </w:numPr>
        <w:spacing w:after="80"/>
      </w:pPr>
      <w:r>
        <w:rPr>
          <w:rFonts w:ascii="Arial" w:cs="Arial" w:eastAsia="Arial" w:hAnsi="Arial"/>
          <w:b/>
          <w:bCs/>
          <w:sz w:val="22"/>
          <w:szCs w:val="22"/>
        </w:rPr>
        <w:t xml:space="preserve">Live path </w:t>
      </w:r>
      <w:r>
        <w:rPr>
          <w:rFonts w:ascii="Arial" w:cs="Arial" w:eastAsia="Arial" w:hAnsi="Arial"/>
          <w:sz w:val="22"/>
          <w:szCs w:val="22"/>
        </w:rPr>
        <w:t xml:space="preserve">(lawyers_helper.rb + _lawyer.html.erb) — consumes live Solicitor API objects using dot-notation (lawyer.fullname, lawyer.eligible_ctas).</w:t>
      </w:r>
    </w:p>
    <w:p>
      <w:pPr>
        <w:pStyle w:val="ListParagraph"/>
        <w:numPr>
          <w:ilvl w:val="0"/>
          <w:numId w:val="2"/>
        </w:numPr>
        <w:spacing w:after="160"/>
      </w:pPr>
      <w:r>
        <w:rPr>
          <w:rFonts w:ascii="Arial" w:cs="Arial" w:eastAsia="Arial" w:hAnsi="Arial"/>
          <w:b/>
          <w:bCs/>
          <w:sz w:val="22"/>
          <w:szCs w:val="22"/>
        </w:rPr>
        <w:t xml:space="preserve">Cached path </w:t>
      </w:r>
      <w:r>
        <w:rPr>
          <w:rFonts w:ascii="Arial" w:cs="Arial" w:eastAsia="Arial" w:hAnsi="Arial"/>
          <w:sz w:val="22"/>
          <w:szCs w:val="22"/>
        </w:rPr>
        <w:t xml:space="preserve">(precached_lawyers_helper.rb + _precached_lawyer.html.erb) — consumes Redis-cached hashes with string key access (lcard['fullname'], lcard['eligible_ctas']).</w:t>
      </w:r>
    </w:p>
    <w:p>
      <w:pPr>
        <w:spacing w:after="160"/>
      </w:pPr>
      <w:r>
        <w:rPr>
          <w:rFonts w:ascii="Arial" w:cs="Arial" w:eastAsia="Arial" w:hAnsi="Arial"/>
          <w:sz w:val="22"/>
          <w:szCs w:val="22"/>
        </w:rPr>
        <w:t xml:space="preserve">Both paths render the exact same HTML card, but they diverge across approximately 30 parallel helper methods and two separate ERB template files (each around 170 lines). This means any change to the lawyer card on Directory requires editing two files, testing two views, and QA verifying both the live and pre-cached rendering paths separately.</w:t>
      </w:r>
    </w:p>
    <w:p>
      <w:pPr>
        <w:pStyle w:val="Heading1"/>
      </w:pPr>
      <w:r>
        <w:t xml:space="preserve">What Problem Does It Solve</w:t>
      </w:r>
    </w:p>
    <w:p>
      <w:pPr>
        <w:spacing w:after="120"/>
      </w:pPr>
      <w:r>
        <w:rPr>
          <w:rFonts w:ascii="Arial" w:cs="Arial" w:eastAsia="Arial" w:hAnsi="Arial"/>
          <w:b/>
          <w:bCs/>
          <w:sz w:val="22"/>
          <w:szCs w:val="22"/>
        </w:rPr>
        <w:t xml:space="preserve">Code Duplication and Developer Velocity</w:t>
      </w:r>
    </w:p>
    <w:p>
      <w:pPr>
        <w:spacing w:after="160"/>
      </w:pPr>
      <w:r>
        <w:rPr>
          <w:rFonts w:ascii="Arial" w:cs="Arial" w:eastAsia="Arial" w:hAnsi="Arial"/>
          <w:sz w:val="22"/>
          <w:szCs w:val="22"/>
        </w:rPr>
        <w:t xml:space="preserve">Every change to the lawyer card today requires modifying two separate view files, two separate helper modules, and running two separate QA passes. This doubles development time, doubles QA time, and is a constant source of subtle bugs when one path gets updated but the other doesn’t. As Filip noted in the meeting: “everybody who worked on directory knows how it feels working on two files.”</w:t>
      </w:r>
    </w:p>
    <w:p>
      <w:pPr>
        <w:spacing w:after="120"/>
      </w:pPr>
      <w:r>
        <w:rPr>
          <w:rFonts w:ascii="Arial" w:cs="Arial" w:eastAsia="Arial" w:hAnsi="Arial"/>
          <w:b/>
          <w:bCs/>
          <w:sz w:val="22"/>
          <w:szCs w:val="22"/>
        </w:rPr>
        <w:t xml:space="preserve">Testing Gaps</w:t>
      </w:r>
    </w:p>
    <w:p>
      <w:pPr>
        <w:spacing w:after="160"/>
      </w:pPr>
      <w:r>
        <w:rPr>
          <w:rFonts w:ascii="Arial" w:cs="Arial" w:eastAsia="Arial" w:hAnsi="Arial"/>
          <w:sz w:val="22"/>
          <w:szCs w:val="22"/>
        </w:rPr>
        <w:t xml:space="preserve">The current architecture has limited test coverage because testing requires deeply nested mock objects and full ActionView bindings. The eligible_ctas shape difference between live and cached paths (symbol array vs. string-keyed hash) is currently completely untested. ViewComponent enables isolated component tests that run in milliseconds with stub adapters — no HTTP stack, no VCR cassettes, no external API calls.</w:t>
      </w:r>
    </w:p>
    <w:p>
      <w:pPr>
        <w:spacing w:after="120"/>
      </w:pPr>
      <w:r>
        <w:rPr>
          <w:rFonts w:ascii="Arial" w:cs="Arial" w:eastAsia="Arial" w:hAnsi="Arial"/>
          <w:b/>
          <w:bCs/>
          <w:sz w:val="22"/>
          <w:szCs w:val="22"/>
        </w:rPr>
        <w:t xml:space="preserve">Performance</w:t>
      </w:r>
    </w:p>
    <w:p>
      <w:pPr>
        <w:spacing w:after="160"/>
      </w:pPr>
      <w:r>
        <w:rPr>
          <w:rFonts w:ascii="Arial" w:cs="Arial" w:eastAsia="Arial" w:hAnsi="Arial"/>
          <w:sz w:val="22"/>
          <w:szCs w:val="22"/>
        </w:rPr>
        <w:t xml:space="preserve">ViewComponent compiles templates to Ruby methods at boot time rather than evaluating ERB on every render. It eliminates file system lookups for partials. GitHub’s published benchmarks show ~10x faster response times. For a SERP page rendering 25 lawyer cards (currently 50 ERB partials), this is a meaningful per-request improvement. Additionally, ViewComponent enables fragment caching of individual rendered cards — something not possible with the current ERB approach.</w:t>
      </w:r>
    </w:p>
    <w:p>
      <w:pPr>
        <w:pStyle w:val="Heading1"/>
      </w:pPr>
      <w:r>
        <w:t xml:space="preserve">How Does It Work</w:t>
      </w:r>
    </w:p>
    <w:p>
      <w:pPr>
        <w:spacing w:after="160"/>
      </w:pPr>
      <w:r>
        <w:rPr>
          <w:rFonts w:ascii="Arial" w:cs="Arial" w:eastAsia="Arial" w:hAnsi="Arial"/>
          <w:sz w:val="22"/>
          <w:szCs w:val="22"/>
        </w:rPr>
        <w:t xml:space="preserve">The solution uses the view_component gem (created by GitHub, integrated into Rails) to replace helpers, presenters, and parallel ERB templates with self-contained components. Each component has a Ruby file (containing all backend logic) and an HTML.ERB file (containing only the view), similar to how React components work. The architecture has three main pieces:</w:t>
      </w:r>
    </w:p>
    <w:p>
      <w:pPr>
        <w:spacing w:after="120"/>
      </w:pPr>
      <w:r>
        <w:rPr>
          <w:rFonts w:ascii="Arial" w:cs="Arial" w:eastAsia="Arial" w:hAnsi="Arial"/>
          <w:b/>
          <w:bCs/>
          <w:sz w:val="22"/>
          <w:szCs w:val="22"/>
        </w:rPr>
        <w:t xml:space="preserve">1. Adapter Layer</w:t>
      </w:r>
    </w:p>
    <w:p>
      <w:pPr>
        <w:spacing w:after="160"/>
      </w:pPr>
      <w:r>
        <w:rPr>
          <w:rFonts w:ascii="Arial" w:cs="Arial" w:eastAsia="Arial" w:hAnsi="Arial"/>
          <w:sz w:val="22"/>
          <w:szCs w:val="22"/>
        </w:rPr>
        <w:t xml:space="preserve">A thin adapter layer normalizes both data sources (live Solicitor API objects and Redis-cached hashes) into a single interface. A base adapter defines the contract (id, fullname, eligible_ctas, etc.), and two implementations — LiveLawyerAdapter and PrecachedLawyerAdapter — each know how to read from their respective data source. Components never need to know which data path they’re rendering. This is the critical piece that eliminates the branching.</w:t>
      </w:r>
    </w:p>
    <w:p>
      <w:pPr>
        <w:spacing w:after="120"/>
      </w:pPr>
      <w:r>
        <w:rPr>
          <w:rFonts w:ascii="Arial" w:cs="Arial" w:eastAsia="Arial" w:hAnsi="Arial"/>
          <w:b/>
          <w:bCs/>
          <w:sz w:val="22"/>
          <w:szCs w:val="22"/>
        </w:rPr>
        <w:t xml:space="preserve">2. Component Tree</w:t>
      </w:r>
    </w:p>
    <w:p>
      <w:pPr>
        <w:spacing w:after="160"/>
      </w:pPr>
      <w:r>
        <w:rPr>
          <w:rFonts w:ascii="Arial" w:cs="Arial" w:eastAsia="Arial" w:hAnsi="Arial"/>
          <w:sz w:val="22"/>
          <w:szCs w:val="22"/>
        </w:rPr>
        <w:t xml:space="preserve">The lawyer card is broken into a LawyerCardComponent with sub-components: HeadshotComponent, LawyerNameComponent, RatingRowComponent, LawyerDetailsComponent (containing address, license, and introduction), and a CtaBlockComponent (containing phone, profile, website, message, Ngage, and appointment CTAs). Each component can be tested in isolation.</w:t>
      </w:r>
    </w:p>
    <w:p>
      <w:pPr>
        <w:spacing w:after="120"/>
      </w:pPr>
      <w:r>
        <w:rPr>
          <w:rFonts w:ascii="Arial" w:cs="Arial" w:eastAsia="Arial" w:hAnsi="Arial"/>
          <w:b/>
          <w:bCs/>
          <w:sz w:val="22"/>
          <w:szCs w:val="22"/>
        </w:rPr>
        <w:t xml:space="preserve">3. Unified Rendering</w:t>
      </w:r>
    </w:p>
    <w:p>
      <w:pPr>
        <w:spacing w:after="160"/>
      </w:pPr>
      <w:r>
        <w:rPr>
          <w:rFonts w:ascii="Arial" w:cs="Arial" w:eastAsia="Arial" w:hAnsi="Arial"/>
          <w:sz w:val="22"/>
          <w:szCs w:val="22"/>
        </w:rPr>
        <w:t xml:space="preserve">Instead of two separate partials, the controller renders a single LawyerCardComponent and passes it a lawyer adapter. Whether the data comes from the live API or Redis cache, the same view is rendered. One change, one test, one QA pass. Pre-caching itself is not removed — the data still comes from two different sources, but the presentation layer is unified.</w:t>
      </w:r>
    </w:p>
    <w:p>
      <w:pPr>
        <w:pStyle w:val="Heading1"/>
      </w:pPr>
      <w:r>
        <w:t xml:space="preserve">Expected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Dev Velocity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view file to change instead of two. No more duplicate helpers/presenters. Estimated ~50% reduction in time per Directory card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QA Effort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rendering path means one QA pass instead of two. Test coverage consolidation from ~30 duplicate test scenarios to ~15 unified tests.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Bug Reduction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Eliminates an entire class of bugs where one code path gets updated and the other doesn’t.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Compiled Ruby methods vs. ERB eval per render. Up to ~10x faster template rendering per GitHub benchmarks. New fragment caching opportunity for individual cards.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Testability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component can be tested in isolation with stub adapters. No mocking, no VCR cassettes, millisecond execution.</w:t>
            </w:r>
          </w:p>
        </w:tc>
      </w:tr>
    </w:tbl>
    <w:p>
      <w:pPr>
        <w:spacing w:after="40" w:before="40"/>
      </w:pPr>
    </w:p>
    <w:p>
      <w:pPr>
        <w:pStyle w:val="Heading1"/>
      </w:pPr>
      <w:r>
        <w:t xml:space="preserve">Key Risks</w:t>
      </w:r>
    </w:p>
    <w:p>
      <w:pPr>
        <w:pStyle w:val="ListParagraph"/>
        <w:numPr>
          <w:ilvl w:val="0"/>
          <w:numId w:val="3"/>
        </w:numPr>
        <w:spacing w:after="80"/>
      </w:pPr>
      <w:r>
        <w:rPr>
          <w:rFonts w:ascii="Arial" w:cs="Arial" w:eastAsia="Arial" w:hAnsi="Arial"/>
          <w:b/>
          <w:bCs/>
          <w:sz w:val="22"/>
          <w:szCs w:val="22"/>
        </w:rPr>
        <w:t xml:space="preserve">eligible_ctas shape mismatch (High): </w:t>
      </w:r>
      <w:r>
        <w:rPr>
          <w:rFonts w:ascii="Arial" w:cs="Arial" w:eastAsia="Arial" w:hAnsi="Arial"/>
          <w:sz w:val="22"/>
          <w:szCs w:val="22"/>
        </w:rPr>
        <w:t xml:space="preserve">The live path uses a symbol array while the cached path uses a string-keyed hash. Incorrect normalization in the adapter could break CTA rendering. Mitigated by comprehensive adapter unit tests.</w:t>
      </w:r>
    </w:p>
    <w:p>
      <w:pPr>
        <w:pStyle w:val="ListParagraph"/>
        <w:numPr>
          <w:ilvl w:val="0"/>
          <w:numId w:val="3"/>
        </w:numPr>
        <w:spacing w:after="80"/>
      </w:pPr>
      <w:r>
        <w:rPr>
          <w:rFonts w:ascii="Arial" w:cs="Arial" w:eastAsia="Arial" w:hAnsi="Arial"/>
          <w:b/>
          <w:bCs/>
          <w:sz w:val="22"/>
          <w:szCs w:val="22"/>
        </w:rPr>
        <w:t xml:space="preserve">CSS/DOM structure changes (Medium): </w:t>
      </w:r>
      <w:r>
        <w:rPr>
          <w:rFonts w:ascii="Arial" w:cs="Arial" w:eastAsia="Arial" w:hAnsi="Arial"/>
          <w:sz w:val="22"/>
          <w:szCs w:val="22"/>
        </w:rPr>
        <w:t xml:space="preserve">Restructuring templates could alter DOM and break CSS class names. Mitigated by preserving existing class names exactly and visual regression testing.</w:t>
      </w:r>
    </w:p>
    <w:p>
      <w:pPr>
        <w:pStyle w:val="ListParagraph"/>
        <w:numPr>
          <w:ilvl w:val="0"/>
          <w:numId w:val="3"/>
        </w:numPr>
        <w:spacing w:after="80"/>
      </w:pPr>
      <w:r>
        <w:rPr>
          <w:rFonts w:ascii="Arial" w:cs="Arial" w:eastAsia="Arial" w:hAnsi="Arial"/>
          <w:b/>
          <w:bCs/>
          <w:sz w:val="22"/>
          <w:szCs w:val="22"/>
        </w:rPr>
        <w:t xml:space="preserve">Learning curve (Medium): </w:t>
      </w:r>
      <w:r>
        <w:rPr>
          <w:rFonts w:ascii="Arial" w:cs="Arial" w:eastAsia="Arial" w:hAnsi="Arial"/>
          <w:sz w:val="22"/>
          <w:szCs w:val="22"/>
        </w:rPr>
        <w:t xml:space="preserve">Devs need to learn component-based thinking instead of helpers/presenters. Josip noted the structure is very similar to existing Rails controllers, so the ramp-up should be manageable.</w:t>
      </w:r>
    </w:p>
    <w:p>
      <w:pPr>
        <w:pStyle w:val="ListParagraph"/>
        <w:numPr>
          <w:ilvl w:val="0"/>
          <w:numId w:val="3"/>
        </w:numPr>
        <w:spacing w:after="160"/>
      </w:pPr>
      <w:r>
        <w:rPr>
          <w:rFonts w:ascii="Arial" w:cs="Arial" w:eastAsia="Arial" w:hAnsi="Arial"/>
          <w:b/>
          <w:bCs/>
          <w:sz w:val="22"/>
          <w:szCs w:val="22"/>
        </w:rPr>
        <w:t xml:space="preserve">CDN/production compatibility (Medium): </w:t>
      </w:r>
      <w:r>
        <w:rPr>
          <w:rFonts w:ascii="Arial" w:cs="Arial" w:eastAsia="Arial" w:hAnsi="Arial"/>
          <w:sz w:val="22"/>
          <w:szCs w:val="22"/>
        </w:rPr>
        <w:t xml:space="preserve">Production has CDN cache and other layers. Needs validation via branch deploy before merge to main.</w:t>
      </w:r>
    </w:p>
    <w:p>
      <w:pPr>
        <w:pStyle w:val="Heading1"/>
      </w:pPr>
      <w:r>
        <w:t xml:space="preserve">Agreed Plan (from Tech Weekly, Apr 8)</w:t>
      </w:r>
    </w:p>
    <w:p>
      <w:pPr>
        <w:spacing w:after="160"/>
      </w:pPr>
      <w:r>
        <w:rPr>
          <w:rFonts w:ascii="Arial" w:cs="Arial" w:eastAsia="Arial" w:hAnsi="Arial"/>
          <w:sz w:val="22"/>
          <w:szCs w:val="22"/>
        </w:rPr>
        <w:t xml:space="preserve">Ali confirmed we should move forward as soon as possible given the current downtime between larger projects. The following steps were agreed upon:</w:t>
      </w:r>
    </w:p>
    <w:p>
      <w:pPr>
        <w:pStyle w:val="ListParagraph"/>
        <w:numPr>
          <w:ilvl w:val="0"/>
          <w:numId w:val="2"/>
        </w:numPr>
        <w:spacing w:after="80"/>
      </w:pPr>
      <w:r>
        <w:rPr>
          <w:rFonts w:ascii="Arial" w:cs="Arial" w:eastAsia="Arial" w:hAnsi="Arial"/>
          <w:b/>
          <w:bCs/>
          <w:sz w:val="22"/>
          <w:szCs w:val="22"/>
        </w:rPr>
        <w:t xml:space="preserve">Filip completes testing </w:t>
      </w:r>
      <w:r>
        <w:rPr>
          <w:rFonts w:ascii="Arial" w:cs="Arial" w:eastAsia="Arial" w:hAnsi="Arial"/>
          <w:sz w:val="22"/>
          <w:szCs w:val="22"/>
        </w:rPr>
        <w:t xml:space="preserve">on the test environment and finalizes the implementation.</w:t>
      </w:r>
    </w:p>
    <w:p>
      <w:pPr>
        <w:pStyle w:val="ListParagraph"/>
        <w:numPr>
          <w:ilvl w:val="0"/>
          <w:numId w:val="2"/>
        </w:numPr>
        <w:spacing w:after="80"/>
      </w:pPr>
      <w:r>
        <w:rPr>
          <w:rFonts w:ascii="Arial" w:cs="Arial" w:eastAsia="Arial" w:hAnsi="Arial"/>
          <w:b/>
          <w:bCs/>
          <w:sz w:val="22"/>
          <w:szCs w:val="22"/>
        </w:rPr>
        <w:t xml:space="preserve">QA full regression </w:t>
      </w:r>
      <w:r>
        <w:rPr>
          <w:rFonts w:ascii="Arial" w:cs="Arial" w:eastAsia="Arial" w:hAnsi="Arial"/>
          <w:sz w:val="22"/>
          <w:szCs w:val="22"/>
        </w:rPr>
        <w:t xml:space="preserve">— Filip pushes for QA team to do a full regression on the branch. Ali noted QA capacity is available right now.</w:t>
      </w:r>
    </w:p>
    <w:p>
      <w:pPr>
        <w:pStyle w:val="ListParagraph"/>
        <w:numPr>
          <w:ilvl w:val="0"/>
          <w:numId w:val="2"/>
        </w:numPr>
        <w:spacing w:after="80"/>
      </w:pPr>
      <w:r>
        <w:rPr>
          <w:rFonts w:ascii="Arial" w:cs="Arial" w:eastAsia="Arial" w:hAnsi="Arial"/>
          <w:b/>
          <w:bCs/>
          <w:sz w:val="22"/>
          <w:szCs w:val="22"/>
        </w:rPr>
        <w:t xml:space="preserve">Capture “before” performance baseline </w:t>
      </w:r>
      <w:r>
        <w:rPr>
          <w:rFonts w:ascii="Arial" w:cs="Arial" w:eastAsia="Arial" w:hAnsi="Arial"/>
          <w:sz w:val="22"/>
          <w:szCs w:val="22"/>
        </w:rPr>
        <w:t xml:space="preserve">— measure current page performance metrics before the branch deploy.</w:t>
      </w:r>
    </w:p>
    <w:p>
      <w:pPr>
        <w:pStyle w:val="ListParagraph"/>
        <w:numPr>
          <w:ilvl w:val="0"/>
          <w:numId w:val="2"/>
        </w:numPr>
        <w:spacing w:after="80"/>
      </w:pPr>
      <w:r>
        <w:rPr>
          <w:rFonts w:ascii="Arial" w:cs="Arial" w:eastAsia="Arial" w:hAnsi="Arial"/>
          <w:b/>
          <w:bCs/>
          <w:sz w:val="22"/>
          <w:szCs w:val="22"/>
        </w:rPr>
        <w:t xml:space="preserve">Deploy branch to production (do NOT merge) </w:t>
      </w:r>
      <w:r>
        <w:rPr>
          <w:rFonts w:ascii="Arial" w:cs="Arial" w:eastAsia="Arial" w:hAnsi="Arial"/>
          <w:sz w:val="22"/>
          <w:szCs w:val="22"/>
        </w:rPr>
        <w:t xml:space="preserve">— deploy during low-traffic window. Purge CDN cache if needed.</w:t>
      </w:r>
    </w:p>
    <w:p>
      <w:pPr>
        <w:pStyle w:val="ListParagraph"/>
        <w:numPr>
          <w:ilvl w:val="0"/>
          <w:numId w:val="2"/>
        </w:numPr>
        <w:spacing w:after="80"/>
      </w:pPr>
      <w:r>
        <w:rPr>
          <w:rFonts w:ascii="Arial" w:cs="Arial" w:eastAsia="Arial" w:hAnsi="Arial"/>
          <w:b/>
          <w:bCs/>
          <w:sz w:val="22"/>
          <w:szCs w:val="22"/>
        </w:rPr>
        <w:t xml:space="preserve">Capture “after” performance metrics </w:t>
      </w:r>
      <w:r>
        <w:rPr>
          <w:rFonts w:ascii="Arial" w:cs="Arial" w:eastAsia="Arial" w:hAnsi="Arial"/>
          <w:sz w:val="22"/>
          <w:szCs w:val="22"/>
        </w:rPr>
        <w:t xml:space="preserve">— compare before/after to quantify the actual performance benefit.</w:t>
      </w:r>
    </w:p>
    <w:p>
      <w:pPr>
        <w:pStyle w:val="ListParagraph"/>
        <w:numPr>
          <w:ilvl w:val="0"/>
          <w:numId w:val="2"/>
        </w:numPr>
        <w:spacing w:after="80"/>
      </w:pPr>
      <w:r>
        <w:rPr>
          <w:rFonts w:ascii="Arial" w:cs="Arial" w:eastAsia="Arial" w:hAnsi="Arial"/>
          <w:b/>
          <w:bCs/>
          <w:sz w:val="22"/>
          <w:szCs w:val="22"/>
        </w:rPr>
        <w:t xml:space="preserve">QA production validation </w:t>
      </w:r>
      <w:r>
        <w:rPr>
          <w:rFonts w:ascii="Arial" w:cs="Arial" w:eastAsia="Arial" w:hAnsi="Arial"/>
          <w:sz w:val="22"/>
          <w:szCs w:val="22"/>
        </w:rPr>
        <w:t xml:space="preserve">— if performance looks good, give QA a date to do additional testing in production with CDN and all layers active.</w:t>
      </w:r>
    </w:p>
    <w:p>
      <w:pPr>
        <w:pStyle w:val="ListParagraph"/>
        <w:numPr>
          <w:ilvl w:val="0"/>
          <w:numId w:val="2"/>
        </w:numPr>
        <w:spacing w:after="160"/>
      </w:pPr>
      <w:r>
        <w:rPr>
          <w:rFonts w:ascii="Arial" w:cs="Arial" w:eastAsia="Arial" w:hAnsi="Arial"/>
          <w:b/>
          <w:bCs/>
          <w:sz w:val="22"/>
          <w:szCs w:val="22"/>
        </w:rPr>
        <w:t xml:space="preserve">Merge to main </w:t>
      </w:r>
      <w:r>
        <w:rPr>
          <w:rFonts w:ascii="Arial" w:cs="Arial" w:eastAsia="Arial" w:hAnsi="Arial"/>
          <w:sz w:val="22"/>
          <w:szCs w:val="22"/>
        </w:rPr>
        <w:t xml:space="preserve">— only after production validation is complete and performance benefits are confirmed.</w:t>
      </w:r>
    </w:p>
    <w:p>
      <w:pPr>
        <w:pStyle w:val="Heading1"/>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Finish testing on test environment, push branch for QA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Progress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Filip</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 spike ticket (CSMR-16002) and code comparison doc with Romit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QA Team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regression on the ViewComponent branch when Filip confirms ready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Filip</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Capture before/after performance metrics around branch deploy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All Devs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the code and component structure — familiarize with the new pattern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Josip</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Present Signals data capture overview at next Tech Weekly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 Week</w:t>
            </w:r>
          </w:p>
        </w:tc>
      </w:tr>
    </w:tbl>
    <w:p>
      <w:pPr>
        <w:spacing w:after="40" w:before="40"/>
      </w:pPr>
    </w:p>
    <w:p>
      <w:pPr>
        <w:pStyle w:val="Heading1"/>
      </w:pPr>
      <w:r>
        <w:t xml:space="preserve">Source References</w:t>
      </w:r>
    </w:p>
    <w:p>
      <w:pPr>
        <w:pStyle w:val="ListParagraph"/>
        <w:numPr>
          <w:ilvl w:val="0"/>
          <w:numId w:val="3"/>
        </w:numPr>
        <w:spacing w:after="80"/>
      </w:pPr>
      <w:r>
        <w:rPr>
          <w:rFonts w:ascii="Arial" w:cs="Arial" w:eastAsia="Arial" w:hAnsi="Arial"/>
          <w:b/>
          <w:bCs/>
          <w:sz w:val="22"/>
          <w:szCs w:val="22"/>
        </w:rPr>
        <w:t xml:space="preserve">Meeting: </w:t>
      </w:r>
      <w:r>
        <w:rPr>
          <w:rFonts w:ascii="Arial" w:cs="Arial" w:eastAsia="Arial" w:hAnsi="Arial"/>
          <w:sz w:val="22"/>
          <w:szCs w:val="22"/>
        </w:rPr>
        <w:t xml:space="preserve">CSMR Tech Weekly, April 8, 2026 (recording transcript)</w:t>
      </w:r>
    </w:p>
    <w:p>
      <w:pPr>
        <w:pStyle w:val="ListParagraph"/>
        <w:numPr>
          <w:ilvl w:val="0"/>
          <w:numId w:val="3"/>
        </w:numPr>
        <w:spacing w:after="80"/>
      </w:pPr>
      <w:r>
        <w:rPr>
          <w:rFonts w:ascii="Arial" w:cs="Arial" w:eastAsia="Arial" w:hAnsi="Arial"/>
          <w:b/>
          <w:bCs/>
          <w:sz w:val="22"/>
          <w:szCs w:val="22"/>
        </w:rPr>
        <w:t xml:space="preserve">Spike Ticket: </w:t>
      </w:r>
      <w:r>
        <w:rPr>
          <w:rFonts w:ascii="Arial" w:cs="Arial" w:eastAsia="Arial" w:hAnsi="Arial"/>
          <w:sz w:val="22"/>
          <w:szCs w:val="22"/>
        </w:rPr>
        <w:t xml:space="preserve">CSMR-16002 — [Directory][SPIKE] Investigate ViewComponent for Lawyer Card Rendering (Closed/Done)</w:t>
      </w:r>
    </w:p>
    <w:p>
      <w:pPr>
        <w:pStyle w:val="ListParagraph"/>
        <w:numPr>
          <w:ilvl w:val="0"/>
          <w:numId w:val="3"/>
        </w:numPr>
        <w:spacing w:after="80"/>
      </w:pPr>
      <w:r>
        <w:rPr>
          <w:rFonts w:ascii="Arial" w:cs="Arial" w:eastAsia="Arial" w:hAnsi="Arial"/>
          <w:b/>
          <w:bCs/>
          <w:sz w:val="22"/>
          <w:szCs w:val="22"/>
        </w:rPr>
        <w:t xml:space="preserve">Implementation Ticket: </w:t>
      </w:r>
      <w:r>
        <w:rPr>
          <w:rFonts w:ascii="Arial" w:cs="Arial" w:eastAsia="Arial" w:hAnsi="Arial"/>
          <w:sz w:val="22"/>
          <w:szCs w:val="22"/>
        </w:rPr>
        <w:t xml:space="preserve">CSMR-16040 — [Directory] Refactor Lawyer Card Rendering to ViewComponent Architecture</w:t>
      </w:r>
    </w:p>
    <w:p>
      <w:pPr>
        <w:pStyle w:val="ListParagraph"/>
        <w:numPr>
          <w:ilvl w:val="0"/>
          <w:numId w:val="3"/>
        </w:numPr>
        <w:spacing w:after="80"/>
      </w:pPr>
      <w:r>
        <w:rPr>
          <w:rFonts w:ascii="Arial" w:cs="Arial" w:eastAsia="Arial" w:hAnsi="Arial"/>
          <w:b/>
          <w:bCs/>
          <w:sz w:val="22"/>
          <w:szCs w:val="22"/>
        </w:rPr>
        <w:t xml:space="preserve">Technical Proposal: </w:t>
      </w:r>
      <w:hyperlink w:history="1" r:id="rIds3mu1ufp0ytfac3cbrl7f">
        <w:r>
          <w:rPr>
            <w:rStyle w:val="Hyperlink"/>
            <w:rFonts w:ascii="Arial" w:cs="Arial" w:eastAsia="Arial" w:hAnsi="Arial"/>
            <w:sz w:val="22"/>
            <w:szCs w:val="22"/>
          </w:rPr>
          <w:t xml:space="preserve">Google Doc — ViewComponent for Lawyer Card Rendering Technical Proposal</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ViewComponent for Lawyer Card Rendering</w:t>
    </w:r>
    <w:r>
      <w:rPr>
        <w:rFonts w:ascii="Arial" w:cs="Arial" w:eastAsia="Arial" w:hAnsi="Arial"/>
        <w:color w:val="888888"/>
        <w:sz w:val="16"/>
        <w:szCs w:val="16"/>
      </w:rPr>
      <w:t xml:space="preserve">		CSMR-16002 / CSMR-16040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3mu1ufp0ytfac3cbrl7f" Type="http://schemas.openxmlformats.org/officeDocument/2006/relationships/hyperlink" Target="https://docs.google.com/document/d/1KpFG3ozUb8y1MxhEnnlSvNZcHcgNQpX-5aJVWrAdzJw/edi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2026-04-08T18:49:31.371Z</dcterms:created>
  <dcterms:modified xsi:type="dcterms:W3CDTF">2026-04-08T18:49:31.371Z</dcterms:modified>
</cp:coreProperties>
</file>

<file path=docProps/custom.xml><?xml version="1.0" encoding="utf-8"?>
<Properties xmlns="http://schemas.openxmlformats.org/officeDocument/2006/custom-properties" xmlns:vt="http://schemas.openxmlformats.org/officeDocument/2006/docPropsVTypes"/>
</file>