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Прогнозно-аналитическая система GridPulse DE</w:t>
      </w:r>
    </w:p>
    <w:p>
      <w:r>
        <w:t>Проект по дисциплине «Прогнозно-аналитические системы», профиль «Управление данными».</w:t>
      </w:r>
    </w:p>
    <w:p>
      <w:r>
        <w:t>Дата реализации и проверки: 01.10.2026. Объект: энергосистема Германии. Формат реализации: локальный сайт-сервис. Репозиторий: https://github.com/RomkaBro1/EnergyConsumptionPAS.</w:t>
      </w:r>
    </w:p>
    <w:p>
      <w:pPr>
        <w:pStyle w:val="Heading1"/>
      </w:pPr>
      <w:r>
        <w:t>1. Постановка задачи</w:t>
      </w:r>
    </w:p>
    <w:p>
      <w:r>
        <w:t>Разработана система мониторинга и прогнозирования почасовой электрической нагрузки Германии с учётом климатических факторов и производственного календаря. Система поддерживает весь жизненный цикл: получение открытых данных, сохранение оригиналов, очистку, объединение, контроль качества, обучение моделей и представление результата пользователю.</w:t>
      </w:r>
    </w:p>
    <w:p>
      <w:r>
        <w:t>Основной пользователь — аналитик энергосбытовой, генерирующей или диспетчерской организации. Практическая задача — заранее определить ожидаемый профиль спроса, часы максимальной нагрузки и диапазон неопределённости. Операционный пользователь следит за актуальностью источников, успешностью загрузок и качеством данных.</w:t>
      </w:r>
    </w:p>
    <w:p>
      <w:r>
        <w:t>Целевой показатель — средняя мощность потребления за полный час в МВт. Энергия за час выражается в МВт·ч и численно совпадает со средней мощностью только при длительности ровно один час. Интерфейс отображает мощность в ГВт, суммарную энергию прогнозного периода — в ГВт·ч. Горизонты прогноза: 24, 72 и 168 часов.</w:t>
      </w:r>
    </w:p>
    <w:p>
      <w:r>
        <w:t>В отличие от первоначального описания предметной области в пользовательском документе, данный прототип анализирует национальную нагрузку Германии. Региональные нагрузки и реальные располагаемые мощности отсутствуют; система не заявляет расчёт фактического дефицита генерации или резерва.</w:t>
      </w:r>
    </w:p>
    <w:p>
      <w:pPr>
        <w:pStyle w:val="Heading1"/>
      </w:pPr>
      <w:r>
        <w:t>2. Предметная область и данные</w:t>
      </w:r>
    </w:p>
    <w:p>
      <w:r>
        <w:t>Потребление электроэнергии обладает суточной и недельной периодичностью. Рабочие дни, выходные и праздники меняют профиль производственной активности. Температура связана с потребностью в отоплении и охлаждении; ветер и солнечная энергия используются как дополнительные погодные признаки. Эти зависимости статистические и не интерпретируются автоматически как причинные.</w:t>
      </w:r>
    </w:p>
    <w:p>
      <w:pPr>
        <w:pStyle w:val="Heading2"/>
      </w:pPr>
      <w:r>
        <w:t>2.1. Источники</w:t>
      </w:r>
    </w:p>
    <w:tbl>
      <w:tblPr>
        <w:tblStyle w:val="LightShading-Accent1"/>
        <w:tblW w:type="auto" w:w="0"/>
        <w:tblLook w:firstColumn="1" w:firstRow="1" w:lastColumn="0" w:lastRow="0" w:noHBand="0" w:noVBand="1" w:val="04A0"/>
      </w:tblPr>
      <w:tblGrid>
        <w:gridCol w:w="3230"/>
        <w:gridCol w:w="3230"/>
        <w:gridCol w:w="3230"/>
      </w:tblGrid>
      <w:tr>
        <w:tc>
          <w:tcPr>
            <w:tcW w:type="dxa" w:w="3230"/>
          </w:tcPr>
          <w:p>
            <w:r>
              <w:t>Источник</w:t>
            </w:r>
          </w:p>
        </w:tc>
        <w:tc>
          <w:tcPr>
            <w:tcW w:type="dxa" w:w="3230"/>
          </w:tcPr>
          <w:p>
            <w:r>
              <w:t>Формат</w:t>
            </w:r>
          </w:p>
        </w:tc>
        <w:tc>
          <w:tcPr>
            <w:tcW w:type="dxa" w:w="3230"/>
          </w:tcPr>
          <w:p>
            <w:r>
              <w:t>Роль</w:t>
            </w:r>
          </w:p>
        </w:tc>
      </w:tr>
      <w:tr>
        <w:tc>
          <w:tcPr>
            <w:tcW w:type="dxa" w:w="3230"/>
          </w:tcPr>
          <w:p>
            <w:r>
              <w:t>Energy-Charts, /public_power?country=de</w:t>
            </w:r>
          </w:p>
        </w:tc>
        <w:tc>
          <w:tcPr>
            <w:tcW w:type="dxa" w:w="3230"/>
          </w:tcPr>
          <w:p>
            <w:r>
              <w:t>REST JSON</w:t>
            </w:r>
          </w:p>
        </w:tc>
        <w:tc>
          <w:tcPr>
            <w:tcW w:type="dxa" w:w="3230"/>
          </w:tcPr>
          <w:p>
            <w:r>
              <w:t>Единственный ряд с точным именем Load</w:t>
            </w:r>
          </w:p>
        </w:tc>
      </w:tr>
      <w:tr>
        <w:tc>
          <w:tcPr>
            <w:tcW w:type="dxa" w:w="3230"/>
          </w:tcPr>
          <w:p>
            <w:r>
              <w:t>DWD Climate Data Center</w:t>
            </w:r>
          </w:p>
        </w:tc>
        <w:tc>
          <w:tcPr>
            <w:tcW w:type="dxa" w:w="3230"/>
          </w:tcPr>
          <w:p>
            <w:r>
              <w:t>ZIP с CSV, HTML-каталоги</w:t>
            </w:r>
          </w:p>
        </w:tc>
        <w:tc>
          <w:tcPr>
            <w:tcW w:type="dxa" w:w="3230"/>
          </w:tcPr>
          <w:p>
            <w:r>
              <w:t>Температура, ветер, солнечные наблюдения</w:t>
            </w:r>
          </w:p>
        </w:tc>
      </w:tr>
      <w:tr>
        <w:tc>
          <w:tcPr>
            <w:tcW w:type="dxa" w:w="3230"/>
          </w:tcPr>
          <w:p>
            <w:r>
              <w:t>DWD MOSMIX L</w:t>
            </w:r>
          </w:p>
        </w:tc>
        <w:tc>
          <w:tcPr>
            <w:tcW w:type="dxa" w:w="3230"/>
          </w:tcPr>
          <w:p>
            <w:r>
              <w:t>KMZ с KML/XML</w:t>
            </w:r>
          </w:p>
        </w:tc>
        <w:tc>
          <w:tcPr>
            <w:tcW w:type="dxa" w:w="3230"/>
          </w:tcPr>
          <w:p>
            <w:r>
              <w:t>Погода на прогнозные сроки с временем выпуска</w:t>
            </w:r>
          </w:p>
        </w:tc>
      </w:tr>
      <w:tr>
        <w:tc>
          <w:tcPr>
            <w:tcW w:type="dxa" w:w="3230"/>
          </w:tcPr>
          <w:p>
            <w:r>
              <w:t>Feiertage API</w:t>
            </w:r>
          </w:p>
        </w:tc>
        <w:tc>
          <w:tcPr>
            <w:tcW w:type="dxa" w:w="3230"/>
          </w:tcPr>
          <w:p>
            <w:r>
              <w:t>Годовой JSON</w:t>
            </w:r>
          </w:p>
        </w:tc>
        <w:tc>
          <w:tcPr>
            <w:tcW w:type="dxa" w:w="3230"/>
          </w:tcPr>
          <w:p>
            <w:r>
              <w:t>Праздники национального уровня и земель</w:t>
            </w:r>
          </w:p>
        </w:tc>
      </w:tr>
      <w:tr>
        <w:tc>
          <w:tcPr>
            <w:tcW w:type="dxa" w:w="3230"/>
          </w:tcPr>
          <w:p>
            <w:r>
              <w:t>python-holidays 0.93</w:t>
            </w:r>
          </w:p>
        </w:tc>
        <w:tc>
          <w:tcPr>
            <w:tcW w:type="dxa" w:w="3230"/>
          </w:tcPr>
          <w:p>
            <w:r>
              <w:t>Локальные правила</w:t>
            </w:r>
          </w:p>
        </w:tc>
        <w:tc>
          <w:tcPr>
            <w:tcW w:type="dxa" w:w="3230"/>
          </w:tcPr>
          <w:p>
            <w:r>
              <w:t>История календаря и резерв при отсутствии API</w:t>
            </w:r>
          </w:p>
        </w:tc>
      </w:tr>
    </w:tbl>
    <w:p>
      <w:r>
        <w:t>Требование разнородности выполнено различиями форматов и способов получения: REST-ответы, архивные файлы наблюдений и XML-прогнозы. Источники открыты, ключи доступа и персональные данные не используются.</w:t>
      </w:r>
    </w:p>
    <w:p>
      <w:r>
        <w:t>В рабочей папке обнаружены результаты ранее выполненной тетрадки с историей начиная с января 2021 года: 50 351 час и около 201 тыс. исходных интервалов нагрузки. Эти данные импортированы в новую систему без изменения исходных файлов. В ранней истории календарные признаки отсутствовали; теперь календарь достроен для всего диапазона. При последующей сетевой проверке догружены новые значения нагрузки до 30.09.2026 19:00 UTC и свежие выпуски погоды.</w:t>
      </w:r>
    </w:p>
    <w:p>
      <w:pPr>
        <w:pStyle w:val="Heading2"/>
      </w:pPr>
      <w:r>
        <w:t>2.2. Пространственное и временное объединение</w:t>
      </w:r>
    </w:p>
    <w:p>
      <w:r>
        <w:t>Опорные города: Берлин, Гамбург, Франкфурт, Кёльн, Штутгарт, Лейпциг и Мюнхен. Наблюдения соответствующих станций усредняются с равными весами городов. Для прогноза используются станции MOSMIX, которые могут отличаться от станций наблюдений. Это ограничение метода: среднее не взвешено по населению, промышленной активности или электрической нагрузке.</w:t>
      </w:r>
    </w:p>
    <w:p>
      <w:r>
        <w:t>Ключ хранения — UTC. Признаки часа, дня недели и праздника определяются в Europe/Berlin. Повторяющийся осенний локальный час имеет разные UTC-ключи; весенний пропущенный локальный час не создаётся искусственно. Автотесты подтверждают сутки длительностью 23 и 25 часов.</w:t>
      </w:r>
    </w:p>
    <w:p>
      <w:pPr>
        <w:pStyle w:val="Heading1"/>
      </w:pPr>
      <w:r>
        <w:t>3. Архитектура системы</w:t>
      </w:r>
    </w:p>
    <w:p>
      <w:r>
        <w:t>Стек: Python, Flask, pandas, NumPy, scikit-learn, SQLite, HTML/CSS/JavaScript Canvas. Этот стек выбран для локального запуска, воспроизводимости и отсутствия необходимости в Node.js, внешней СУБД, облаке или API-ключах. Визуализации строятся локально и не зависят от CDN.</w:t>
      </w:r>
    </w:p>
    <w:p>
      <w:r>
        <w:t>Архитектура разделена на три слоя хранения:</w:t>
      </w:r>
    </w:p>
    <w:p>
      <w:r>
        <w:t>1. Bronze — байты исходных HTTP-ответов с SHA-256, индекс URL, ETag, Last-Modified, время получения и проверки. Для импорта имеющейся истории хранится манифест с хэшем CSV и ссылкой на исходный архив тетрадки.</w:t>
      </w:r>
    </w:p>
    <w:p>
      <w:r>
        <w:t>2. Silver — нормализованные записи SQLite с составными бизнес-ключами. Текущие значения, история изменений, журнал запусков и контроль качества хранятся раздельно.</w:t>
      </w:r>
    </w:p>
    <w:p>
      <w:r>
        <w:t>3. Gold — почасовая витрина, календарь, результаты временной проверки, прогнозные CSV и версионированные модели.</w:t>
      </w:r>
    </w:p>
    <w:p>
      <w:r>
        <w:t>Поток данных: источник → загрузчик → Bronze → парсер и проверки → Silver → объединение по UTC → Gold → модели → API → предметный дашборд. Параллельно журнал событий, история и результаты проверок поступают в операционный дашборд. Подробная схема приведена в architecture.mmd и README.</w:t>
      </w:r>
    </w:p>
    <w:p>
      <w:r>
        <w:t>Сайт запускается командой python run.py. Подготовка доступна через CLI, кнопку интерфейса и внутреннее расписание с интервалом 360 минут. Конфигурация задаётся JSON и переменными окружения. Межпроцессная блокировка предотвращает одновременную запись CLI и веб-конвейера.</w:t>
      </w:r>
    </w:p>
    <w:p>
      <w:pPr>
        <w:pStyle w:val="Heading1"/>
      </w:pPr>
      <w:r>
        <w:t>4. Загрузка и обработка</w:t>
      </w:r>
    </w:p>
    <w:p>
      <w:pPr>
        <w:pStyle w:val="Heading2"/>
      </w:pPr>
      <w:r>
        <w:t>4.1. Инкрементальность и идемпотентность</w:t>
      </w:r>
    </w:p>
    <w:p>
      <w:r>
        <w:t>Первичная загрузка нагрузки выполняется годовыми окнами. Следующая начинается от максимального сохранённого часа с семидневным перекрытием для исправлений источника. Для DWD повторная загрузка использует актуальные архивы, фильтрует нужное временное окно и не загружает заново неизменную историческую часть. Файловый источник может требовать загрузки всего изменившегося архива: инкрементальность нормализованного слоя обеспечивается ключами и хэшами.</w:t>
      </w:r>
    </w:p>
    <w:p>
      <w:r>
        <w:t>Повторная запись неизменного бизнес-содержимого не создаёт новой версии. Исправленная запись сначала сохраняется в history вместе с периодом действия и run_id, затем обновляется транзакционно. Времена запусков и HTTP-попыток журналируются независимо: наличие новых записей аудита не означает дублирование наблюдений.</w:t>
      </w:r>
    </w:p>
    <w:p>
      <w:pPr>
        <w:pStyle w:val="Heading2"/>
      </w:pPr>
      <w:r>
        <w:t>4.2. Устойчивость</w:t>
      </w:r>
    </w:p>
    <w:p>
      <w:r>
        <w:t>Применяются таймауты, ограничение частоты обращений, повторные попытки с увеличением задержки, обработка HTTP 429 и Retry-After, условные запросы ETag/Last-Modified. Проверка TLS остаётся включённой. Сертификаты организации могут быть добавлены через конфигурацию.</w:t>
      </w:r>
    </w:p>
    <w:p>
      <w:r>
        <w:t>Ошибки отдельных источников не останавливают остальные. Исходный ответ сохраняется до разбора; описание неуспешной загрузки помещается в quarantine. Старые нормализованные значения не удаляются при новом сетевом сбое. Обновление получает статус «частично», если часть источников не получена. Старая копия просроченного ответа не выдаётся за успешно обновлённый источник.</w:t>
      </w:r>
    </w:p>
    <w:p>
      <w:pPr>
        <w:pStyle w:val="Heading2"/>
      </w:pPr>
      <w:r>
        <w:t>4.3. Расчёт часовой нагрузки</w:t>
      </w:r>
    </w:p>
    <w:p>
      <w:r>
        <w:t>Для каждого исходного интервала энергия равна мощности, умноженной на длительность в часах. Час публикуется только при покрытии 3600 секунд. Дубли временных меток, перекрывающиеся интервалы и неподдерживаемая схема отклоняются. Отрицательная или превышающая принятый технический диапазон нагрузка исключается из витрины. Пропущенное фактическое потребление не интерполируется и не подменяется прогнозом.</w:t>
      </w:r>
    </w:p>
    <w:p>
      <w:pPr>
        <w:pStyle w:val="Heading2"/>
      </w:pPr>
      <w:r>
        <w:t>4.4. Календарь</w:t>
      </w:r>
    </w:p>
    <w:p>
      <w:r>
        <w:t>Используются национальные праздники, выходные и доля земель с рабочим днём. Текущий и следующий год обновляются по Feiertage API. Для исторических лет применяется фиксированная версия python-holidays. Происхождение календарной записи сохраняется.</w:t>
      </w:r>
    </w:p>
    <w:p>
      <w:r>
        <w:t>Неоднозначные события API, действующие лишь в отдельных муниципалитетах, не превращаются автоматически в выходной всей земли. Доля рабочих земель рассчитывается по известным значениям; количество известных земель сохраняется. Это оценка производственного календаря, а не описание фактических смен предприятий. Выходные, школьные каникулы, отпускные периоды и локальные нормы не эквивалентны друг другу.</w:t>
      </w:r>
    </w:p>
    <w:p>
      <w:pPr>
        <w:pStyle w:val="Heading1"/>
      </w:pPr>
      <w:r>
        <w:t>5. Модели и валидация</w:t>
      </w:r>
    </w:p>
    <w:p>
      <w:pPr>
        <w:pStyle w:val="Heading2"/>
      </w:pPr>
      <w:r>
        <w:t>5.1. Недельный профиль</w:t>
      </w:r>
    </w:p>
    <w:p>
      <w:r>
        <w:t>Базовая модель использует потребление 168 часов назад. При отсутствии нужного измерения применяется медианный исторический профиль по локальному часу и дню недели. Модель прозрачна, быстро рассчитывается и служит ориентиром для оценки пользы более сложного метода. Температурный сценарий не меняет её результат.</w:t>
      </w:r>
    </w:p>
    <w:p>
      <w:pPr>
        <w:pStyle w:val="Heading2"/>
      </w:pPr>
      <w:r>
        <w:t>5.2. Градиентный бустинг</w:t>
      </w:r>
    </w:p>
    <w:p>
      <w:r>
        <w:t>Использован HistGradientBoostingRegressor: 180 итераций, learning_rate 0,07, максимум 24 листа, L2-регуляризация 10, фиксированный seed 42, ранняя остановка отключена. Признаки: лаги 168/336 часов, час, день недели, месяц, синусы и косинусы сезонности, праздник, доля работающих земель, температура, ветер, солнечная энергия, потребность в отоплении и охлаждении.</w:t>
      </w:r>
    </w:p>
    <w:p>
      <w:r>
        <w:t>Бустинг выбран из-за способности описывать нелинейные взаимодействия погоды и календаря и обрабатывать пропущенные числовые признаки. Обучение ограничено последними 1095 днями. Количество пригодных наблюдений в зафиксированном эксперименте — 25 944.</w:t>
      </w:r>
    </w:p>
    <w:p>
      <w:pPr>
        <w:pStyle w:val="Heading2"/>
      </w:pPr>
      <w:r>
        <w:t>5.3. Разделение во времени</w:t>
      </w:r>
    </w:p>
    <w:p>
      <w:r>
        <w:t>Последние 28 дней отделены от обучения проверяемой модели. Прогнозы строятся недельными окнами, при каждом новом origin используются только предшествующие факты. Архивный выпуск погоды допускается только при issue_time не позже origin. При его отсутствии строится сезонная медиана температуры, ветра и солнечной энергии по прошлым месяцам и часам.</w:t>
      </w:r>
    </w:p>
    <w:p>
      <w:r>
        <w:t>Первые 14 дней проверочного периода калибруют номинальный 90% интервал по абсолютным ошибкам. Следующие 14 дней используются только для итоговых метрик. После проверки итоговая модель обучается на всей доступной истории для будущего прогноза. Случайное перемешивание временных наблюдений не применяется.</w:t>
      </w:r>
    </w:p>
    <w:p>
      <w:pPr>
        <w:pStyle w:val="Heading2"/>
      </w:pPr>
      <w:r>
        <w:t>5.4. Результаты</w:t>
      </w:r>
    </w:p>
    <w:p>
      <w:r>
        <w:t>Фиксированное обучение проверяемой модели: 01.10.2023 20:00 — 02.09.2026 19:00 UTC. Итоговый тест: 16.09.2026 20:00 — 30.09.2026 19:00 UTC, 336 часов.</w:t>
      </w:r>
    </w:p>
    <w:tbl>
      <w:tblPr>
        <w:tblStyle w:val="LightShading-Accent1"/>
        <w:tblW w:type="auto" w:w="0"/>
        <w:tblLook w:firstColumn="1" w:firstRow="1" w:lastColumn="0" w:lastRow="0" w:noHBand="0" w:noVBand="1" w:val="04A0"/>
      </w:tblPr>
      <w:tblGrid>
        <w:gridCol w:w="1938"/>
        <w:gridCol w:w="1938"/>
        <w:gridCol w:w="1938"/>
        <w:gridCol w:w="1938"/>
        <w:gridCol w:w="1938"/>
      </w:tblGrid>
      <w:tr>
        <w:tc>
          <w:tcPr>
            <w:tcW w:type="dxa" w:w="1938"/>
          </w:tcPr>
          <w:p>
            <w:r>
              <w:t>Модель</w:t>
            </w:r>
          </w:p>
        </w:tc>
        <w:tc>
          <w:tcPr>
            <w:tcW w:type="dxa" w:w="1938"/>
          </w:tcPr>
          <w:p>
            <w:r>
              <w:t>MAE, МВт</w:t>
            </w:r>
          </w:p>
        </w:tc>
        <w:tc>
          <w:tcPr>
            <w:tcW w:type="dxa" w:w="1938"/>
          </w:tcPr>
          <w:p>
            <w:r>
              <w:t>RMSE, МВт</w:t>
            </w:r>
          </w:p>
        </w:tc>
        <w:tc>
          <w:tcPr>
            <w:tcW w:type="dxa" w:w="1938"/>
          </w:tcPr>
          <w:p>
            <w:r>
              <w:t>MAPE, %</w:t>
            </w:r>
          </w:p>
        </w:tc>
        <w:tc>
          <w:tcPr>
            <w:tcW w:type="dxa" w:w="1938"/>
          </w:tcPr>
          <w:p>
            <w:r>
              <w:t>Покрытие 90%, %</w:t>
            </w:r>
          </w:p>
        </w:tc>
      </w:tr>
      <w:tr>
        <w:tc>
          <w:tcPr>
            <w:tcW w:type="dxa" w:w="1938"/>
          </w:tcPr>
          <w:p>
            <w:r>
              <w:t>Бустинг</w:t>
            </w:r>
          </w:p>
        </w:tc>
        <w:tc>
          <w:tcPr>
            <w:tcW w:type="dxa" w:w="1938"/>
          </w:tcPr>
          <w:p>
            <w:r>
              <w:t>1150,43</w:t>
            </w:r>
          </w:p>
        </w:tc>
        <w:tc>
          <w:tcPr>
            <w:tcW w:type="dxa" w:w="1938"/>
          </w:tcPr>
          <w:p>
            <w:r>
              <w:t>1537,27</w:t>
            </w:r>
          </w:p>
        </w:tc>
        <w:tc>
          <w:tcPr>
            <w:tcW w:type="dxa" w:w="1938"/>
          </w:tcPr>
          <w:p>
            <w:r>
              <w:t>2,27</w:t>
            </w:r>
          </w:p>
        </w:tc>
        <w:tc>
          <w:tcPr>
            <w:tcW w:type="dxa" w:w="1938"/>
          </w:tcPr>
          <w:p>
            <w:r>
              <w:t>92,56</w:t>
            </w:r>
          </w:p>
        </w:tc>
      </w:tr>
      <w:tr>
        <w:tc>
          <w:tcPr>
            <w:tcW w:type="dxa" w:w="1938"/>
          </w:tcPr>
          <w:p>
            <w:r>
              <w:t>Недельный профиль</w:t>
            </w:r>
          </w:p>
        </w:tc>
        <w:tc>
          <w:tcPr>
            <w:tcW w:type="dxa" w:w="1938"/>
          </w:tcPr>
          <w:p>
            <w:r>
              <w:t>1496,66</w:t>
            </w:r>
          </w:p>
        </w:tc>
        <w:tc>
          <w:tcPr>
            <w:tcW w:type="dxa" w:w="1938"/>
          </w:tcPr>
          <w:p>
            <w:r>
              <w:t>1960,58</w:t>
            </w:r>
          </w:p>
        </w:tc>
        <w:tc>
          <w:tcPr>
            <w:tcW w:type="dxa" w:w="1938"/>
          </w:tcPr>
          <w:p>
            <w:r>
              <w:t>2,92</w:t>
            </w:r>
          </w:p>
        </w:tc>
        <w:tc>
          <w:tcPr>
            <w:tcW w:type="dxa" w:w="1938"/>
          </w:tcPr>
          <w:p>
            <w:r>
              <w:t>92,56</w:t>
            </w:r>
          </w:p>
        </w:tc>
      </w:tr>
    </w:tbl>
    <w:p>
      <w:r>
        <w:t>Снижение общей MAE относительно базовой модели составляет около 23,1%. Однако на подмножестве горизонтов 1–24 часа недельная модель показывает MAE 1339,18 МВт, а бустинг — 1397,99 МВт. Поэтому результат не означает превосходство бустинга во всех режимах. Интерфейс сохраняет выбор модели и показывает метрики отдельно по горизонтам 1–24, 25–72 и 73–168 часов.</w:t>
      </w:r>
    </w:p>
    <w:p>
      <w:r>
        <w:t>В тестовом периоде доля доступных архивных погодных прогнозов равна нулю. Соответственно, эти метрики оценивают вариант с историческим сезонным погодным профилем. Они не являются прямой оценкой многолетней работы с оперативными прогнозами MOSMIX. Проверка охватывает только две недели и должна быть расширена на другие сезоны по мере накопления выпусков.</w:t>
      </w:r>
    </w:p>
    <w:p>
      <w:r>
        <w:t>Манифест содержит SHA-256 бинарной модели и входной витрины, границы выборок, список признаков и метрики. Фиксированный протокол эксперимента сохранён в validation.json; текущий результат может измениться после обновления источников.</w:t>
      </w:r>
    </w:p>
    <w:p>
      <w:pPr>
        <w:pStyle w:val="Heading1"/>
      </w:pPr>
      <w:r>
        <w:t>6. Аналитический интерфейс</w:t>
      </w:r>
    </w:p>
    <w:p>
      <w:r>
        <w:t>Предметный дашборд отвечает на вопросы: какова последняя известная нагрузка; когда ожидается пик; какова суммарная энергия будущего периода; какой диапазон возможных ошибок следует учитывать; какие погодные и календарные условия сопровождают прогноз. Календарь показывает ближайшую неделю, графики поддерживают подсказки, данные выгружаются в CSV.</w:t>
      </w:r>
    </w:p>
    <w:p>
      <w:r>
        <w:t>Температурный сценарий от −10 до +10 °C изменяет внешние признаки модели. Он показывает чувствительность вычисленного прогноза, но не оценивает причинный эффект вмешательства. Сценарий, модель, момент формирования и версия включаются в CSV-экспорт.</w:t>
      </w:r>
    </w:p>
    <w:p>
      <w:r>
        <w:t>Операционный дашборд отвечает на вопросы: какие источники загружены; какие проверки требуют внимания; какие запуски завершились ошибкой; какие ответы использованы; сколько исправлений историзировано. Отдельная цепочка связывает последний фактический час с исходным Energy-Charts JSON и контрольной суммой.</w:t>
      </w:r>
    </w:p>
    <w:p>
      <w:r>
        <w:t>Интерфейс адаптирован к мобильной ширине 390 px. В браузерной проверке пройдены все четыре раздела, переключение горизонта, сценарий +5 °C и выгрузка 168 строк прогнозов. JavaScript-ошибок не обнаружено.</w:t>
      </w:r>
    </w:p>
    <w:p>
      <w:pPr>
        <w:pStyle w:val="Heading1"/>
      </w:pPr>
      <w:r>
        <w:t>7. Дополнительные компоненты управления данными</w:t>
      </w:r>
    </w:p>
    <w:p>
      <w:r>
        <w:t>Контроль качества реализован на двух уровнях: строгий парсинг схемы, единиц и ключей при загрузке; сохранённые проверки полноты, уникальности, диапазонов, связности календаря и свежести на витрине. Статусы видны пользователю. Отсутствующая солнечная история не скрывается: это предупреждение, а не повод подделывать измерения.</w:t>
      </w:r>
    </w:p>
    <w:p>
      <w:r>
        <w:t>Метаданные включают источник, URL, хэш оригинала, время загрузки, выпуск погоды, версию модели и границы обучения. Для уже импортированных данных можно проследить исходные интервалы до файлов, созданных тетрадкой.</w:t>
      </w:r>
    </w:p>
    <w:p>
      <w:r>
        <w:t>Историзация хранит предыдущие версии значимых записей и связывает изменение с запуском. Прогнозы сохраняются с моментом выпуска, а модели — по контрольной сумме. Это позволяет отличить исправление факта от нового прогноза и восстановить прежнее значение.</w:t>
      </w:r>
    </w:p>
    <w:p>
      <w:pPr>
        <w:pStyle w:val="Heading1"/>
      </w:pPr>
      <w:r>
        <w:t>8. Проверка работоспособности</w:t>
      </w:r>
    </w:p>
    <w:p>
      <w:r>
        <w:t>Выполнена реальная загрузка Energy-Charts, DWD CDC, семи станций MOSMIX и календарей 2026/2027 годов. Запуск завершён без ошибок источников. Автотесты изолированы от рабочей базы и проверяют преобразование МВт в МВт·ч, неполные часы, дубли, DST, календарь, идемпотентность, историю, блокировку, ограничения API, отсутствие будущих погодных выпусков, HTTP 429/304, таймауты и TTL-кэш.</w:t>
      </w:r>
    </w:p>
    <w:p>
      <w:r>
        <w:t>Команда проверки: python -m unittest discover -s tests -v. Браузерная проверка: python tools/browser_smoke.py при запущенном сайте и установленном Edge. Артефакты проверки находятся в test-results, выбранные снимки интерфейса — в docs/screenshots.</w:t>
      </w:r>
    </w:p>
    <w:p>
      <w:pPr>
        <w:pStyle w:val="Heading1"/>
      </w:pPr>
      <w:r>
        <w:t>9. Выводы и ограничения</w:t>
      </w:r>
    </w:p>
    <w:p>
      <w:r>
        <w:t>Разработан работающий локальный прототип полного цикла. Выполнены обязательные требования по разнородным источникам, слоям хранения, двум дашбордам и двум моделям; дополнительно реализованы контроль качества, метаданные и историзация. Код и документация версионируются в существующем GitHub-репозитории отдельными реальными коммитами.</w:t>
      </w:r>
    </w:p>
    <w:p>
      <w:r>
        <w:t>Основные ограничения: приближённое равновзвешенное представление погоды страны; различие станций наблюдений и прогнозов; ограниченное покрытие архивных выпусков MOSMIX; малый тестовый период; отсутствие производственных смен, отраслевых индексов и реальной доступной генерации; вероятность изменений схем и доступности внешних API. Доля рабочих земель не взвешена по вкладу в потребление. Номинальный интервал не гарантирует точность при изменении режима системы.</w:t>
      </w:r>
    </w:p>
    <w:p>
      <w:r>
        <w:t>Дальнейшее развитие: многосезонная rolling-origin проверка, ежедневные прогнозные origins с задержкой публикации фактов, накопление исторических выпусков погоды, оценка влияния групп признаков, взвешивание регионов, мониторинг ошибок ранее выпущенных прогнозов, дополнительные производственные признаки. Для воспроизводимости исторической проверки следует отдельно хранить момент доступности каждого наблюдения: текущий тест учитывает погодные выпуски, но предполагает, что все предшествующие origin факты нагрузки были доступны.</w:t>
      </w:r>
    </w:p>
    <w:p>
      <w:r>
        <w:t>Официальное согласование темы, защита проекта и загрузка материалов в СДО относятся к обязанностям автора. Наличие поздних коммитов не подменяет требуемую методичкой реальную работу в течение семестра.</w:t>
      </w:r>
    </w:p>
    <w:p>
      <w:pPr>
        <w:pStyle w:val="Heading1"/>
      </w:pPr>
      <w:r>
        <w:t>10. Источники</w:t>
      </w:r>
    </w:p>
    <w:p>
      <w:r>
        <w:t>1. Методические указания к проектной работе по дисциплине «Прогнозно-аналитические системы», файл «ПАС УД.pdf».</w:t>
      </w:r>
    </w:p>
    <w:p>
      <w:r>
        <w:t>2. Energy-Charts API: https://api.energy-charts.info/.</w:t>
      </w:r>
    </w:p>
    <w:p>
      <w:r>
        <w:t>3. DWD Climate Data Center: https://opendata.dwd.de/climate_environment/CDC/observations_germany/climate/hourly/.</w:t>
      </w:r>
    </w:p>
    <w:p>
      <w:r>
        <w:t>4. DWD MOSMIX: https://opendata.dwd.de/weather/local_forecasts/mos/MOSMIX_L/.</w:t>
      </w:r>
    </w:p>
    <w:p>
      <w:r>
        <w:t>5. Определения метеопараметров DWD: https://opendata.dwd.de/weather/lib/MetElementDefinition.xml.</w:t>
      </w:r>
    </w:p>
    <w:p>
      <w:r>
        <w:t>6. Feiertage Webservice: https://feiertage-api.de/.</w:t>
      </w:r>
    </w:p>
    <w:p>
      <w:r>
        <w:t>7. python-holidays: https://holidays.readthedocs.io/.</w:t>
      </w:r>
    </w:p>
    <w:p>
      <w:r>
        <w:t>8. scikit-learn, HistGradientBoostingRegressor: https://scikit-learn.org/stable/modules/generated/sklearn.ensemble.HistGradientBoostingRegressor.html.</w:t>
      </w:r>
    </w:p>
    <w:sectPr w:rsidR="00FC693F" w:rsidRPr="0006063C" w:rsidSect="00034616">
      <w:pgSz w:w="12240" w:h="15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76D67"/>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76D6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76D67"/>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176D67"/>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GridPulse DE — прогнозно-аналитическая система</dc:title>
  <dc:subject>Проект по дисциплине Прогнозно-аналитические системы</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