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AMERICANA</w:t>
      </w:r>
    </w:p>
    <w:p w:rsidR="00000000" w:rsidDel="00000000" w:rsidP="00000000" w:rsidRDefault="00000000" w:rsidRPr="00000000" w14:paraId="00000002">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Facultad  de Ingeniería y Arquitectura</w:t>
      </w:r>
      <w:r w:rsidDel="00000000" w:rsidR="00000000" w:rsidRPr="00000000">
        <w:rPr>
          <w:rtl w:val="0"/>
        </w:rPr>
      </w:r>
    </w:p>
    <w:p w:rsidR="00000000" w:rsidDel="00000000" w:rsidP="00000000" w:rsidRDefault="00000000" w:rsidRPr="00000000" w14:paraId="00000003">
      <w:pPr>
        <w:widowControl w:val="1"/>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widowControl w:val="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45351" cy="2436609"/>
            <wp:effectExtent b="0" l="0" r="0" t="0"/>
            <wp:docPr id="2" name="image1.png"/>
            <a:graphic>
              <a:graphicData uri="http://schemas.openxmlformats.org/drawingml/2006/picture">
                <pic:pic>
                  <pic:nvPicPr>
                    <pic:cNvPr id="0" name="image1.png"/>
                    <pic:cNvPicPr preferRelativeResize="0"/>
                  </pic:nvPicPr>
                  <pic:blipFill>
                    <a:blip r:embed="rId6"/>
                    <a:srcRect b="27797" l="0" r="0" t="0"/>
                    <a:stretch>
                      <a:fillRect/>
                    </a:stretch>
                  </pic:blipFill>
                  <pic:spPr>
                    <a:xfrm>
                      <a:off x="0" y="0"/>
                      <a:ext cx="2345351" cy="243660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pStyle w:val="Title"/>
        <w:widowControl w:val="1"/>
        <w:pBdr>
          <w:bottom w:color="auto" w:space="0" w:sz="0" w:val="none"/>
        </w:pBdr>
        <w:spacing w:after="0" w:before="0" w:lineRule="auto"/>
        <w:jc w:val="center"/>
        <w:rPr>
          <w:rFonts w:ascii="Times New Roman" w:cs="Times New Roman" w:eastAsia="Times New Roman" w:hAnsi="Times New Roman"/>
          <w:i w:val="1"/>
          <w:iCs w:val="1"/>
          <w:sz w:val="24"/>
          <w:szCs w:val="24"/>
        </w:rPr>
      </w:pPr>
      <w:bookmarkStart w:colFirst="0" w:colLast="0" w:name="_x9d8qfd0lad1" w:id="0"/>
      <w:bookmarkEnd w:id="0"/>
      <w:r w:rsidDel="00000000" w:rsidR="00000000" w:rsidRPr="00000000">
        <w:rPr>
          <w:rFonts w:ascii="Times New Roman" w:cs="Times New Roman" w:eastAsia="Times New Roman" w:hAnsi="Times New Roman"/>
          <w:i w:val="1"/>
          <w:iCs w:val="1"/>
          <w:sz w:val="24"/>
          <w:szCs w:val="24"/>
          <w:rtl w:val="0"/>
        </w:rPr>
        <w:t xml:space="preserve">Administración y Gestión de Bases de Datos G2</w:t>
      </w:r>
    </w:p>
    <w:p w:rsidR="00000000" w:rsidDel="00000000" w:rsidP="00000000" w:rsidRDefault="00000000" w:rsidRPr="00000000" w14:paraId="00000008">
      <w:pPr>
        <w:widowControl w:val="1"/>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Subtitle"/>
        <w:widowControl w:val="1"/>
        <w:spacing w:after="0" w:before="0" w:lineRule="auto"/>
        <w:jc w:val="center"/>
        <w:rPr>
          <w:rFonts w:ascii="Times New Roman" w:cs="Times New Roman" w:eastAsia="Times New Roman" w:hAnsi="Times New Roman"/>
          <w:color w:val="000000"/>
          <w:sz w:val="24"/>
          <w:szCs w:val="24"/>
        </w:rPr>
      </w:pPr>
      <w:bookmarkStart w:colFirst="0" w:colLast="0" w:name="_d15mlcx3avhf" w:id="1"/>
      <w:bookmarkEnd w:id="1"/>
      <w:r w:rsidDel="00000000" w:rsidR="00000000" w:rsidRPr="00000000">
        <w:rPr>
          <w:rFonts w:ascii="Times New Roman" w:cs="Times New Roman" w:eastAsia="Times New Roman" w:hAnsi="Times New Roman"/>
          <w:color w:val="000000"/>
          <w:sz w:val="24"/>
          <w:szCs w:val="24"/>
          <w:rtl w:val="0"/>
        </w:rPr>
        <w:t xml:space="preserve">Práctica - SMSS Job auditoría Northwind</w:t>
      </w:r>
    </w:p>
    <w:p w:rsidR="00000000" w:rsidDel="00000000" w:rsidP="00000000" w:rsidRDefault="00000000" w:rsidRPr="00000000" w14:paraId="0000000A">
      <w:pPr>
        <w:pStyle w:val="Subtitle"/>
        <w:widowControl w:val="1"/>
        <w:spacing w:after="0" w:before="0" w:lineRule="auto"/>
        <w:jc w:val="center"/>
        <w:rPr>
          <w:rFonts w:ascii="Times New Roman" w:cs="Times New Roman" w:eastAsia="Times New Roman" w:hAnsi="Times New Roman"/>
          <w:b w:val="1"/>
          <w:bCs w:val="1"/>
          <w:i w:val="0"/>
          <w:iCs w:val="0"/>
          <w:sz w:val="24"/>
          <w:szCs w:val="24"/>
        </w:rPr>
      </w:pPr>
      <w:bookmarkStart w:colFirst="0" w:colLast="0" w:name="_tzm6ti0qadz"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widowControl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widowControl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 </w:t>
      </w:r>
    </w:p>
    <w:p w:rsidR="00000000" w:rsidDel="00000000" w:rsidP="00000000" w:rsidRDefault="00000000" w:rsidRPr="00000000" w14:paraId="0000000D">
      <w:pPr>
        <w:widowControl w:val="1"/>
        <w:numPr>
          <w:ilvl w:val="0"/>
          <w:numId w:val="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Oscar Isaac Duran Guadron.</w:t>
      </w:r>
    </w:p>
    <w:p w:rsidR="00000000" w:rsidDel="00000000" w:rsidP="00000000" w:rsidRDefault="00000000" w:rsidRPr="00000000" w14:paraId="0000000E">
      <w:pPr>
        <w:widowControl w:val="1"/>
        <w:numPr>
          <w:ilvl w:val="0"/>
          <w:numId w:val="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Alondra Sofía Mayen Rodriguez.</w:t>
      </w:r>
    </w:p>
    <w:p w:rsidR="00000000" w:rsidDel="00000000" w:rsidP="00000000" w:rsidRDefault="00000000" w:rsidRPr="00000000" w14:paraId="0000000F">
      <w:pPr>
        <w:widowControl w:val="1"/>
        <w:numPr>
          <w:ilvl w:val="0"/>
          <w:numId w:val="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Rommel Alexander Muñoz Guerrero.</w:t>
      </w:r>
    </w:p>
    <w:p w:rsidR="00000000" w:rsidDel="00000000" w:rsidP="00000000" w:rsidRDefault="00000000" w:rsidRPr="00000000" w14:paraId="00000010">
      <w:pPr>
        <w:widowControl w:val="1"/>
        <w:numPr>
          <w:ilvl w:val="0"/>
          <w:numId w:val="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Gabriela Suyen Espinoza Rodriguez.</w:t>
      </w:r>
    </w:p>
    <w:p w:rsidR="00000000" w:rsidDel="00000000" w:rsidP="00000000" w:rsidRDefault="00000000" w:rsidRPr="00000000" w14:paraId="00000011">
      <w:pPr>
        <w:widowControl w:val="1"/>
        <w:numPr>
          <w:ilvl w:val="0"/>
          <w:numId w:val="1"/>
        </w:numPr>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Alfredo Miguel Jarquin Castillo.</w:t>
      </w:r>
    </w:p>
    <w:p w:rsidR="00000000" w:rsidDel="00000000" w:rsidP="00000000" w:rsidRDefault="00000000" w:rsidRPr="00000000" w14:paraId="0000001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1"/>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15">
      <w:pPr>
        <w:widowControl w:val="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widowControl w:val="1"/>
        <w:spacing w:after="20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Darwin Jose Jaime Vallejos</w:t>
      </w:r>
    </w:p>
    <w:p w:rsidR="00000000" w:rsidDel="00000000" w:rsidP="00000000" w:rsidRDefault="00000000" w:rsidRPr="00000000" w14:paraId="00000017">
      <w:pPr>
        <w:widowControl w:val="1"/>
        <w:spacing w:after="200" w:lineRule="auto"/>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8">
      <w:pPr>
        <w:widowControl w:val="1"/>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Miércoles 13 de octubre del 2026</w:t>
      </w:r>
    </w:p>
    <w:p w:rsidR="00000000" w:rsidDel="00000000" w:rsidP="00000000" w:rsidRDefault="00000000" w:rsidRPr="00000000" w14:paraId="00000019">
      <w:pPr>
        <w:widowControl w:val="1"/>
        <w:spacing w:line="276"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INTRODUCCIÓN Y ALCANCE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Manual Técnico y Protocolo de Gobernanza DDL constituye el entregable consolidado para la Actividad 3 de la asignatura Administración y Gestión de Bases de Datos en la Universidad Americana (UAM). Su objetivo es establecer un marco formal para el versionado, documentación, auditoría y mantenimiento colaborativo de la base de datos </w:t>
      </w:r>
      <w:r w:rsidDel="00000000" w:rsidR="00000000" w:rsidRPr="00000000">
        <w:rPr>
          <w:rFonts w:ascii="Times New Roman" w:cs="Times New Roman" w:eastAsia="Times New Roman" w:hAnsi="Times New Roman"/>
          <w:b w:val="1"/>
          <w:bCs w:val="1"/>
          <w:sz w:val="24"/>
          <w:szCs w:val="24"/>
          <w:rtl w:val="0"/>
        </w:rPr>
        <w:t xml:space="preserve">Northwind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aborda la arquitectura general del gestor, el inventario de objetos, el diccionario de datos metadato, las políticas de control de versiones distribuidas únicamente mediante </w:t>
      </w:r>
      <w:r w:rsidDel="00000000" w:rsidR="00000000" w:rsidRPr="00000000">
        <w:rPr>
          <w:rFonts w:ascii="Times New Roman" w:cs="Times New Roman" w:eastAsia="Times New Roman" w:hAnsi="Times New Roman"/>
          <w:b w:val="1"/>
          <w:bCs w:val="1"/>
          <w:sz w:val="24"/>
          <w:szCs w:val="24"/>
          <w:rtl w:val="0"/>
        </w:rPr>
        <w:t xml:space="preserve">Git / GitHub</w:t>
      </w:r>
      <w:r w:rsidDel="00000000" w:rsidR="00000000" w:rsidRPr="00000000">
        <w:rPr>
          <w:rFonts w:ascii="Times New Roman" w:cs="Times New Roman" w:eastAsia="Times New Roman" w:hAnsi="Times New Roman"/>
          <w:sz w:val="24"/>
          <w:szCs w:val="24"/>
          <w:rtl w:val="0"/>
        </w:rPr>
        <w:t xml:space="preserve"> y los mecanismos automatizados en T-SQL de prevención contra la desviación de configuración.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MANUAL TÉCNICO Y DICCIONARIO DE DATOS ESTANDARIZADO</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Ficha Técnica de Infraestructura del Gestor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 de Servidor</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 Configuración Auditada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de Gobernanza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 la Instancia</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LAPTOP-OSCAR\MSSQLSERVER01</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Instancia local de pruebas y auditoría de rendimiento.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Motor y Edición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SQL Server 2022 (Developer / Enterprise)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vistas de administración dinámica y automatización con SQL Agent [cite: 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 Transaccional</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Northwind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producción para operaciones de comercio y ventas.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Recuperación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(Completo)</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 la trazabilidad del Log de Transacciones y permite recuperaciones Point-in-Time [cite: 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Autocrecimiento (MDF/LDF)</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MB fijos (ROWS y LOG)</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Previene la fragmentación física externa en disco y evita bloqueos por crecimiento exponencial.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Utilización de Memoria RAM</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de uso (Process Physical Memory Low = 0)</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Operación en rango estable sin señales de presión de memoria en el servidor [cite: 12].</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Diccionario de Datos y Metadatos de Entidades Clave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que la documentación sea dinámica y no dependa de manuales estáticos propensos a obsolescencia, los metadatos se administran a través de Propiedades Extendidas (sys.extended_properties). A continuación se detalla la estructura metadata de la entidad Orders y Order Details: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Columna / Campo</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 Restricción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y Regla de Negocio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OrderID</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(IDENTITY)</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correlativo autonumérico de la orden de venta.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NCHAR(5)</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(Customers)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alfanumérico del cliente emisor del pedido. Referencia estática.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OrderDate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GETDATE()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oficial de registro de la transacción en el sistema.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Details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OrderID</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 FK (Orders)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compuesta que vincula el detalle con el encabezado del pedido.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Details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ProductID</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 FK (Products)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del producto comercializado. Referencia catálogo productos.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Details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UnitPrice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DECIMAL(18,2)</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(UnitPrice &gt;= 0)</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de venta unitario del artículo congelado al momento del pedido.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Details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SMALLINT</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(Quantity &gt; 0)</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física solicitada. Restricción de valor positivo estrictamente.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ANÁLISIS DE DESVIACIÓN DE CONFIGURACIÓN (CONFIGURATION DRIFT) Y TRACEABILIDAD</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Concepto y Riesgos Técnicos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Desviación de Configuración (Configuration Drift)</w:t>
      </w:r>
      <w:r w:rsidDel="00000000" w:rsidR="00000000" w:rsidRPr="00000000">
        <w:rPr>
          <w:rFonts w:ascii="Times New Roman" w:cs="Times New Roman" w:eastAsia="Times New Roman" w:hAnsi="Times New Roman"/>
          <w:sz w:val="24"/>
          <w:szCs w:val="24"/>
          <w:rtl w:val="0"/>
        </w:rPr>
        <w:t xml:space="preserve"> se produce cuando el estado de la base de datos en el entorno de producción difiere del código DDL almacenado en el repositorio central de Git. Esta discrepancia es generada habitualmente por modificaciones directas "a mano" realizadas en el gestor por administradores de sistemas o desarrolladores sin el debido proceso de revisión de código.</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Estrategia Automatizada de Prevención: Trigger DDL a Nivel de Base de Datos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prevenir y auditar de forma inmediata cualquier alteración de esquema no autorizada, se implementa el siguiente Trigger DDL de Gobernanza en la base de datos Northwind: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 TRIGGER DDL DE AUDITORÍA Y CONTROL DE DESVIACIÓN DE CONFIGURACIÓN (DRIFT)</w:t>
        <w:br w:type="textWrapping"/>
        <w:t xml:space="preserve">*******************************************************************************/</w:t>
        <w:br w:type="textWrapping"/>
        <w:br w:type="textWrapping"/>
        <w:t xml:space="preserve">USE Northwind;</w:t>
        <w:br w:type="textWrapping"/>
        <w:t xml:space="preserve">GO</w:t>
        <w:br w:type="textWrapping"/>
        <w:br w:type="textWrapping"/>
        <w:t xml:space="preserve">-- 1. Tabla de Auditoría de Cambios DDL</w:t>
        <w:br w:type="textWrapping"/>
        <w:t xml:space="preserve">IF NOT EXISTS (SELECT 1 FROM sys.tables WHERE name = 'Auditoria_Cambios_DDL')</w:t>
        <w:br w:type="textWrapping"/>
        <w:t xml:space="preserve">BEGIN</w:t>
        <w:br w:type="textWrapping"/>
        <w:t xml:space="preserve">    CREATE TABLE dbo.Auditoria_Cambios_DDL (</w:t>
        <w:br w:type="textWrapping"/>
        <w:t xml:space="preserve">        ID_Auditoria INT IDENTITY(1,1) PRIMARY KEY,</w:t>
        <w:br w:type="textWrapping"/>
        <w:t xml:space="preserve">        FechaEvento DATETIME DEFAULT GETDATE(),</w:t>
        <w:br w:type="textWrapping"/>
        <w:t xml:space="preserve">        UsuarioLogin NVARCHAR(100),</w:t>
        <w:br w:type="textWrapping"/>
        <w:t xml:space="preserve">        TipoEvento NVARCHAR(100),</w:t>
        <w:br w:type="textWrapping"/>
        <w:t xml:space="preserve">        ObjetoAfectado NVARCHAR(200),</w:t>
        <w:br w:type="textWrapping"/>
        <w:t xml:space="preserve">        ComandoTSQL NVARCHAR(MAX)</w:t>
        <w:br w:type="textWrapping"/>
        <w:t xml:space="preserve">    );</w:t>
        <w:br w:type="textWrapping"/>
        <w:t xml:space="preserve">END;</w:t>
        <w:br w:type="textWrapping"/>
        <w:t xml:space="preserve">GO</w:t>
        <w:br w:type="textWrapping"/>
        <w:br w:type="textWrapping"/>
        <w:t xml:space="preserve">-- 2. Trigger DDL sobre Eventos de Estructura</w:t>
        <w:br w:type="textWrapping"/>
        <w:t xml:space="preserve">CREATE OR ALTER TRIGGER trg_Auditoria_Gobernanza_DDL</w:t>
        <w:br w:type="textWrapping"/>
        <w:t xml:space="preserve">ON DATABASE</w:t>
        <w:br w:type="textWrapping"/>
        <w:t xml:space="preserve">FOR CREATE_TABLE, ALTER_TABLE, DROP_TABLE, </w:t>
        <w:br w:type="textWrapping"/>
        <w:t xml:space="preserve">    CREATE_VIEW, ALTER_VIEW, DROP_VIEW, </w:t>
        <w:br w:type="textWrapping"/>
        <w:t xml:space="preserve">    CREATE_PROCEDURE, ALTER_PROCEDURE, DROP_PROCEDURE</w:t>
        <w:br w:type="textWrapping"/>
        <w:t xml:space="preserve">AS</w:t>
        <w:br w:type="textWrapping"/>
        <w:t xml:space="preserve">BEGIN</w:t>
        <w:br w:type="textWrapping"/>
        <w:t xml:space="preserve">    SET NOCOUNT ON;</w:t>
        <w:br w:type="textWrapping"/>
        <w:t xml:space="preserve">    </w:t>
        <w:br w:type="textWrapping"/>
        <w:t xml:space="preserve">    DECLARE @data XML = EVENTDATA();</w:t>
        <w:br w:type="textWrapping"/>
        <w:t xml:space="preserve">    </w:t>
        <w:br w:type="textWrapping"/>
        <w:t xml:space="preserve">    INSERT INTO dbo.Auditoria_Cambios_DDL (UsuarioLogin, TipoEvento, ObjetoAfectado, ComandoTSQL)</w:t>
        <w:br w:type="textWrapping"/>
        <w:t xml:space="preserve">    VALUES (</w:t>
        <w:br w:type="textWrapping"/>
        <w:t xml:space="preserve">        @data.value('(/EVENT_INSTANCE/LoginName)[1]', 'NVARCHAR(100)'),</w:t>
        <w:br w:type="textWrapping"/>
        <w:t xml:space="preserve">        @data.value('(/EVENT_INSTANCE/EventType)[1]', 'NVARCHAR(100)'),</w:t>
        <w:br w:type="textWrapping"/>
        <w:t xml:space="preserve">        @data.value('(/EVENT_INSTANCE/ObjectName)[1]', 'NVARCHAR(200)'),</w:t>
        <w:br w:type="textWrapping"/>
        <w:t xml:space="preserve">        @data.value('(/EVENT_INSTANCE/TSQLCommand/CommandText)[1]', 'NVARCHAR(MAX)')</w:t>
        <w:br w:type="textWrapping"/>
        <w:t xml:space="preserve">    );</w:t>
        <w:br w:type="textWrapping"/>
        <w:t xml:space="preserve">END;</w:t>
        <w:br w:type="textWrapping"/>
        <w:t xml:space="preserve">GO</w:t>
        <w:br w:type="textWrapping"/>
        <w:br w:type="textWrapping"/>
        <w:t xml:space="preserve">-- 3. Prueba de Captura: Crear y Eliminar Tabla Temporal de Verificación</w:t>
        <w:br w:type="textWrapping"/>
        <w:t xml:space="preserve">CREATE TABLE dbo.Tabla_Prueba_Drift (ID INT PRIMARY KEY);</w:t>
        <w:br w:type="textWrapping"/>
        <w:t xml:space="preserve">GO</w:t>
        <w:br w:type="textWrapping"/>
        <w:t xml:space="preserve">DROP TABLE dbo.Tabla_Prueba_Drift;</w:t>
        <w:br w:type="textWrapping"/>
        <w:t xml:space="preserve">GO</w:t>
        <w:br w:type="textWrapping"/>
        <w:br w:type="textWrapping"/>
        <w:t xml:space="preserve">-- 4. Consulta de Verificación de Eventos Capturados</w:t>
        <w:br w:type="textWrapping"/>
        <w:t xml:space="preserve">SELECT * FROM dbo.Auditoria_Cambios_DDL ORDER BY ID_Auditoria DESC;</w:t>
        <w:br w:type="textWrapping"/>
        <w:t xml:space="preserve">GO</w:t>
        <w:br w:type="textWrapping"/>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Evidencia de Ejecución en SSMS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876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CONCLUSIONES Y RECOMENDACIONES DE GOBERNANZA</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Git y Control DDL:</w:t>
      </w:r>
      <w:r w:rsidDel="00000000" w:rsidR="00000000" w:rsidRPr="00000000">
        <w:rPr>
          <w:rFonts w:ascii="Times New Roman" w:cs="Times New Roman" w:eastAsia="Times New Roman" w:hAnsi="Times New Roman"/>
          <w:sz w:val="24"/>
          <w:szCs w:val="24"/>
          <w:rtl w:val="0"/>
        </w:rPr>
        <w:t xml:space="preserve"> Mantener el esquema de la base de datos versionado exclusivamente en Git asegura la trazabilidad histórica de cada columna, tabla o procedimiento, previniendo errores en despliegues y garantizando la capacidad de realizar un </w:t>
      </w:r>
      <w:r w:rsidDel="00000000" w:rsidR="00000000" w:rsidRPr="00000000">
        <w:rPr>
          <w:rFonts w:ascii="Times New Roman" w:cs="Times New Roman" w:eastAsia="Times New Roman" w:hAnsi="Times New Roman"/>
          <w:i w:val="1"/>
          <w:iCs w:val="1"/>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controlado.</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Eliminación del Configuration Drift:</w:t>
      </w:r>
      <w:r w:rsidDel="00000000" w:rsidR="00000000" w:rsidRPr="00000000">
        <w:rPr>
          <w:rFonts w:ascii="Times New Roman" w:cs="Times New Roman" w:eastAsia="Times New Roman" w:hAnsi="Times New Roman"/>
          <w:sz w:val="24"/>
          <w:szCs w:val="24"/>
          <w:rtl w:val="0"/>
        </w:rPr>
        <w:t xml:space="preserve"> La combinación de vistas protegidas mediante WITH SCHEMABINDING y Triggers DDL de auditoría garantiza que cualquier modificación sea detectada inmediatamente, manteniendo la alineación estricta entre el repositorio Git y la instancia de producción.</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Monitoreo Continuo:</w:t>
      </w:r>
      <w:r w:rsidDel="00000000" w:rsidR="00000000" w:rsidRPr="00000000">
        <w:rPr>
          <w:rFonts w:ascii="Times New Roman" w:cs="Times New Roman" w:eastAsia="Times New Roman" w:hAnsi="Times New Roman"/>
          <w:sz w:val="24"/>
          <w:szCs w:val="24"/>
          <w:rtl w:val="0"/>
        </w:rPr>
        <w:t xml:space="preserve"> Las auditorías periódicas de fragmentación de índices, autocrecimiento de archivos MDF/LDF y consumo de memoria RAM permiten sostener un nivel óptimo de servicio en el SGBD.</w:t>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