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Validación del módulo de revisión de Bases</w:t>
      </w:r>
    </w:p>
    <w:p>
      <w:r>
        <w:t>Fecha: 28/10/2026 13:57 · Modelo: gemini-3.5-flash-lite · Modo: reglas fijas y agente revisor</w:t>
      </w:r>
    </w:p>
    <w:p>
      <w:pPr>
        <w:pStyle w:val="Heading2"/>
      </w:pPr>
      <w:r>
        <w:t>Qué se probó y cómo</w:t>
      </w:r>
    </w:p>
    <w:p>
      <w:r>
        <w:t>Se usaron convocatorias de demostración ficticias con fallas sembradas a propósito en el expediente, en las Bases y en el pliego de absolución. Para cada una se sabe de antemano qué verificaciones del catálogo deben fallar en cada ronda. El sistema revisó los documentos igual que en el portal del comité (ronda A con el expediente y las Bases convocadas; ronda B con el pliego y las Bases Integradas) y se comparó lo que detectó con lo esperado.</w:t>
      </w:r>
    </w:p>
    <w:p>
      <w:r>
        <w:t>Exhaustividad = fallas sembradas detectadas ÷ fallas sembradas. Precisión = hallazgos que eran fallas sembradas ÷ hallazgos del sistema. Un hallazgo de más no siempre es un error: puede ser una falla real que no se sembró; por eso cada uno se lista para revisarlo.</w:t>
      </w:r>
    </w:p>
    <w:p>
      <w:pPr>
        <w:pStyle w:val="Heading2"/>
      </w:pPr>
      <w:r>
        <w:t>Resultados globales</w:t>
      </w:r>
    </w:p>
    <w:tbl>
      <w:tblPr>
        <w:tblStyle w:val="TableGrid"/>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Exhaustividad (fallas sembradas detectadas)</w:t>
            </w:r>
          </w:p>
        </w:tc>
        <w:tc>
          <w:tcPr>
            <w:tcW w:type="dxa" w:w="4320"/>
          </w:tcPr>
          <w:p>
            <w:r>
              <w:t>100,0 % (20 de 20)</w:t>
            </w:r>
          </w:p>
        </w:tc>
      </w:tr>
      <w:tr>
        <w:tc>
          <w:tcPr>
            <w:tcW w:type="dxa" w:w="4320"/>
          </w:tcPr>
          <w:p>
            <w:r>
              <w:t>Precisión</w:t>
            </w:r>
          </w:p>
        </w:tc>
        <w:tc>
          <w:tcPr>
            <w:tcW w:type="dxa" w:w="4320"/>
          </w:tcPr>
          <w:p>
            <w:r>
              <w:t>90,9 %</w:t>
            </w:r>
          </w:p>
        </w:tc>
      </w:tr>
      <w:tr>
        <w:tc>
          <w:tcPr>
            <w:tcW w:type="dxa" w:w="4320"/>
          </w:tcPr>
          <w:p>
            <w:r>
              <w:t>Hallazgos de más</w:t>
            </w:r>
          </w:p>
        </w:tc>
        <w:tc>
          <w:tcPr>
            <w:tcW w:type="dxa" w:w="4320"/>
          </w:tcPr>
          <w:p>
            <w:r>
              <w:t>2</w:t>
            </w:r>
          </w:p>
        </w:tc>
      </w:tr>
      <w:tr>
        <w:tc>
          <w:tcPr>
            <w:tcW w:type="dxa" w:w="4320"/>
          </w:tcPr>
          <w:p>
            <w:r>
              <w:t>Verificaciones no verificadas</w:t>
            </w:r>
          </w:p>
        </w:tc>
        <w:tc>
          <w:tcPr>
            <w:tcW w:type="dxa" w:w="4320"/>
          </w:tcPr>
          <w:p>
            <w:r>
              <w:t>0</w:t>
            </w:r>
          </w:p>
        </w:tc>
      </w:tr>
      <w:tr>
        <w:tc>
          <w:tcPr>
            <w:tcW w:type="dxa" w:w="4320"/>
          </w:tcPr>
          <w:p>
            <w:r>
              <w:t>Consultas a Gemini</w:t>
            </w:r>
          </w:p>
        </w:tc>
        <w:tc>
          <w:tcPr>
            <w:tcW w:type="dxa" w:w="4320"/>
          </w:tcPr>
          <w:p>
            <w:r>
              <w:t>304</w:t>
            </w:r>
          </w:p>
        </w:tc>
      </w:tr>
      <w:tr>
        <w:tc>
          <w:tcPr>
            <w:tcW w:type="dxa" w:w="4320"/>
          </w:tcPr>
          <w:p>
            <w:r>
              <w:t>Tokens</w:t>
            </w:r>
          </w:p>
        </w:tc>
        <w:tc>
          <w:tcPr>
            <w:tcW w:type="dxa" w:w="4320"/>
          </w:tcPr>
          <w:p>
            <w:r>
              <w:t>809 012</w:t>
            </w:r>
          </w:p>
        </w:tc>
      </w:tr>
      <w:tr>
        <w:tc>
          <w:tcPr>
            <w:tcW w:type="dxa" w:w="4320"/>
          </w:tcPr>
          <w:p>
            <w:r>
              <w:t>Tiempo total</w:t>
            </w:r>
          </w:p>
        </w:tc>
        <w:tc>
          <w:tcPr>
            <w:tcW w:type="dxa" w:w="4320"/>
          </w:tcPr>
          <w:p>
            <w:r>
              <w:t>3934 s</w:t>
            </w:r>
          </w:p>
        </w:tc>
      </w:tr>
    </w:tbl>
    <w:p>
      <w:pPr>
        <w:pStyle w:val="Heading2"/>
      </w:pPr>
      <w:r>
        <w:t>VALIDACIÓN · CP-01-2026-MPPL/CS · plan desarrollo urbano</w:t>
      </w:r>
    </w:p>
    <w:p>
      <w:r>
        <w:t>Fallas sembradas: Expediente coherente: no debería haber hallazgos.</w:t>
      </w:r>
    </w:p>
    <w:p>
      <w:r>
        <w:t>En el aplicativo: portal del comité → Concursos en Curso → «VALIDACIÓN · CP-01-2026-MPPL/CS · plan desarrollo urbano».</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CP-01-2026-MPPL-CS.pdf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49 · tiempo: 769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w:t>
            </w:r>
          </w:p>
        </w:tc>
        <w:tc>
          <w:tcPr>
            <w:tcW w:type="dxa" w:w="2160"/>
          </w:tcPr>
          <w:p>
            <w:r>
              <w:t>—</w:t>
            </w:r>
          </w:p>
        </w:tc>
        <w:tc>
          <w:tcPr>
            <w:tcW w:type="dxa" w:w="2160"/>
          </w:tcPr>
          <w:p>
            <w:r>
              <w:t>—</w:t>
            </w:r>
          </w:p>
        </w:tc>
        <w:tc>
          <w:tcPr>
            <w:tcW w:type="dxa" w:w="2160"/>
          </w:tcPr>
          <w:p>
            <w:r>
              <w:t>—</w:t>
            </w:r>
          </w:p>
        </w:tc>
      </w:tr>
    </w:tbl>
    <w:p>
      <w:r>
        <w:t>Consultas a Gemini: 50 · tiempo: 722 s.</w:t>
      </w:r>
    </w:p>
    <w:p>
      <w:pPr>
        <w:pStyle w:val="Heading2"/>
      </w:pPr>
      <w:r>
        <w:t>VALIDACIÓN · CP-04-2026-PERVS/CS · supervision canal de riego</w:t>
      </w:r>
    </w:p>
    <w:p>
      <w:r>
        <w:t>Fallas sembradas: La certificación cubre S/ 500 000 de S/ 520 000; el área usuaria pidió 12 meses para el especialista en hidráulica y las Bases exigen 24; la aprobación del expediente es del 30/09 y las Bases dicen 28/09. En el pliego, la consulta 3 no tiene respuesta y la absolución 2 (acogida, sin conformidad del área usuaria) no se incorporó en las Bases Integradas.</w:t>
      </w:r>
    </w:p>
    <w:p>
      <w:r>
        <w:t>En el aplicativo: portal del comité → Concursos en Curso → «VALIDACIÓN · CP-04-2026-PERVS/CS · supervision canal de riego».</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CP-04-2026-PERVS-CS.pdf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COH-02, COH-04, COH-06, COH-07</w:t>
            </w:r>
          </w:p>
        </w:tc>
        <w:tc>
          <w:tcPr>
            <w:tcW w:type="dxa" w:w="2160"/>
          </w:tcPr>
          <w:p>
            <w:r>
              <w:t>COH-02, COH-04, COH-06, COH-07</w:t>
            </w:r>
          </w:p>
        </w:tc>
        <w:tc>
          <w:tcPr>
            <w:tcW w:type="dxa" w:w="2160"/>
          </w:tcPr>
          <w:p>
            <w:r>
              <w:t>—</w:t>
            </w:r>
          </w:p>
        </w:tc>
        <w:tc>
          <w:tcPr>
            <w:tcW w:type="dxa" w:w="2160"/>
          </w:tcPr>
          <w:p>
            <w:r>
              <w:t>—</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COH-02 · La certificación presupuestal cubre la cuantía de la contratación</w:t>
            </w:r>
          </w:p>
        </w:tc>
        <w:tc>
          <w:tcPr>
            <w:tcW w:type="dxa" w:w="2880"/>
          </w:tcPr>
          <w:p>
            <w:r>
              <w:t>Falla</w:t>
            </w:r>
          </w:p>
        </w:tc>
        <w:tc>
          <w:tcPr>
            <w:tcW w:type="dxa" w:w="2880"/>
          </w:tcPr>
          <w:p>
            <w:r>
              <w:t>La certificación cubre S/ 500 000.00, menos que la cuantía de S/ 520 000.00 (faltan S/ 20 000.00).</w:t>
            </w:r>
          </w:p>
        </w:tc>
      </w:tr>
      <w:tr>
        <w:tc>
          <w:tcPr>
            <w:tcW w:type="dxa" w:w="2880"/>
          </w:tcPr>
          <w:p>
            <w:r>
              <w:t>COH-04 · La fecha de aprobación del expediente que citan las Bases es la del documento de aprobación</w:t>
            </w:r>
          </w:p>
        </w:tc>
        <w:tc>
          <w:tcPr>
            <w:tcW w:type="dxa" w:w="2880"/>
          </w:tcPr>
          <w:p>
            <w:r>
              <w:t>Falla</w:t>
            </w:r>
          </w:p>
        </w:tc>
        <w:tc>
          <w:tcPr>
            <w:tcW w:type="dxa" w:w="2880"/>
          </w:tcPr>
          <w:p>
            <w:r>
              <w:t>Las Bases dicen que el expediente se aprobó el 2026-09-28, pero el documento de aprobación tiene fecha 2026-09-30.</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modifica el requerimiento: la experiencia mínima del Especialista en Hidráulica se incrementó de 12 meses (requerimiento) a 24 meses (Bases).</w:t>
              <w:br/>
              <w:t>Pasos: Buscó «ESPECIALISTA EN HIDRÁULICA» en bases: 1 página(s) → Buscó «ESPECIALISTA EN HIDRÁULICA» en requerimiento: 1 página(s) → Leyó bases, página 16 → Leyó requerimiento, página 1</w:t>
            </w:r>
          </w:p>
        </w:tc>
      </w:tr>
      <w:tr>
        <w:tc>
          <w:tcPr>
            <w:tcW w:type="dxa" w:w="2880"/>
          </w:tcPr>
          <w:p>
            <w:r>
              <w:t>COH-07 · Los requisitos de calificación de las Bases son los del requerimiento</w:t>
            </w:r>
          </w:p>
        </w:tc>
        <w:tc>
          <w:tcPr>
            <w:tcW w:type="dxa" w:w="2880"/>
          </w:tcPr>
          <w:p>
            <w:r>
              <w:t>Falla</w:t>
            </w:r>
          </w:p>
        </w:tc>
        <w:tc>
          <w:tcPr>
            <w:tcW w:type="dxa" w:w="2880"/>
          </w:tcPr>
          <w:p>
            <w:r>
              <w:t>Las Bases endurecen el requisito de experiencia del Especialista en Hidráulica, exigiéndole 24 meses frente a los 12 meses propuestos por el requerimiento.</w:t>
              <w:br/>
              <w:t>Pasos: Buscó «Especialista en Hidráulica» en requerimiento: 1 página(s) → Buscó «Especialista en Hidráulica» en bases: 1 página(s) → Leyó bases, página 16 → Leyó requerimiento, página 1</w:t>
            </w:r>
          </w:p>
        </w:tc>
      </w:tr>
    </w:tbl>
    <w:p>
      <w:r>
        <w:t>Consultas a Gemini: 49 · tiempo: 1146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ABS-01, ABS-02, ABS-04, COH-02, COH-04, COH-06, COH-07</w:t>
            </w:r>
          </w:p>
        </w:tc>
        <w:tc>
          <w:tcPr>
            <w:tcW w:type="dxa" w:w="2160"/>
          </w:tcPr>
          <w:p>
            <w:r>
              <w:t>ABS-01, ABS-02, ABS-03, ABS-04, COH-02, COH-04, COH-06, COH-07</w:t>
            </w:r>
          </w:p>
        </w:tc>
        <w:tc>
          <w:tcPr>
            <w:tcW w:type="dxa" w:w="2160"/>
          </w:tcPr>
          <w:p>
            <w:r>
              <w:t>—</w:t>
            </w:r>
          </w:p>
        </w:tc>
        <w:tc>
          <w:tcPr>
            <w:tcW w:type="dxa" w:w="2160"/>
          </w:tcPr>
          <w:p>
            <w:r>
              <w:t>ABS-03</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COH-02 · La certificación presupuestal cubre la cuantía de la contratación</w:t>
            </w:r>
          </w:p>
        </w:tc>
        <w:tc>
          <w:tcPr>
            <w:tcW w:type="dxa" w:w="2880"/>
          </w:tcPr>
          <w:p>
            <w:r>
              <w:t>Falla</w:t>
            </w:r>
          </w:p>
        </w:tc>
        <w:tc>
          <w:tcPr>
            <w:tcW w:type="dxa" w:w="2880"/>
          </w:tcPr>
          <w:p>
            <w:r>
              <w:t>La certificación cubre S/ 500 000.00, menos que la cuantía de S/ 520 000.00 (faltan S/ 20 000.00).</w:t>
            </w:r>
          </w:p>
        </w:tc>
      </w:tr>
      <w:tr>
        <w:tc>
          <w:tcPr>
            <w:tcW w:type="dxa" w:w="2880"/>
          </w:tcPr>
          <w:p>
            <w:r>
              <w:t>COH-04 · La fecha de aprobación del expediente que citan las Bases es la del documento de aprobación</w:t>
            </w:r>
          </w:p>
        </w:tc>
        <w:tc>
          <w:tcPr>
            <w:tcW w:type="dxa" w:w="2880"/>
          </w:tcPr>
          <w:p>
            <w:r>
              <w:t>Falla</w:t>
            </w:r>
          </w:p>
        </w:tc>
        <w:tc>
          <w:tcPr>
            <w:tcW w:type="dxa" w:w="2880"/>
          </w:tcPr>
          <w:p>
            <w:r>
              <w:t>Las Bases dicen que el expediente se aprobó el 2026-09-28, pero el documento de aprobación tiene fecha 2026-09-30.</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Integradas modificó la experiencia requerida para el Especialista en Hidráulica a 24 meses, cuando el requerimiento original establecía 12 meses, y dicha modificación no se encuentra sustentada en una absolución de consulta con conformidad del área usuaria.</w:t>
              <w:br/>
              <w:t>Pasos: Buscó «ESPECIALISTA EN HIDRÁULICA» en requerimiento: 1 página(s) → Leyó bases_integradas, página 15 → Leyó bases_integradas, página 16 → Buscó «HIDRÁULICA» en pliego: 1 página(s)</w:t>
            </w:r>
          </w:p>
        </w:tc>
      </w:tr>
      <w:tr>
        <w:tc>
          <w:tcPr>
            <w:tcW w:type="dxa" w:w="2880"/>
          </w:tcPr>
          <w:p>
            <w:r>
              <w:t>COH-07 · Los requisitos de calificación de las Bases son los del requerimiento</w:t>
            </w:r>
          </w:p>
        </w:tc>
        <w:tc>
          <w:tcPr>
            <w:tcW w:type="dxa" w:w="2880"/>
          </w:tcPr>
          <w:p>
            <w:r>
              <w:t>Falla</w:t>
            </w:r>
          </w:p>
        </w:tc>
        <w:tc>
          <w:tcPr>
            <w:tcW w:type="dxa" w:w="2880"/>
          </w:tcPr>
          <w:p>
            <w:r>
              <w:t>Las Bases Integradas endurecen el requisito del Especialista en Hidráulica al exigir 24 meses de experiencia, cuando el requerimiento y el pliego solo solicitaban 12 meses, sin que exista una absolución que ordene dicho incremento.</w:t>
              <w:br/>
              <w:t>Pasos: Buscó «especialista en hidraulica» en requerimiento: 1 página(s) → Buscó «ESPECIALISTA EN HIDRÁULICA» en bases_integradas: 1 página(s) → Leyó bases_integradas, página 16 → Buscó «hidráulica» en pliego: 1 página(s) → Leyó pliego, página 1</w:t>
            </w:r>
          </w:p>
        </w:tc>
      </w:tr>
      <w:tr>
        <w:tc>
          <w:tcPr>
            <w:tcW w:type="dxa" w:w="2880"/>
          </w:tcPr>
          <w:p>
            <w:r>
              <w:t>ABS-01 · Cada consulta y observación del pliego tiene respuesta</w:t>
            </w:r>
          </w:p>
        </w:tc>
        <w:tc>
          <w:tcPr>
            <w:tcW w:type="dxa" w:w="2880"/>
          </w:tcPr>
          <w:p>
            <w:r>
              <w:t>Falla</w:t>
            </w:r>
          </w:p>
        </w:tc>
        <w:tc>
          <w:tcPr>
            <w:tcW w:type="dxa" w:w="2880"/>
          </w:tcPr>
          <w:p>
            <w:r>
              <w:t>La consulta N.° 3 (Cap. IV, factor B) no tiene respuesta en el pliego.</w:t>
            </w:r>
          </w:p>
        </w:tc>
      </w:tr>
      <w:tr>
        <w:tc>
          <w:tcPr>
            <w:tcW w:type="dxa" w:w="2880"/>
          </w:tcPr>
          <w:p>
            <w:r>
              <w:t>ABS-02 · Cada absolución que modifica las Bases está incorporada en las Bases Integradas</w:t>
            </w:r>
          </w:p>
        </w:tc>
        <w:tc>
          <w:tcPr>
            <w:tcW w:type="dxa" w:w="2880"/>
          </w:tcPr>
          <w:p>
            <w:r>
              <w:t>Falla</w:t>
            </w:r>
          </w:p>
        </w:tc>
        <w:tc>
          <w:tcPr>
            <w:tcW w:type="dxa" w:w="2880"/>
          </w:tcPr>
          <w:p>
            <w:r>
              <w:t>La modificación de la observación 2 del pliego, que agrega al «especialista en recursos hídricos» para el cargo de especialista en hidráulica, no fue incorporada en el numeral B.2 de las Bases Integradas.</w:t>
              <w:br/>
              <w:t>Pasos: Buscó «hidraulica» en pliego: 1 página(s) → Buscó «hidraulicos» en bases_integradas: 0 página(s) → Buscó «hídricos» en bases_integradas: 0 página(s) → Buscó «hidráulica» en bases_integradas: 2 página(s) → Leyó bases_integradas, página 16</w:t>
            </w:r>
          </w:p>
        </w:tc>
      </w:tr>
      <w:tr>
        <w:tc>
          <w:tcPr>
            <w:tcW w:type="dxa" w:w="2880"/>
          </w:tcPr>
          <w:p>
            <w:r>
              <w:t>ABS-03 · Las Bases Integradas no tienen cambios que no provengan del pliego</w:t>
            </w:r>
          </w:p>
        </w:tc>
        <w:tc>
          <w:tcPr>
            <w:tcW w:type="dxa" w:w="2880"/>
          </w:tcPr>
          <w:p>
            <w:r>
              <w:t>Falla</w:t>
            </w:r>
          </w:p>
        </w:tc>
        <w:tc>
          <w:tcPr>
            <w:tcW w:type="dxa" w:w="2880"/>
          </w:tcPr>
          <w:p>
            <w:r>
              <w:t>Las Bases Integradas no incorporaron la modificación aprobada en la absolución de la observación N.° 2 del pliego, la cual disponía agregar «especialista en recursos hídricos» para el especialista en hidráulica (Capítulo III, numeral B.2).</w:t>
              <w:br/>
              <w:t>Pasos: Comparó bases con bases_integradas: similitud 100%, 8 cambio(s) → Buscó «recursos hidricos» en pliego: 1 página(s) → Leyó bases_integradas, página 16 → Leyó bases, página 16</w:t>
            </w:r>
          </w:p>
        </w:tc>
      </w:tr>
      <w:tr>
        <w:tc>
          <w:tcPr>
            <w:tcW w:type="dxa" w:w="2880"/>
          </w:tcPr>
          <w:p>
            <w:r>
              <w:t>ABS-04 · Los cambios al requerimiento hechos en la absolución cuentan con la conformidad del área usuaria</w:t>
            </w:r>
          </w:p>
        </w:tc>
        <w:tc>
          <w:tcPr>
            <w:tcW w:type="dxa" w:w="2880"/>
          </w:tcPr>
          <w:p>
            <w:r>
              <w:t>Falla</w:t>
            </w:r>
          </w:p>
        </w:tc>
        <w:tc>
          <w:tcPr>
            <w:tcW w:type="dxa" w:w="2880"/>
          </w:tcPr>
          <w:p>
            <w:r>
              <w:t>La absolución de la observación N.° 2 modificó el requerimiento (incorporando el especialista en recursos hídricos), pero no consta en el pliego ni en los documentos adjuntos la conformidad o no objeción del área usuaria a dicha modificación.</w:t>
              <w:br/>
              <w:t>Pasos: Consultó los datos extraídos de pliego → Revisó la lista de documentos (9) → Leyó pliego, página 1 → Buscó «conformidad» en aprobacion_expediente: 0 página(s) → Buscó «area» en aprobacion_expediente: 0 página(s)</w:t>
            </w:r>
          </w:p>
        </w:tc>
      </w:tr>
    </w:tbl>
    <w:p>
      <w:r>
        <w:t>Consultas a Gemini: 60 · tiempo: 536 s.</w:t>
      </w:r>
    </w:p>
    <w:p>
      <w:pPr>
        <w:pStyle w:val="Heading2"/>
      </w:pPr>
      <w:r>
        <w:t>VALIDACIÓN · CP-05-2026-MPRE/CS · expediente puente vehicular</w:t>
      </w:r>
    </w:p>
    <w:p>
      <w:r>
        <w:t>Fallas sembradas: Las Bases convocadas fijan 120 días y el requerimiento 150, y reducen de ocho a cinco días hábiles el plazo para apelar, en la Sección general; la estrategia decidió precios unitarios y las Bases dicen suma alzada; la interacción con el mercado dice que sí hubo difusión del requerimiento y las Bases que no; la contratación es de alto riesgo y solo hubo indagación. Las Bases Integradas pasan a 150 días sin que ninguna absolución lo explique.</w:t>
      </w:r>
    </w:p>
    <w:p>
      <w:r>
        <w:t>En el aplicativo: portal del comité → Concursos en Curso → «VALIDACIÓN · CP-05-2026-MPRE/CS · expediente puente vehicular».</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19</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CP-05-2026-MPRE-CS.pdf</w:t>
            </w:r>
          </w:p>
        </w:tc>
        <w:tc>
          <w:tcPr>
            <w:tcW w:type="dxa" w:w="2160"/>
          </w:tcPr>
          <w:p>
            <w:r>
              <w:t>Bases Integradas</w:t>
            </w:r>
          </w:p>
        </w:tc>
        <w:tc>
          <w:tcPr>
            <w:tcW w:type="dxa" w:w="2160"/>
          </w:tcPr>
          <w:p>
            <w:r>
              <w:t>19</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COH-06, COH-08, COH-09, COH-10, FOR-01, PRO-06</w:t>
            </w:r>
          </w:p>
        </w:tc>
        <w:tc>
          <w:tcPr>
            <w:tcW w:type="dxa" w:w="2160"/>
          </w:tcPr>
          <w:p>
            <w:r>
              <w:t>COH-06, COH-08, COH-09, COH-10, FOR-01, PRO-06</w:t>
            </w:r>
          </w:p>
        </w:tc>
        <w:tc>
          <w:tcPr>
            <w:tcW w:type="dxa" w:w="2160"/>
          </w:tcPr>
          <w:p>
            <w:r>
              <w:t>—</w:t>
            </w:r>
          </w:p>
        </w:tc>
        <w:tc>
          <w:tcPr>
            <w:tcW w:type="dxa" w:w="2160"/>
          </w:tcPr>
          <w:p>
            <w:r>
              <w:t>—</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COH-06 · El Capítulo III de las Bases reproduce el requerimiento sin cambios</w:t>
            </w:r>
          </w:p>
        </w:tc>
        <w:tc>
          <w:tcPr>
            <w:tcW w:type="dxa" w:w="2880"/>
          </w:tcPr>
          <w:p>
            <w:r>
              <w:t>Falla</w:t>
            </w:r>
          </w:p>
        </w:tc>
        <w:tc>
          <w:tcPr>
            <w:tcW w:type="dxa" w:w="2880"/>
          </w:tcPr>
          <w:p>
            <w:r>
              <w:t>El requerimiento establece un plazo de prestación de 150 días calendario (página 1), mientras que las Bases indican en su Capítulo III un plazo de 120 días calendario (página 15).</w:t>
              <w:br/>
              <w:t>Pasos: Buscó «CAPÍTULO III» en bases: 6 página(s) → Revisó la lista de documentos (7) → Leyó requerimiento, página 1 → Leyó requerimiento, página 2 → Leyó bases, página 15</w:t>
            </w:r>
          </w:p>
        </w:tc>
      </w:tr>
      <w:tr>
        <w:tc>
          <w:tcPr>
            <w:tcW w:type="dxa" w:w="2880"/>
          </w:tcPr>
          <w:p>
            <w:r>
              <w:t>COH-08 · El plazo de prestación de las Bases es el del requerimiento</w:t>
            </w:r>
          </w:p>
        </w:tc>
        <w:tc>
          <w:tcPr>
            <w:tcW w:type="dxa" w:w="2880"/>
          </w:tcPr>
          <w:p>
            <w:r>
              <w:t>Falla</w:t>
            </w:r>
          </w:p>
        </w:tc>
        <w:tc>
          <w:tcPr>
            <w:tcW w:type="dxa" w:w="2880"/>
          </w:tcPr>
          <w:p>
            <w:r>
              <w:t>Las Bases fijan un plazo de 120 días y el requerimiento, de 150 días.</w:t>
            </w:r>
          </w:p>
        </w:tc>
      </w:tr>
      <w:tr>
        <w:tc>
          <w:tcPr>
            <w:tcW w:type="dxa" w:w="2880"/>
          </w:tcPr>
          <w:p>
            <w:r>
              <w:t>COH-09 · La modalidad de pago de las Bases es la que decidió la estrategia de contratación</w:t>
            </w:r>
          </w:p>
        </w:tc>
        <w:tc>
          <w:tcPr>
            <w:tcW w:type="dxa" w:w="2880"/>
          </w:tcPr>
          <w:p>
            <w:r>
              <w:t>Falla</w:t>
            </w:r>
          </w:p>
        </w:tc>
        <w:tc>
          <w:tcPr>
            <w:tcW w:type="dxa" w:w="2880"/>
          </w:tcPr>
          <w:p>
            <w:r>
              <w:t>Las Bases fijan la modalidad de pago «Suma alzada.», pero la estrategia de contratación decidió «Precios unitarios».</w:t>
            </w:r>
          </w:p>
        </w:tc>
      </w:tr>
      <w:tr>
        <w:tc>
          <w:tcPr>
            <w:tcW w:type="dxa" w:w="2880"/>
          </w:tcPr>
          <w:p>
            <w:r>
              <w:t>COH-10 · Lo que declaran las Bases sobre la difusión del requerimiento coincide con la interacción con el mercado, y si no hubo difusión se prevé la elevación al OECE</w:t>
            </w:r>
          </w:p>
        </w:tc>
        <w:tc>
          <w:tcPr>
            <w:tcW w:type="dxa" w:w="2880"/>
          </w:tcPr>
          <w:p>
            <w:r>
              <w:t>Falla</w:t>
            </w:r>
          </w:p>
        </w:tc>
        <w:tc>
          <w:tcPr>
            <w:tcW w:type="dxa" w:w="2880"/>
          </w:tcPr>
          <w:p>
            <w:r>
              <w:t>Las Bases dicen que no se hizo la difusión del requerimiento, pero el formato de interacción con el mercado dice que sí.</w:t>
            </w:r>
          </w:p>
        </w:tc>
      </w:tr>
      <w:tr>
        <w:tc>
          <w:tcPr>
            <w:tcW w:type="dxa" w:w="2880"/>
          </w:tcPr>
          <w:p>
            <w:r>
              <w:t>FOR-01 · La Sección general no fue modificada</w:t>
            </w:r>
          </w:p>
        </w:tc>
        <w:tc>
          <w:tcPr>
            <w:tcW w:type="dxa" w:w="2880"/>
          </w:tcPr>
          <w:p>
            <w:r>
              <w:t>Falla</w:t>
            </w:r>
          </w:p>
        </w:tc>
        <w:tc>
          <w:tcPr>
            <w:tcW w:type="dxa" w:w="2880"/>
          </w:tcPr>
          <w:p>
            <w:r>
              <w:t>La Sección general fue modificada: difiere de las Bases estándar del concurso público para consultoría de obra (Directiva N.° 0005-2025-EF/54.01, modificada por la R. D. N.° 0001-2026-EF/54.01) en 1 punto(s). pág. 8: dice «… máximo dentro de los cinco días hábiles siguientes de …» donde la plantilla dice «… máximo dentro de los ocho días hábiles siguientes de …».</w:t>
            </w:r>
          </w:p>
        </w:tc>
      </w:tr>
      <w:tr>
        <w:tc>
          <w:tcPr>
            <w:tcW w:type="dxa" w:w="2880"/>
          </w:tcPr>
          <w:p>
            <w:r>
              <w:t>PRO-06 · Una contratación de alto riesgo (desierta antes o con pocos postores) tuvo una consulta al mercado</w:t>
            </w:r>
          </w:p>
        </w:tc>
        <w:tc>
          <w:tcPr>
            <w:tcW w:type="dxa" w:w="2880"/>
          </w:tcPr>
          <w:p>
            <w:r>
              <w:t>Falla</w:t>
            </w:r>
          </w:p>
        </w:tc>
        <w:tc>
          <w:tcPr>
            <w:tcW w:type="dxa" w:w="2880"/>
          </w:tcPr>
          <w:p>
            <w:r>
              <w:t>La contratación se clasificó como de alto riesgo y crítica, pero la interacción con el mercado realizada fue una 'indagación básica' en lugar de una consulta al mercado.</w:t>
              <w:br/>
              <w:t>Pasos: Consultó los datos extraídos de estrategia → Consultó los datos extraídos de interaccion_mercado → Buscó «alto riesgo» en estrategia: 1 página(s) → Leyó estrategia, página 1 → Leyó interaccion_mercado, página 1</w:t>
            </w:r>
          </w:p>
        </w:tc>
      </w:tr>
    </w:tbl>
    <w:p>
      <w:r>
        <w:t>Consultas a Gemini: 50 · tiempo: 380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ABS-03, COH-09, COH-10</w:t>
            </w:r>
          </w:p>
        </w:tc>
        <w:tc>
          <w:tcPr>
            <w:tcW w:type="dxa" w:w="2160"/>
          </w:tcPr>
          <w:p>
            <w:r>
              <w:t>ABS-03, COH-06, COH-09, COH-10</w:t>
            </w:r>
          </w:p>
        </w:tc>
        <w:tc>
          <w:tcPr>
            <w:tcW w:type="dxa" w:w="2160"/>
          </w:tcPr>
          <w:p>
            <w:r>
              <w:t>—</w:t>
            </w:r>
          </w:p>
        </w:tc>
        <w:tc>
          <w:tcPr>
            <w:tcW w:type="dxa" w:w="2160"/>
          </w:tcPr>
          <w:p>
            <w:r>
              <w:t>COH-06</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COH-06 · El Capítulo III de las Bases reproduce el requerimiento sin cambios</w:t>
            </w:r>
          </w:p>
        </w:tc>
        <w:tc>
          <w:tcPr>
            <w:tcW w:type="dxa" w:w="2880"/>
          </w:tcPr>
          <w:p>
            <w:r>
              <w:t>Falla</w:t>
            </w:r>
          </w:p>
        </w:tc>
        <w:tc>
          <w:tcPr>
            <w:tcW w:type="dxa" w:w="2880"/>
          </w:tcPr>
          <w:p>
            <w:r>
              <w:t>En el Requerimiento el tercer entregable tiene como plazo 'a los ciento veinte (120) días calendario' (página 1), mientras que en el Capítulo III de las Bases Integradas (página 15) se modificó a 'a los ciento cincuenta (150) días calendario', sin que conste una absolución de consulta u observación que lo autorice.</w:t>
              <w:br/>
              <w:t>Pasos: Buscó «requerimiento» en requerimiento: 2 página(s) → Leyó requerimiento, página 1 → Leyó requerimiento, página 2 → Leyó bases_integradas, página 15 → Leyó bases_integradas, página 16 → Leyó bases_integradas, página 17</w:t>
            </w:r>
          </w:p>
        </w:tc>
      </w:tr>
      <w:tr>
        <w:tc>
          <w:tcPr>
            <w:tcW w:type="dxa" w:w="2880"/>
          </w:tcPr>
          <w:p>
            <w:r>
              <w:t>COH-09 · La modalidad de pago de las Bases es la que decidió la estrategia de contratación</w:t>
            </w:r>
          </w:p>
        </w:tc>
        <w:tc>
          <w:tcPr>
            <w:tcW w:type="dxa" w:w="2880"/>
          </w:tcPr>
          <w:p>
            <w:r>
              <w:t>Falla</w:t>
            </w:r>
          </w:p>
        </w:tc>
        <w:tc>
          <w:tcPr>
            <w:tcW w:type="dxa" w:w="2880"/>
          </w:tcPr>
          <w:p>
            <w:r>
              <w:t>Las Bases fijan la modalidad de pago «Suma alzada.», pero la estrategia de contratación decidió «Precios unitarios».</w:t>
            </w:r>
          </w:p>
        </w:tc>
      </w:tr>
      <w:tr>
        <w:tc>
          <w:tcPr>
            <w:tcW w:type="dxa" w:w="2880"/>
          </w:tcPr>
          <w:p>
            <w:r>
              <w:t>COH-10 · Lo que declaran las Bases sobre la difusión del requerimiento coincide con la interacción con el mercado, y si no hubo difusión se prevé la elevación al OECE</w:t>
            </w:r>
          </w:p>
        </w:tc>
        <w:tc>
          <w:tcPr>
            <w:tcW w:type="dxa" w:w="2880"/>
          </w:tcPr>
          <w:p>
            <w:r>
              <w:t>Falla</w:t>
            </w:r>
          </w:p>
        </w:tc>
        <w:tc>
          <w:tcPr>
            <w:tcW w:type="dxa" w:w="2880"/>
          </w:tcPr>
          <w:p>
            <w:r>
              <w:t>Las Bases dicen que no se hizo la difusión del requerimiento, pero el formato de interacción con el mercado dice que sí.</w:t>
            </w:r>
          </w:p>
        </w:tc>
      </w:tr>
      <w:tr>
        <w:tc>
          <w:tcPr>
            <w:tcW w:type="dxa" w:w="2880"/>
          </w:tcPr>
          <w:p>
            <w:r>
              <w:t>ABS-03 · Las Bases Integradas no tienen cambios que no provengan del pliego</w:t>
            </w:r>
          </w:p>
        </w:tc>
        <w:tc>
          <w:tcPr>
            <w:tcW w:type="dxa" w:w="2880"/>
          </w:tcPr>
          <w:p>
            <w:r>
              <w:t>Falla</w:t>
            </w:r>
          </w:p>
        </w:tc>
        <w:tc>
          <w:tcPr>
            <w:tcW w:type="dxa" w:w="2880"/>
          </w:tcPr>
          <w:p>
            <w:r>
              <w:t>Las Bases Integradas contienen modificaciones no respaldadas por ninguna absolución del pliego (por ejemplo, cambios en plazos de ejecución de 120 a 150 días y en el plazo de interposición de recursos).</w:t>
              <w:br/>
              <w:t>Pasos: Consultó los datos extraídos de pliego → Comparó bases con bases_integradas: similitud 100%, 25 cambio(s) → Leyó pliego, página 1 → Leyó bases_integradas, página 5</w:t>
            </w:r>
          </w:p>
        </w:tc>
      </w:tr>
    </w:tbl>
    <w:p>
      <w:r>
        <w:t>Consultas a Gemini: 46 · tiempo: 381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