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Validación del módulo de revisión de Bases</w:t>
      </w:r>
    </w:p>
    <w:p>
      <w:r>
        <w:t>Fecha: 21/10/2026 09:32 · Modelo: gemini-3.5-flash-lite · Modo: reglas fijas y agente revisor</w:t>
      </w:r>
    </w:p>
    <w:p>
      <w:pPr>
        <w:pStyle w:val="Heading2"/>
      </w:pPr>
      <w:r>
        <w:t>Qué se probó y cómo</w:t>
      </w:r>
    </w:p>
    <w:p>
      <w:r>
        <w:t>Se usaron convocatorias de demostración ficticias con fallas sembradas a propósito en el expediente, en las Bases y en el pliego de absolución. Para cada una se sabe de antemano qué verificaciones del catálogo deben fallar en cada ronda. El sistema revisó los documentos igual que en el portal del comité (ronda A con el expediente y las Bases convocadas; ronda B con el pliego y las Bases Integradas) y se comparó lo que detectó con lo esperado.</w:t>
      </w:r>
    </w:p>
    <w:p>
      <w:r>
        <w:t>Exhaustividad = fallas sembradas detectadas ÷ fallas sembradas. Precisión = hallazgos que eran fallas sembradas ÷ hallazgos del sistema. Un hallazgo de más no siempre es un error: puede ser una falla real que no se sembró; por eso cada uno se lista para revisarlo.</w:t>
      </w:r>
    </w:p>
    <w:p>
      <w:pPr>
        <w:pStyle w:val="Heading2"/>
      </w:pPr>
      <w:r>
        <w:t>Resultados globales</w:t>
      </w:r>
    </w:p>
    <w:tbl>
      <w:tblPr>
        <w:tblStyle w:val="TableGrid"/>
        <w:tblW w:type="auto" w:w="0"/>
        <w:tblLook w:firstColumn="1" w:firstRow="1" w:lastColumn="0" w:lastRow="0" w:noHBand="0" w:noVBand="1" w:val="04A0"/>
      </w:tblPr>
      <w:tblGrid>
        <w:gridCol w:w="4320"/>
        <w:gridCol w:w="4320"/>
      </w:tblGrid>
      <w:tr>
        <w:tc>
          <w:tcPr>
            <w:tcW w:type="dxa" w:w="4320"/>
          </w:tcPr>
          <w:p>
            <w:r>
              <w:t>Métrica</w:t>
            </w:r>
          </w:p>
        </w:tc>
        <w:tc>
          <w:tcPr>
            <w:tcW w:type="dxa" w:w="4320"/>
          </w:tcPr>
          <w:p>
            <w:r>
              <w:t>Valor</w:t>
            </w:r>
          </w:p>
        </w:tc>
      </w:tr>
      <w:tr>
        <w:tc>
          <w:tcPr>
            <w:tcW w:type="dxa" w:w="4320"/>
          </w:tcPr>
          <w:p>
            <w:r>
              <w:t>Exhaustividad (fallas sembradas detectadas)</w:t>
            </w:r>
          </w:p>
        </w:tc>
        <w:tc>
          <w:tcPr>
            <w:tcW w:type="dxa" w:w="4320"/>
          </w:tcPr>
          <w:p>
            <w:r>
              <w:t>88,9 % (16 de 18)</w:t>
            </w:r>
          </w:p>
        </w:tc>
      </w:tr>
      <w:tr>
        <w:tc>
          <w:tcPr>
            <w:tcW w:type="dxa" w:w="4320"/>
          </w:tcPr>
          <w:p>
            <w:r>
              <w:t>Precisión</w:t>
            </w:r>
          </w:p>
        </w:tc>
        <w:tc>
          <w:tcPr>
            <w:tcW w:type="dxa" w:w="4320"/>
          </w:tcPr>
          <w:p>
            <w:r>
              <w:t>84,2 %</w:t>
            </w:r>
          </w:p>
        </w:tc>
      </w:tr>
      <w:tr>
        <w:tc>
          <w:tcPr>
            <w:tcW w:type="dxa" w:w="4320"/>
          </w:tcPr>
          <w:p>
            <w:r>
              <w:t>Hallazgos de más</w:t>
            </w:r>
          </w:p>
        </w:tc>
        <w:tc>
          <w:tcPr>
            <w:tcW w:type="dxa" w:w="4320"/>
          </w:tcPr>
          <w:p>
            <w:r>
              <w:t>3</w:t>
            </w:r>
          </w:p>
        </w:tc>
      </w:tr>
      <w:tr>
        <w:tc>
          <w:tcPr>
            <w:tcW w:type="dxa" w:w="4320"/>
          </w:tcPr>
          <w:p>
            <w:r>
              <w:t>Verificaciones no verificadas</w:t>
            </w:r>
          </w:p>
        </w:tc>
        <w:tc>
          <w:tcPr>
            <w:tcW w:type="dxa" w:w="4320"/>
          </w:tcPr>
          <w:p>
            <w:r>
              <w:t>3</w:t>
            </w:r>
          </w:p>
        </w:tc>
      </w:tr>
      <w:tr>
        <w:tc>
          <w:tcPr>
            <w:tcW w:type="dxa" w:w="4320"/>
          </w:tcPr>
          <w:p>
            <w:r>
              <w:t>Consultas a Gemini</w:t>
            </w:r>
          </w:p>
        </w:tc>
        <w:tc>
          <w:tcPr>
            <w:tcW w:type="dxa" w:w="4320"/>
          </w:tcPr>
          <w:p>
            <w:r>
              <w:t>249</w:t>
            </w:r>
          </w:p>
        </w:tc>
      </w:tr>
      <w:tr>
        <w:tc>
          <w:tcPr>
            <w:tcW w:type="dxa" w:w="4320"/>
          </w:tcPr>
          <w:p>
            <w:r>
              <w:t>Tokens</w:t>
            </w:r>
          </w:p>
        </w:tc>
        <w:tc>
          <w:tcPr>
            <w:tcW w:type="dxa" w:w="4320"/>
          </w:tcPr>
          <w:p>
            <w:r>
              <w:t>596 717</w:t>
            </w:r>
          </w:p>
        </w:tc>
      </w:tr>
      <w:tr>
        <w:tc>
          <w:tcPr>
            <w:tcW w:type="dxa" w:w="4320"/>
          </w:tcPr>
          <w:p>
            <w:r>
              <w:t>Tiempo total</w:t>
            </w:r>
          </w:p>
        </w:tc>
        <w:tc>
          <w:tcPr>
            <w:tcW w:type="dxa" w:w="4320"/>
          </w:tcPr>
          <w:p>
            <w:r>
              <w:t>4144 s</w:t>
            </w:r>
          </w:p>
        </w:tc>
      </w:tr>
    </w:tbl>
    <w:p>
      <w:pPr>
        <w:pStyle w:val="Heading2"/>
      </w:pPr>
      <w:r>
        <w:t>VALIDACIÓN · CP-04-2026-PERVS/CS · supervision canal de riego</w:t>
      </w:r>
    </w:p>
    <w:p>
      <w:r>
        <w:t>Fallas sembradas: La certificación cubre S/ 500 000 de S/ 520 000; el área usuaria pidió 12 meses para el especialista en hidráulica y las Bases exigen 24; la aprobación del expediente es del 30/09 y las Bases dicen 28/09. En el pliego, la consulta 3 no tiene respuesta y la absolución 2 (acogida, sin conformidad del área usuaria) no se incorporó en las Bases Integradas.</w:t>
      </w:r>
    </w:p>
    <w:p>
      <w:r>
        <w:t>En el aplicativo: portal del comité → Concursos en Curso → «VALIDACIÓN · CP-04-2026-PERVS/CS · supervision canal de riego».</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10</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CP-04-2026-PERVS-CS.pdf</w:t>
            </w:r>
          </w:p>
        </w:tc>
        <w:tc>
          <w:tcPr>
            <w:tcW w:type="dxa" w:w="2160"/>
          </w:tcPr>
          <w:p>
            <w:r>
              <w:t>Bases Integradas</w:t>
            </w:r>
          </w:p>
        </w:tc>
        <w:tc>
          <w:tcPr>
            <w:tcW w:type="dxa" w:w="2160"/>
          </w:tcPr>
          <w:p>
            <w:r>
              <w:t>10</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COH-02, COH-04, COH-06, COH-07</w:t>
            </w:r>
          </w:p>
        </w:tc>
        <w:tc>
          <w:tcPr>
            <w:tcW w:type="dxa" w:w="2160"/>
          </w:tcPr>
          <w:p>
            <w:r>
              <w:t>COH-02, COH-04, COH-06, COH-07</w:t>
            </w:r>
          </w:p>
        </w:tc>
        <w:tc>
          <w:tcPr>
            <w:tcW w:type="dxa" w:w="2160"/>
          </w:tcPr>
          <w:p>
            <w:r>
              <w:t>—</w:t>
            </w:r>
          </w:p>
        </w:tc>
        <w:tc>
          <w:tcPr>
            <w:tcW w:type="dxa" w:w="2160"/>
          </w:tcPr>
          <w:p>
            <w:r>
              <w:t>—</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COH-02 · La certificación presupuestal cubre la cuantía de la contratación</w:t>
            </w:r>
          </w:p>
        </w:tc>
        <w:tc>
          <w:tcPr>
            <w:tcW w:type="dxa" w:w="2880"/>
          </w:tcPr>
          <w:p>
            <w:r>
              <w:t>Falla</w:t>
            </w:r>
          </w:p>
        </w:tc>
        <w:tc>
          <w:tcPr>
            <w:tcW w:type="dxa" w:w="2880"/>
          </w:tcPr>
          <w:p>
            <w:r>
              <w:t>La certificación cubre S/ 500 000.00, menos que la cuantía de S/ 520 000.00 (faltan S/ 20 000.00).</w:t>
            </w:r>
          </w:p>
        </w:tc>
      </w:tr>
      <w:tr>
        <w:tc>
          <w:tcPr>
            <w:tcW w:type="dxa" w:w="2880"/>
          </w:tcPr>
          <w:p>
            <w:r>
              <w:t>COH-04 · La fecha de aprobación del expediente que citan las Bases es la del documento de aprobación</w:t>
            </w:r>
          </w:p>
        </w:tc>
        <w:tc>
          <w:tcPr>
            <w:tcW w:type="dxa" w:w="2880"/>
          </w:tcPr>
          <w:p>
            <w:r>
              <w:t>Falla</w:t>
            </w:r>
          </w:p>
        </w:tc>
        <w:tc>
          <w:tcPr>
            <w:tcW w:type="dxa" w:w="2880"/>
          </w:tcPr>
          <w:p>
            <w:r>
              <w:t>Las Bases dicen que el expediente se aprobó el 2026-09-28, pero el documento de aprobación tiene fecha 2026-09-30.</w:t>
            </w:r>
          </w:p>
        </w:tc>
      </w:tr>
      <w:tr>
        <w:tc>
          <w:tcPr>
            <w:tcW w:type="dxa" w:w="2880"/>
          </w:tcPr>
          <w:p>
            <w:r>
              <w:t>COH-06 · El Capítulo III de las Bases reproduce el requerimiento sin cambios</w:t>
            </w:r>
          </w:p>
        </w:tc>
        <w:tc>
          <w:tcPr>
            <w:tcW w:type="dxa" w:w="2880"/>
          </w:tcPr>
          <w:p>
            <w:r>
              <w:t>Falla</w:t>
            </w:r>
          </w:p>
        </w:tc>
        <w:tc>
          <w:tcPr>
            <w:tcW w:type="dxa" w:w="2880"/>
          </w:tcPr>
          <w:p>
            <w:r>
              <w:t>El Capítulo III de las Bases modifica el requerimiento original: la experiencia mínima del Especialista en Hidráulica se incrementó de 12.0 meses en el requerimiento a 24.0 meses en las Bases, sin justificación válida por absolución de pliego.</w:t>
              <w:br/>
              <w:t>Pasos: Buscó «hidráulica» en requerimiento: 1 página(s) → Leyó requerimiento, página 1 → Leyó bases, página 6 → Leyó bases, página 7</w:t>
            </w:r>
          </w:p>
        </w:tc>
      </w:tr>
      <w:tr>
        <w:tc>
          <w:tcPr>
            <w:tcW w:type="dxa" w:w="2880"/>
          </w:tcPr>
          <w:p>
            <w:r>
              <w:t>COH-07 · Los requisitos de calificación de las Bases son los del requerimiento</w:t>
            </w:r>
          </w:p>
        </w:tc>
        <w:tc>
          <w:tcPr>
            <w:tcW w:type="dxa" w:w="2880"/>
          </w:tcPr>
          <w:p>
            <w:r>
              <w:t>Falla</w:t>
            </w:r>
          </w:p>
        </w:tc>
        <w:tc>
          <w:tcPr>
            <w:tcW w:type="dxa" w:w="2880"/>
          </w:tcPr>
          <w:p>
            <w:r>
              <w:t>Las Bases endurecen el requisito del Especialista en Hidráulica al exigir 24 meses de experiencia, mientras que el requerimiento solicitaba 12 meses.</w:t>
              <w:br/>
              <w:t>Pasos: Buscó «especialista en hidráulica» en requerimiento: 1 página(s) → Buscó «especialista en hidráulica» en bases: 1 página(s) → Leyó bases, página 7 → Leyó requerimiento, página 1</w:t>
            </w:r>
          </w:p>
        </w:tc>
      </w:tr>
      <w:tr>
        <w:tc>
          <w:tcPr>
            <w:tcW w:type="dxa" w:w="2880"/>
          </w:tcPr>
          <w:p>
            <w:r>
              <w:t>FOR-01 · La Sección general no fue modificada</w:t>
            </w:r>
          </w:p>
        </w:tc>
        <w:tc>
          <w:tcPr>
            <w:tcW w:type="dxa" w:w="2880"/>
          </w:tcPr>
          <w:p>
            <w:r>
              <w:t>No verificado</w:t>
            </w:r>
          </w:p>
        </w:tc>
        <w:tc>
          <w:tcPr>
            <w:tcW w:type="dxa" w:w="2880"/>
          </w:tcPr>
          <w:p>
            <w:r>
              <w:t>La Sección general no contiene la plantilla oficial completa ni los plazos normativos detallados para contrastar exhaustivamente, por lo que no es posible verificar si fue modificada.</w:t>
              <w:br/>
              <w:t>Pasos: Revisó la lista de documentos (7) → Buscó «consultas» en bases: 3 página(s) → Leyó bases, página 2 → Leyó bases, página 1 → Leyó bases, página 3</w:t>
            </w:r>
          </w:p>
        </w:tc>
      </w:tr>
    </w:tbl>
    <w:p>
      <w:r>
        <w:t>Consultas a Gemini: 57 · tiempo: 1012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ABS-01, ABS-02, ABS-04, COH-02, COH-04, COH-06, COH-07</w:t>
            </w:r>
          </w:p>
        </w:tc>
        <w:tc>
          <w:tcPr>
            <w:tcW w:type="dxa" w:w="2160"/>
          </w:tcPr>
          <w:p>
            <w:r>
              <w:t>ABS-01, ABS-02, ABS-03, ABS-04, COH-02, COH-04, COH-06, COH-07</w:t>
            </w:r>
          </w:p>
        </w:tc>
        <w:tc>
          <w:tcPr>
            <w:tcW w:type="dxa" w:w="2160"/>
          </w:tcPr>
          <w:p>
            <w:r>
              <w:t>—</w:t>
            </w:r>
          </w:p>
        </w:tc>
        <w:tc>
          <w:tcPr>
            <w:tcW w:type="dxa" w:w="2160"/>
          </w:tcPr>
          <w:p>
            <w:r>
              <w:t>ABS-03</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COH-02 · La certificación presupuestal cubre la cuantía de la contratación</w:t>
            </w:r>
          </w:p>
        </w:tc>
        <w:tc>
          <w:tcPr>
            <w:tcW w:type="dxa" w:w="2880"/>
          </w:tcPr>
          <w:p>
            <w:r>
              <w:t>Falla</w:t>
            </w:r>
          </w:p>
        </w:tc>
        <w:tc>
          <w:tcPr>
            <w:tcW w:type="dxa" w:w="2880"/>
          </w:tcPr>
          <w:p>
            <w:r>
              <w:t>La certificación cubre S/ 500 000.00, menos que la cuantía de S/ 520 000.00 (faltan S/ 20 000.00).</w:t>
            </w:r>
          </w:p>
        </w:tc>
      </w:tr>
      <w:tr>
        <w:tc>
          <w:tcPr>
            <w:tcW w:type="dxa" w:w="2880"/>
          </w:tcPr>
          <w:p>
            <w:r>
              <w:t>COH-04 · La fecha de aprobación del expediente que citan las Bases es la del documento de aprobación</w:t>
            </w:r>
          </w:p>
        </w:tc>
        <w:tc>
          <w:tcPr>
            <w:tcW w:type="dxa" w:w="2880"/>
          </w:tcPr>
          <w:p>
            <w:r>
              <w:t>Falla</w:t>
            </w:r>
          </w:p>
        </w:tc>
        <w:tc>
          <w:tcPr>
            <w:tcW w:type="dxa" w:w="2880"/>
          </w:tcPr>
          <w:p>
            <w:r>
              <w:t>Las Bases dicen que el expediente se aprobó el 2026-09-28, pero el documento de aprobación tiene fecha 2026-09-30.</w:t>
            </w:r>
          </w:p>
        </w:tc>
      </w:tr>
      <w:tr>
        <w:tc>
          <w:tcPr>
            <w:tcW w:type="dxa" w:w="2880"/>
          </w:tcPr>
          <w:p>
            <w:r>
              <w:t>COH-06 · El Capítulo III de las Bases reproduce el requerimiento sin cambios</w:t>
            </w:r>
          </w:p>
        </w:tc>
        <w:tc>
          <w:tcPr>
            <w:tcW w:type="dxa" w:w="2880"/>
          </w:tcPr>
          <w:p>
            <w:r>
              <w:t>Falla</w:t>
            </w:r>
          </w:p>
        </w:tc>
        <w:tc>
          <w:tcPr>
            <w:tcW w:type="dxa" w:w="2880"/>
          </w:tcPr>
          <w:p>
            <w:r>
              <w:t>El Capítulo III de las Bases integradas modifica la experiencia del Especialista en Hidráulica de 12 a 24 meses sin que exista una absolución de consulta u observación que ordene expresamente dicho cambio en el pliego.</w:t>
              <w:br/>
              <w:t>Pasos: Buscó «ESPECIALISTA EN HIDRÁULICA» en requerimiento: 1 página(s) → Buscó «ESPECIALISTA EN HIDRÁULICA» en bases_integradas: 1 página(s) → Buscó «meses» en bases_integradas: 2 página(s) → Buscó «HIDRÁULICA» en pliego: 1 página(s) → Buscó «meses» en pliego: 0 página(s)</w:t>
            </w:r>
          </w:p>
        </w:tc>
      </w:tr>
      <w:tr>
        <w:tc>
          <w:tcPr>
            <w:tcW w:type="dxa" w:w="2880"/>
          </w:tcPr>
          <w:p>
            <w:r>
              <w:t>COH-07 · Los requisitos de calificación de las Bases son los del requerimiento</w:t>
            </w:r>
          </w:p>
        </w:tc>
        <w:tc>
          <w:tcPr>
            <w:tcW w:type="dxa" w:w="2880"/>
          </w:tcPr>
          <w:p>
            <w:r>
              <w:t>Falla</w:t>
            </w:r>
          </w:p>
        </w:tc>
        <w:tc>
          <w:tcPr>
            <w:tcW w:type="dxa" w:w="2880"/>
          </w:tcPr>
          <w:p>
            <w:r>
              <w:t>Las Bases integradas exigen 24.0 meses para el Especialista en Hidráulica, mientras que el requerimiento solicitaba 12.0 meses, endureciendo el requisito de calificación sin justificación en el pliego.</w:t>
              <w:br/>
              <w:t>Pasos: Buscó «HIDRÁULICA» en requerimiento: 1 página(s) → Buscó «Especialista» en requerimiento: 1 página(s) → Buscó «ESPECIALISTA» en bases_integradas: 1 página(s) → Leyó bases_integradas, página 8 → Buscó «HIDRÁULICA» en bases_integradas: 2 página(s)</w:t>
            </w:r>
          </w:p>
        </w:tc>
      </w:tr>
      <w:tr>
        <w:tc>
          <w:tcPr>
            <w:tcW w:type="dxa" w:w="2880"/>
          </w:tcPr>
          <w:p>
            <w:r>
              <w:t>FOR-01 · La Sección general no fue modificada</w:t>
            </w:r>
          </w:p>
        </w:tc>
        <w:tc>
          <w:tcPr>
            <w:tcW w:type="dxa" w:w="2880"/>
          </w:tcPr>
          <w:p>
            <w:r>
              <w:t>No verificado</w:t>
            </w:r>
          </w:p>
        </w:tc>
        <w:tc>
          <w:tcPr>
            <w:tcW w:type="dxa" w:w="2880"/>
          </w:tcPr>
          <w:p>
            <w:r>
              <w:t>Las Bases integradas presentadas inician directamente en la Sección Específica, sin incluir la Sección General de las Bases estándar, por lo que no es posible verificar si fue modificada.</w:t>
              <w:br/>
              <w:t>Pasos: Buscó «días hábiles» en bases_integradas: 0 página(s) → Buscó «dias» en bases_integradas: 4 página(s) → Leyó bases_integradas, página 3 → Leyó bases_integradas, página 4</w:t>
            </w:r>
          </w:p>
        </w:tc>
      </w:tr>
      <w:tr>
        <w:tc>
          <w:tcPr>
            <w:tcW w:type="dxa" w:w="2880"/>
          </w:tcPr>
          <w:p>
            <w:r>
              <w:t>ABS-01 · Cada consulta y observación del pliego tiene respuesta</w:t>
            </w:r>
          </w:p>
        </w:tc>
        <w:tc>
          <w:tcPr>
            <w:tcW w:type="dxa" w:w="2880"/>
          </w:tcPr>
          <w:p>
            <w:r>
              <w:t>Falla</w:t>
            </w:r>
          </w:p>
        </w:tc>
        <w:tc>
          <w:tcPr>
            <w:tcW w:type="dxa" w:w="2880"/>
          </w:tcPr>
          <w:p>
            <w:r>
              <w:t>La consulta N.° 3 (Cap. IV, factor B) no tiene respuesta en el pliego.</w:t>
            </w:r>
          </w:p>
        </w:tc>
      </w:tr>
      <w:tr>
        <w:tc>
          <w:tcPr>
            <w:tcW w:type="dxa" w:w="2880"/>
          </w:tcPr>
          <w:p>
            <w:r>
              <w:t>ABS-02 · Cada absolución que modifica las Bases está incorporada en las Bases Integradas</w:t>
            </w:r>
          </w:p>
        </w:tc>
        <w:tc>
          <w:tcPr>
            <w:tcW w:type="dxa" w:w="2880"/>
          </w:tcPr>
          <w:p>
            <w:r>
              <w:t>Falla</w:t>
            </w:r>
          </w:p>
        </w:tc>
        <w:tc>
          <w:tcPr>
            <w:tcW w:type="dxa" w:w="2880"/>
          </w:tcPr>
          <w:p>
            <w:r>
              <w:t>La modificación derivada de la observación N.° 2, que agregaba al especialista en recursos hídricos para el cargo de especialista en hidráulica, no fue incorporada en el numeral B.2 de las Bases Integradas.</w:t>
              <w:br/>
              <w:t>Pasos: Consultó los datos extraídos de pliego → Buscó «recursos hidricos» en pliego: 1 página(s) → Leyó pliego, página 1 → Buscó «hidraulica» en bases_integradas: 2 página(s) → Leyó bases_integradas, página 7</w:t>
            </w:r>
          </w:p>
        </w:tc>
      </w:tr>
      <w:tr>
        <w:tc>
          <w:tcPr>
            <w:tcW w:type="dxa" w:w="2880"/>
          </w:tcPr>
          <w:p>
            <w:r>
              <w:t>ABS-03 · Las Bases Integradas no tienen cambios que no provengan del pliego</w:t>
            </w:r>
          </w:p>
        </w:tc>
        <w:tc>
          <w:tcPr>
            <w:tcW w:type="dxa" w:w="2880"/>
          </w:tcPr>
          <w:p>
            <w:r>
              <w:t>Falla</w:t>
            </w:r>
          </w:p>
        </w:tc>
        <w:tc>
          <w:tcPr>
            <w:tcW w:type="dxa" w:w="2880"/>
          </w:tcPr>
          <w:p>
            <w:r>
              <w:t>Las Bases Integradas no incluyen la modificación anunciada en la observación N.° 2 del pliego respecto al especialista en recursos hídricos.</w:t>
              <w:br/>
              <w:t>Pasos: Comparó bases con bases_integradas: similitud 100%, 8 cambio(s) → Buscó «especialista en recursos hídricos» en bases_integradas: 0 página(s) → Buscó «recursos hidricos» en bases: 0 página(s) → Buscó «recursos hidricos» en bases_integradas: 0 página(s) → Leyó bases_integradas, página 7</w:t>
            </w:r>
          </w:p>
        </w:tc>
      </w:tr>
      <w:tr>
        <w:tc>
          <w:tcPr>
            <w:tcW w:type="dxa" w:w="2880"/>
          </w:tcPr>
          <w:p>
            <w:r>
              <w:t>ABS-04 · Los cambios al requerimiento hechos en la absolución cuentan con la conformidad del área usuaria</w:t>
            </w:r>
          </w:p>
        </w:tc>
        <w:tc>
          <w:tcPr>
            <w:tcW w:type="dxa" w:w="2880"/>
          </w:tcPr>
          <w:p>
            <w:r>
              <w:t>Falla</w:t>
            </w:r>
          </w:p>
        </w:tc>
        <w:tc>
          <w:tcPr>
            <w:tcW w:type="dxa" w:w="2880"/>
          </w:tcPr>
          <w:p>
            <w:r>
              <w:t>La observación N.° 2 modificó el requerimiento (añadiendo el cargo de especialista en recursos hídricos), pero no consta en el pliego ni en los documentos disponibles la conformidad u no objeción expresa del área usuaria respecto a dicho cambio.</w:t>
              <w:br/>
              <w:t>Pasos: Buscó «recursos hidricos» en pliego: 1 página(s) → Buscó «recursos hidricos» en bases_integradas: 0 página(s) → Buscó «hidraulica» en requerimiento: 1 página(s) → Revisó la lista de documentos (9) → Buscó «area usuaria» en aprobacion_expediente: 0 página(s)</w:t>
            </w:r>
          </w:p>
        </w:tc>
      </w:tr>
    </w:tbl>
    <w:p>
      <w:r>
        <w:t>Consultas a Gemini: 68 · tiempo: 309 s.</w:t>
      </w:r>
    </w:p>
    <w:p>
      <w:pPr>
        <w:pStyle w:val="Heading2"/>
      </w:pPr>
      <w:r>
        <w:t>VALIDACIÓN · CP-05-2026-MPRE/CS · expediente puente vehicular</w:t>
      </w:r>
    </w:p>
    <w:p>
      <w:r>
        <w:t>Fallas sembradas: Las Bases convocadas fijan 120 días y el requerimiento 150; la estrategia decidió precios unitarios y las Bases dicen suma alzada; la interacción con el mercado dice que sí hubo difusión del requerimiento y las Bases que no; la contratación es de alto riesgo y solo hubo indagación. Las Bases Integradas pasan a 150 días sin que ninguna absolución lo explique.</w:t>
      </w:r>
    </w:p>
    <w:p>
      <w:r>
        <w:t>En el aplicativo: portal del comité → Concursos en Curso → «VALIDACIÓN · CP-05-2026-MPRE/CS · expediente puente vehicular».</w:t>
      </w:r>
    </w:p>
    <w:p>
      <w:r>
        <w:t>Documentos usados: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Ronda</w:t>
            </w:r>
          </w:p>
        </w:tc>
        <w:tc>
          <w:tcPr>
            <w:tcW w:type="dxa" w:w="2160"/>
          </w:tcPr>
          <w:p>
            <w:r>
              <w:t>Archivo</w:t>
            </w:r>
          </w:p>
        </w:tc>
        <w:tc>
          <w:tcPr>
            <w:tcW w:type="dxa" w:w="2160"/>
          </w:tcPr>
          <w:p>
            <w:r>
              <w:t>Tipo de documento</w:t>
            </w:r>
          </w:p>
        </w:tc>
        <w:tc>
          <w:tcPr>
            <w:tcW w:type="dxa" w:w="2160"/>
          </w:tcPr>
          <w:p>
            <w:r>
              <w:t>Páginas</w:t>
            </w:r>
          </w:p>
        </w:tc>
      </w:tr>
      <w:tr>
        <w:tc>
          <w:tcPr>
            <w:tcW w:type="dxa" w:w="2160"/>
          </w:tcPr>
          <w:p>
            <w:r>
              <w:t>A</w:t>
            </w:r>
          </w:p>
        </w:tc>
        <w:tc>
          <w:tcPr>
            <w:tcW w:type="dxa" w:w="2160"/>
          </w:tcPr>
          <w:p>
            <w:r>
              <w:t>A1 Requerimiento.pdf</w:t>
            </w:r>
          </w:p>
        </w:tc>
        <w:tc>
          <w:tcPr>
            <w:tcW w:type="dxa" w:w="2160"/>
          </w:tcPr>
          <w:p>
            <w:r>
              <w:t>Requerimiento del área usuaria (términos de referencia)</w:t>
            </w:r>
          </w:p>
        </w:tc>
        <w:tc>
          <w:tcPr>
            <w:tcW w:type="dxa" w:w="2160"/>
          </w:tcPr>
          <w:p>
            <w:r>
              <w:t>2</w:t>
            </w:r>
          </w:p>
        </w:tc>
      </w:tr>
      <w:tr>
        <w:tc>
          <w:tcPr>
            <w:tcW w:type="dxa" w:w="2160"/>
          </w:tcPr>
          <w:p>
            <w:r>
              <w:t>A</w:t>
            </w:r>
          </w:p>
        </w:tc>
        <w:tc>
          <w:tcPr>
            <w:tcW w:type="dxa" w:w="2160"/>
          </w:tcPr>
          <w:p>
            <w:r>
              <w:t>A2 Certificación presupuestal.pdf</w:t>
            </w:r>
          </w:p>
        </w:tc>
        <w:tc>
          <w:tcPr>
            <w:tcW w:type="dxa" w:w="2160"/>
          </w:tcPr>
          <w:p>
            <w:r>
              <w:t>Certificación de crédito presupuestario o previsión presupuestal</w:t>
            </w:r>
          </w:p>
        </w:tc>
        <w:tc>
          <w:tcPr>
            <w:tcW w:type="dxa" w:w="2160"/>
          </w:tcPr>
          <w:p>
            <w:r>
              <w:t>1</w:t>
            </w:r>
          </w:p>
        </w:tc>
      </w:tr>
      <w:tr>
        <w:tc>
          <w:tcPr>
            <w:tcW w:type="dxa" w:w="2160"/>
          </w:tcPr>
          <w:p>
            <w:r>
              <w:t>A</w:t>
            </w:r>
          </w:p>
        </w:tc>
        <w:tc>
          <w:tcPr>
            <w:tcW w:type="dxa" w:w="2160"/>
          </w:tcPr>
          <w:p>
            <w:r>
              <w:t>A3 Estrategia de contratación.pdf</w:t>
            </w:r>
          </w:p>
        </w:tc>
        <w:tc>
          <w:tcPr>
            <w:tcW w:type="dxa" w:w="2160"/>
          </w:tcPr>
          <w:p>
            <w:r>
              <w:t>Formato de estrategia de contratación</w:t>
            </w:r>
          </w:p>
        </w:tc>
        <w:tc>
          <w:tcPr>
            <w:tcW w:type="dxa" w:w="2160"/>
          </w:tcPr>
          <w:p>
            <w:r>
              <w:t>1</w:t>
            </w:r>
          </w:p>
        </w:tc>
      </w:tr>
      <w:tr>
        <w:tc>
          <w:tcPr>
            <w:tcW w:type="dxa" w:w="2160"/>
          </w:tcPr>
          <w:p>
            <w:r>
              <w:t>A</w:t>
            </w:r>
          </w:p>
        </w:tc>
        <w:tc>
          <w:tcPr>
            <w:tcW w:type="dxa" w:w="2160"/>
          </w:tcPr>
          <w:p>
            <w:r>
              <w:t>A4 Interacción con el mercado.pdf</w:t>
            </w:r>
          </w:p>
        </w:tc>
        <w:tc>
          <w:tcPr>
            <w:tcW w:type="dxa" w:w="2160"/>
          </w:tcPr>
          <w:p>
            <w:r>
              <w:t>Formato de interacción con el mercado</w:t>
            </w:r>
          </w:p>
        </w:tc>
        <w:tc>
          <w:tcPr>
            <w:tcW w:type="dxa" w:w="2160"/>
          </w:tcPr>
          <w:p>
            <w:r>
              <w:t>1</w:t>
            </w:r>
          </w:p>
        </w:tc>
      </w:tr>
      <w:tr>
        <w:tc>
          <w:tcPr>
            <w:tcW w:type="dxa" w:w="2160"/>
          </w:tcPr>
          <w:p>
            <w:r>
              <w:t>A</w:t>
            </w:r>
          </w:p>
        </w:tc>
        <w:tc>
          <w:tcPr>
            <w:tcW w:type="dxa" w:w="2160"/>
          </w:tcPr>
          <w:p>
            <w:r>
              <w:t>A5 Designación del comité.pdf</w:t>
            </w:r>
          </w:p>
        </w:tc>
        <w:tc>
          <w:tcPr>
            <w:tcW w:type="dxa" w:w="2160"/>
          </w:tcPr>
          <w:p>
            <w:r>
              <w:t>Designación de los evaluadores</w:t>
            </w:r>
          </w:p>
        </w:tc>
        <w:tc>
          <w:tcPr>
            <w:tcW w:type="dxa" w:w="2160"/>
          </w:tcPr>
          <w:p>
            <w:r>
              <w:t>1</w:t>
            </w:r>
          </w:p>
        </w:tc>
      </w:tr>
      <w:tr>
        <w:tc>
          <w:tcPr>
            <w:tcW w:type="dxa" w:w="2160"/>
          </w:tcPr>
          <w:p>
            <w:r>
              <w:t>A</w:t>
            </w:r>
          </w:p>
        </w:tc>
        <w:tc>
          <w:tcPr>
            <w:tcW w:type="dxa" w:w="2160"/>
          </w:tcPr>
          <w:p>
            <w:r>
              <w:t>A6 Aprobación del expediente.pdf</w:t>
            </w:r>
          </w:p>
        </w:tc>
        <w:tc>
          <w:tcPr>
            <w:tcW w:type="dxa" w:w="2160"/>
          </w:tcPr>
          <w:p>
            <w:r>
              <w:t>Aprobación del expediente de contratación</w:t>
            </w:r>
          </w:p>
        </w:tc>
        <w:tc>
          <w:tcPr>
            <w:tcW w:type="dxa" w:w="2160"/>
          </w:tcPr>
          <w:p>
            <w:r>
              <w:t>1</w:t>
            </w:r>
          </w:p>
        </w:tc>
      </w:tr>
      <w:tr>
        <w:tc>
          <w:tcPr>
            <w:tcW w:type="dxa" w:w="2160"/>
          </w:tcPr>
          <w:p>
            <w:r>
              <w:t>A</w:t>
            </w:r>
          </w:p>
        </w:tc>
        <w:tc>
          <w:tcPr>
            <w:tcW w:type="dxa" w:w="2160"/>
          </w:tcPr>
          <w:p>
            <w:r>
              <w:t>A7 Bases para convocar.pdf</w:t>
            </w:r>
          </w:p>
        </w:tc>
        <w:tc>
          <w:tcPr>
            <w:tcW w:type="dxa" w:w="2160"/>
          </w:tcPr>
          <w:p>
            <w:r>
              <w:t>Bases (versión para convocar)</w:t>
            </w:r>
          </w:p>
        </w:tc>
        <w:tc>
          <w:tcPr>
            <w:tcW w:type="dxa" w:w="2160"/>
          </w:tcPr>
          <w:p>
            <w:r>
              <w:t>10</w:t>
            </w:r>
          </w:p>
        </w:tc>
      </w:tr>
      <w:tr>
        <w:tc>
          <w:tcPr>
            <w:tcW w:type="dxa" w:w="2160"/>
          </w:tcPr>
          <w:p>
            <w:r>
              <w:t>B</w:t>
            </w:r>
          </w:p>
        </w:tc>
        <w:tc>
          <w:tcPr>
            <w:tcW w:type="dxa" w:w="2160"/>
          </w:tcPr>
          <w:p>
            <w:r>
              <w:t>B1 Pliego de absolución.pdf</w:t>
            </w:r>
          </w:p>
        </w:tc>
        <w:tc>
          <w:tcPr>
            <w:tcW w:type="dxa" w:w="2160"/>
          </w:tcPr>
          <w:p>
            <w:r>
              <w:t>Pliego de absolución de consultas y observaciones</w:t>
            </w:r>
          </w:p>
        </w:tc>
        <w:tc>
          <w:tcPr>
            <w:tcW w:type="dxa" w:w="2160"/>
          </w:tcPr>
          <w:p>
            <w:r>
              <w:t>1</w:t>
            </w:r>
          </w:p>
        </w:tc>
      </w:tr>
      <w:tr>
        <w:tc>
          <w:tcPr>
            <w:tcW w:type="dxa" w:w="2160"/>
          </w:tcPr>
          <w:p>
            <w:r>
              <w:t>B</w:t>
            </w:r>
          </w:p>
        </w:tc>
        <w:tc>
          <w:tcPr>
            <w:tcW w:type="dxa" w:w="2160"/>
          </w:tcPr>
          <w:p>
            <w:r>
              <w:t>Bases Integradas CP-05-2026-MPRE-CS.pdf</w:t>
            </w:r>
          </w:p>
        </w:tc>
        <w:tc>
          <w:tcPr>
            <w:tcW w:type="dxa" w:w="2160"/>
          </w:tcPr>
          <w:p>
            <w:r>
              <w:t>Bases Integradas</w:t>
            </w:r>
          </w:p>
        </w:tc>
        <w:tc>
          <w:tcPr>
            <w:tcW w:type="dxa" w:w="2160"/>
          </w:tcPr>
          <w:p>
            <w:r>
              <w:t>10</w:t>
            </w:r>
          </w:p>
        </w:tc>
      </w:tr>
    </w:tbl>
    <w:p>
      <w:pPr>
        <w:pStyle w:val="Heading3"/>
      </w:pPr>
      <w:r>
        <w:t>Ronda 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COH-08, COH-09, COH-10, PRO-06</w:t>
            </w:r>
          </w:p>
        </w:tc>
        <w:tc>
          <w:tcPr>
            <w:tcW w:type="dxa" w:w="2160"/>
          </w:tcPr>
          <w:p>
            <w:r>
              <w:t>COH-06, COH-08, COH-10, PRO-06</w:t>
            </w:r>
          </w:p>
        </w:tc>
        <w:tc>
          <w:tcPr>
            <w:tcW w:type="dxa" w:w="2160"/>
          </w:tcPr>
          <w:p>
            <w:r>
              <w:t>COH-09</w:t>
            </w:r>
          </w:p>
        </w:tc>
        <w:tc>
          <w:tcPr>
            <w:tcW w:type="dxa" w:w="2160"/>
          </w:tcPr>
          <w:p>
            <w:r>
              <w:t>COH-06</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COH-06 · El Capítulo III de las Bases reproduce el requerimiento sin cambios</w:t>
            </w:r>
          </w:p>
        </w:tc>
        <w:tc>
          <w:tcPr>
            <w:tcW w:type="dxa" w:w="2880"/>
          </w:tcPr>
          <w:p>
            <w:r>
              <w:t>Falla</w:t>
            </w:r>
          </w:p>
        </w:tc>
        <w:tc>
          <w:tcPr>
            <w:tcW w:type="dxa" w:w="2880"/>
          </w:tcPr>
          <w:p>
            <w:r>
              <w:t>El Capítulo III de las Bases presenta diferencias sustanciales en su contenido respecto al requerimiento original (términos de referencia), tales como modificaciones en los plazos, actividades, forma de presentación y redacción de los requisitos de calificación del personal clave.</w:t>
              <w:br/>
              <w:t>Pasos: Buscó «requerimiento» en requerimiento: 2 página(s) → Revisó la lista de documentos (7) → Comparó requerimiento con bases: similitud 48%, 25 cambio(s)</w:t>
            </w:r>
          </w:p>
        </w:tc>
      </w:tr>
      <w:tr>
        <w:tc>
          <w:tcPr>
            <w:tcW w:type="dxa" w:w="2880"/>
          </w:tcPr>
          <w:p>
            <w:r>
              <w:t>COH-08 · El plazo de prestación de las Bases es el del requerimiento</w:t>
            </w:r>
          </w:p>
        </w:tc>
        <w:tc>
          <w:tcPr>
            <w:tcW w:type="dxa" w:w="2880"/>
          </w:tcPr>
          <w:p>
            <w:r>
              <w:t>Falla</w:t>
            </w:r>
          </w:p>
        </w:tc>
        <w:tc>
          <w:tcPr>
            <w:tcW w:type="dxa" w:w="2880"/>
          </w:tcPr>
          <w:p>
            <w:r>
              <w:t>Las Bases fijan un plazo de 120 días y el requerimiento, de 150 días.</w:t>
            </w:r>
          </w:p>
        </w:tc>
      </w:tr>
      <w:tr>
        <w:tc>
          <w:tcPr>
            <w:tcW w:type="dxa" w:w="2880"/>
          </w:tcPr>
          <w:p>
            <w:r>
              <w:t>COH-10 · Lo que declaran las Bases sobre la difusión del requerimiento coincide con la interacción con el mercado, y si no hubo difusión se prevé la elevación al OECE</w:t>
            </w:r>
          </w:p>
        </w:tc>
        <w:tc>
          <w:tcPr>
            <w:tcW w:type="dxa" w:w="2880"/>
          </w:tcPr>
          <w:p>
            <w:r>
              <w:t>Falla</w:t>
            </w:r>
          </w:p>
        </w:tc>
        <w:tc>
          <w:tcPr>
            <w:tcW w:type="dxa" w:w="2880"/>
          </w:tcPr>
          <w:p>
            <w:r>
              <w:t>Las Bases dicen que no se hizo la difusión del requerimiento, pero el formato de interacción con el mercado dice que sí.</w:t>
            </w:r>
          </w:p>
        </w:tc>
      </w:tr>
      <w:tr>
        <w:tc>
          <w:tcPr>
            <w:tcW w:type="dxa" w:w="2880"/>
          </w:tcPr>
          <w:p>
            <w:r>
              <w:t>FOR-01 · La Sección general no fue modificada</w:t>
            </w:r>
          </w:p>
        </w:tc>
        <w:tc>
          <w:tcPr>
            <w:tcW w:type="dxa" w:w="2880"/>
          </w:tcPr>
          <w:p>
            <w:r>
              <w:t>No verificado</w:t>
            </w:r>
          </w:p>
        </w:tc>
        <w:tc>
          <w:tcPr>
            <w:tcW w:type="dxa" w:w="2880"/>
          </w:tcPr>
          <w:p>
            <w:r>
              <w:t>La Sección general de las Bases no incluye la plantilla oficial completa ni permite verificar plenamente la intangibilidad de todos los extremos exigidos por la normativa estándar (falta la plantilla oficial para comparar y comprobar plazos y textos exactos).</w:t>
              <w:br/>
              <w:t>Pasos: Revisó la lista de documentos (7) → Buscó «consultas» en bases: 3 página(s) → Leyó bases, página 4 → Buscó «días» en bases: 4 página(s)</w:t>
            </w:r>
          </w:p>
        </w:tc>
      </w:tr>
      <w:tr>
        <w:tc>
          <w:tcPr>
            <w:tcW w:type="dxa" w:w="2880"/>
          </w:tcPr>
          <w:p>
            <w:r>
              <w:t>PRO-06 · Una contratación de alto riesgo (desierta antes o con pocos postores) tuvo una consulta al mercado</w:t>
            </w:r>
          </w:p>
        </w:tc>
        <w:tc>
          <w:tcPr>
            <w:tcW w:type="dxa" w:w="2880"/>
          </w:tcPr>
          <w:p>
            <w:r>
              <w:t>Falla</w:t>
            </w:r>
          </w:p>
        </w:tc>
        <w:tc>
          <w:tcPr>
            <w:tcW w:type="dxa" w:w="2880"/>
          </w:tcPr>
          <w:p>
            <w:r>
              <w:t>La estrategia clasifica la contratación como de alto riesgo (crítica), por lo que debía realizarse una consulta al mercado; sin embargo, la interacción con el mercado registrada es solo una indagación básica.</w:t>
              <w:br/>
              <w:t>Pasos: Consultó los datos extraídos de estrategia → Leyó estrategia, página 1 → Leyó interaccion_mercado, página 1</w:t>
            </w:r>
          </w:p>
        </w:tc>
      </w:tr>
    </w:tbl>
    <w:p>
      <w:r>
        <w:t>Consultas a Gemini: 57 · tiempo: 664 s.</w:t>
      </w:r>
    </w:p>
    <w:p>
      <w:pPr>
        <w:pStyle w:val="Heading3"/>
      </w:pPr>
      <w:r>
        <w:t>Ronda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Esperadas</w:t>
            </w:r>
          </w:p>
        </w:tc>
        <w:tc>
          <w:tcPr>
            <w:tcW w:type="dxa" w:w="2160"/>
          </w:tcPr>
          <w:p>
            <w:r>
              <w:t>Detectadas</w:t>
            </w:r>
          </w:p>
        </w:tc>
        <w:tc>
          <w:tcPr>
            <w:tcW w:type="dxa" w:w="2160"/>
          </w:tcPr>
          <w:p>
            <w:r>
              <w:t>No detectadas</w:t>
            </w:r>
          </w:p>
        </w:tc>
        <w:tc>
          <w:tcPr>
            <w:tcW w:type="dxa" w:w="2160"/>
          </w:tcPr>
          <w:p>
            <w:r>
              <w:t>De más</w:t>
            </w:r>
          </w:p>
        </w:tc>
      </w:tr>
      <w:tr>
        <w:tc>
          <w:tcPr>
            <w:tcW w:type="dxa" w:w="2160"/>
          </w:tcPr>
          <w:p>
            <w:r>
              <w:t>ABS-03, COH-09, COH-10</w:t>
            </w:r>
          </w:p>
        </w:tc>
        <w:tc>
          <w:tcPr>
            <w:tcW w:type="dxa" w:w="2160"/>
          </w:tcPr>
          <w:p>
            <w:r>
              <w:t>ABS-03, COH-10, FOR-01</w:t>
            </w:r>
          </w:p>
        </w:tc>
        <w:tc>
          <w:tcPr>
            <w:tcW w:type="dxa" w:w="2160"/>
          </w:tcPr>
          <w:p>
            <w:r>
              <w:t>COH-09</w:t>
            </w:r>
          </w:p>
        </w:tc>
        <w:tc>
          <w:tcPr>
            <w:tcW w:type="dxa" w:w="2160"/>
          </w:tcPr>
          <w:p>
            <w:r>
              <w:t>FOR-01</w:t>
            </w:r>
          </w:p>
        </w:tc>
      </w:tr>
    </w:tbl>
    <w:p>
      <w:r>
        <w:t>Lo que reportó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Verificación</w:t>
            </w:r>
          </w:p>
        </w:tc>
        <w:tc>
          <w:tcPr>
            <w:tcW w:type="dxa" w:w="2880"/>
          </w:tcPr>
          <w:p>
            <w:r>
              <w:t>Resultado</w:t>
            </w:r>
          </w:p>
        </w:tc>
        <w:tc>
          <w:tcPr>
            <w:tcW w:type="dxa" w:w="2880"/>
          </w:tcPr>
          <w:p>
            <w:r>
              <w:t>Descripción y pasos del agente</w:t>
            </w:r>
          </w:p>
        </w:tc>
      </w:tr>
      <w:tr>
        <w:tc>
          <w:tcPr>
            <w:tcW w:type="dxa" w:w="2880"/>
          </w:tcPr>
          <w:p>
            <w:r>
              <w:t>COH-10 · Lo que declaran las Bases sobre la difusión del requerimiento coincide con la interacción con el mercado, y si no hubo difusión se prevé la elevación al OECE</w:t>
            </w:r>
          </w:p>
        </w:tc>
        <w:tc>
          <w:tcPr>
            <w:tcW w:type="dxa" w:w="2880"/>
          </w:tcPr>
          <w:p>
            <w:r>
              <w:t>Falla</w:t>
            </w:r>
          </w:p>
        </w:tc>
        <w:tc>
          <w:tcPr>
            <w:tcW w:type="dxa" w:w="2880"/>
          </w:tcPr>
          <w:p>
            <w:r>
              <w:t>Las Bases dicen que no se hizo la difusión del requerimiento, pero el formato de interacción con el mercado dice que sí.</w:t>
            </w:r>
          </w:p>
        </w:tc>
      </w:tr>
      <w:tr>
        <w:tc>
          <w:tcPr>
            <w:tcW w:type="dxa" w:w="2880"/>
          </w:tcPr>
          <w:p>
            <w:r>
              <w:t>FOR-01 · La Sección general no fue modificada</w:t>
            </w:r>
          </w:p>
        </w:tc>
        <w:tc>
          <w:tcPr>
            <w:tcW w:type="dxa" w:w="2880"/>
          </w:tcPr>
          <w:p>
            <w:r>
              <w:t>Falla</w:t>
            </w:r>
          </w:p>
        </w:tc>
        <w:tc>
          <w:tcPr>
            <w:tcW w:type="dxa" w:w="2880"/>
          </w:tcPr>
          <w:p>
            <w:r>
              <w:t>La Sección general contenida en las Bases Integradas muestra una versión resumida y alterada que omite los plazos legales de consultas, elevación y apelación exigidos por la normativa de contrataciones públicas.</w:t>
              <w:br/>
              <w:t>Pasos: Revisó la lista de documentos (9) → Buscó «consultas» en bases_integradas: 3 página(s) → Leyó bases_integradas, página 1 → Leyó bases_integradas, página 2 → Leyó bases_integradas, página 3</w:t>
            </w:r>
          </w:p>
        </w:tc>
      </w:tr>
      <w:tr>
        <w:tc>
          <w:tcPr>
            <w:tcW w:type="dxa" w:w="2880"/>
          </w:tcPr>
          <w:p>
            <w:r>
              <w:t>ABS-03 · Las Bases Integradas no tienen cambios que no provengan del pliego</w:t>
            </w:r>
          </w:p>
        </w:tc>
        <w:tc>
          <w:tcPr>
            <w:tcW w:type="dxa" w:w="2880"/>
          </w:tcPr>
          <w:p>
            <w:r>
              <w:t>Falla</w:t>
            </w:r>
          </w:p>
        </w:tc>
        <w:tc>
          <w:tcPr>
            <w:tcW w:type="dxa" w:w="2880"/>
          </w:tcPr>
          <w:p>
            <w:r>
              <w:t>Las Bases Integradas contienen cambios de contenido no originados en el pliego (por ejemplo, el plazo de prestación del servicio fue modificado de 120 a 150 días), a pesar de que el pliego indica que no se acoge la única consulta formulada.</w:t>
              <w:br/>
              <w:t>Pasos: Consultó los datos extraídos de pliego → Comparó bases con bases_integradas: similitud 100%, 15 cambio(s) → Buscó «cincuenta» en bases_integradas: 2 página(s) → Buscó «veinte» en bases: 2 página(s) → Leyó pliego, página 1</w:t>
            </w:r>
          </w:p>
        </w:tc>
      </w:tr>
    </w:tbl>
    <w:p>
      <w:r>
        <w:t>Consultas a Gemini: 67 · tiempo: 2159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