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Validación del módulo de revisión de Bases</w:t>
      </w:r>
    </w:p>
    <w:p>
      <w:r>
        <w:t>Fecha: 27/10/2026 14:48 · Modelo: gemini-3.5-flash-lite · Modo: reglas fijas y agente revisor</w:t>
      </w:r>
    </w:p>
    <w:p>
      <w:pPr>
        <w:pStyle w:val="Heading2"/>
      </w:pPr>
      <w:r>
        <w:t>Qué se probó y cómo</w:t>
      </w:r>
    </w:p>
    <w:p>
      <w:r>
        <w:t>Se usaron convocatorias de demostración ficticias con fallas sembradas a propósito en el expediente, en las Bases y en el pliego de absolución. Para cada una se sabe de antemano qué verificaciones del catálogo deben fallar en cada ronda. El sistema revisó los documentos igual que en el portal del comité (ronda A con el expediente y las Bases convocadas; ronda B con el pliego y las Bases Integradas) y se comparó lo que detectó con lo esperado.</w:t>
      </w:r>
    </w:p>
    <w:p>
      <w:r>
        <w:t>Exhaustividad = fallas sembradas detectadas ÷ fallas sembradas. Precisión = hallazgos que eran fallas sembradas ÷ hallazgos del sistema. Un hallazgo de más no siempre es un error: puede ser una falla real que no se sembró; por eso cada uno se lista para revisarlo.</w:t>
      </w:r>
    </w:p>
    <w:p>
      <w:pPr>
        <w:pStyle w:val="Heading2"/>
      </w:pPr>
      <w:r>
        <w:t>Resultados globales</w:t>
      </w:r>
    </w:p>
    <w:tbl>
      <w:tblPr>
        <w:tblStyle w:val="TableGrid"/>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Exhaustividad (fallas sembradas detectadas)</w:t>
            </w:r>
          </w:p>
        </w:tc>
        <w:tc>
          <w:tcPr>
            <w:tcW w:type="dxa" w:w="4320"/>
          </w:tcPr>
          <w:p>
            <w:r>
              <w:t>— (0 de 0)</w:t>
            </w:r>
          </w:p>
        </w:tc>
      </w:tr>
      <w:tr>
        <w:tc>
          <w:tcPr>
            <w:tcW w:type="dxa" w:w="4320"/>
          </w:tcPr>
          <w:p>
            <w:r>
              <w:t>Precisión</w:t>
            </w:r>
          </w:p>
        </w:tc>
        <w:tc>
          <w:tcPr>
            <w:tcW w:type="dxa" w:w="4320"/>
          </w:tcPr>
          <w:p>
            <w:r>
              <w:t>0,0 %</w:t>
            </w:r>
          </w:p>
        </w:tc>
      </w:tr>
      <w:tr>
        <w:tc>
          <w:tcPr>
            <w:tcW w:type="dxa" w:w="4320"/>
          </w:tcPr>
          <w:p>
            <w:r>
              <w:t>Hallazgos de más</w:t>
            </w:r>
          </w:p>
        </w:tc>
        <w:tc>
          <w:tcPr>
            <w:tcW w:type="dxa" w:w="4320"/>
          </w:tcPr>
          <w:p>
            <w:r>
              <w:t>1</w:t>
            </w:r>
          </w:p>
        </w:tc>
      </w:tr>
      <w:tr>
        <w:tc>
          <w:tcPr>
            <w:tcW w:type="dxa" w:w="4320"/>
          </w:tcPr>
          <w:p>
            <w:r>
              <w:t>Verificaciones no verificadas</w:t>
            </w:r>
          </w:p>
        </w:tc>
        <w:tc>
          <w:tcPr>
            <w:tcW w:type="dxa" w:w="4320"/>
          </w:tcPr>
          <w:p>
            <w:r>
              <w:t>0</w:t>
            </w:r>
          </w:p>
        </w:tc>
      </w:tr>
      <w:tr>
        <w:tc>
          <w:tcPr>
            <w:tcW w:type="dxa" w:w="4320"/>
          </w:tcPr>
          <w:p>
            <w:r>
              <w:t>Consultas a Gemini</w:t>
            </w:r>
          </w:p>
        </w:tc>
        <w:tc>
          <w:tcPr>
            <w:tcW w:type="dxa" w:w="4320"/>
          </w:tcPr>
          <w:p>
            <w:r>
              <w:t>281</w:t>
            </w:r>
          </w:p>
        </w:tc>
      </w:tr>
      <w:tr>
        <w:tc>
          <w:tcPr>
            <w:tcW w:type="dxa" w:w="4320"/>
          </w:tcPr>
          <w:p>
            <w:r>
              <w:t>Tokens</w:t>
            </w:r>
          </w:p>
        </w:tc>
        <w:tc>
          <w:tcPr>
            <w:tcW w:type="dxa" w:w="4320"/>
          </w:tcPr>
          <w:p>
            <w:r>
              <w:t>739 663</w:t>
            </w:r>
          </w:p>
        </w:tc>
      </w:tr>
      <w:tr>
        <w:tc>
          <w:tcPr>
            <w:tcW w:type="dxa" w:w="4320"/>
          </w:tcPr>
          <w:p>
            <w:r>
              <w:t>Tiempo total</w:t>
            </w:r>
          </w:p>
        </w:tc>
        <w:tc>
          <w:tcPr>
            <w:tcW w:type="dxa" w:w="4320"/>
          </w:tcPr>
          <w:p>
            <w:r>
              <w:t>1177 s</w:t>
            </w:r>
          </w:p>
        </w:tc>
      </w:tr>
    </w:tbl>
    <w:p>
      <w:pPr>
        <w:pStyle w:val="Heading2"/>
      </w:pPr>
      <w:r>
        <w:t>VALIDACIÓN · CP-03-2026-MDNA/CS · supervision agua potable</w:t>
      </w:r>
    </w:p>
    <w:p>
      <w:r>
        <w:t>Fallas sembradas: Expediente coherente: no debería haber hallazgos.</w:t>
      </w:r>
    </w:p>
    <w:p>
      <w:r>
        <w:t>En el aplicativo: portal del comité → Concursos en Curso → «VALIDACIÓN · CP-03-2026-MDNA/CS · supervision agua potable».</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19</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CP-03-2026-MDNA-CS.pdf</w:t>
            </w:r>
          </w:p>
        </w:tc>
        <w:tc>
          <w:tcPr>
            <w:tcW w:type="dxa" w:w="2160"/>
          </w:tcPr>
          <w:p>
            <w:r>
              <w:t>Bases Integradas</w:t>
            </w:r>
          </w:p>
        </w:tc>
        <w:tc>
          <w:tcPr>
            <w:tcW w:type="dxa" w:w="2160"/>
          </w:tcPr>
          <w:p>
            <w:r>
              <w:t>19</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44 · tiempo: 203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47 · tiempo: 184 s.</w:t>
      </w:r>
    </w:p>
    <w:p>
      <w:pPr>
        <w:pStyle w:val="Heading2"/>
      </w:pPr>
      <w:r>
        <w:t>VALIDACIÓN · CP-02-2026-PRSSV/CS · expediente centro de salud</w:t>
      </w:r>
    </w:p>
    <w:p>
      <w:r>
        <w:t>Fallas sembradas: Expediente coherente: no debería haber hallazgos.</w:t>
      </w:r>
    </w:p>
    <w:p>
      <w:r>
        <w:t>En el aplicativo: portal del comité → Concursos en Curso → «VALIDACIÓN · CP-02-2026-PRSSV/CS · expediente centro de salud».</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19</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CP-02-2026-PRSSV-CS.pdf</w:t>
            </w:r>
          </w:p>
        </w:tc>
        <w:tc>
          <w:tcPr>
            <w:tcW w:type="dxa" w:w="2160"/>
          </w:tcPr>
          <w:p>
            <w:r>
              <w:t>Bases Integradas</w:t>
            </w:r>
          </w:p>
        </w:tc>
        <w:tc>
          <w:tcPr>
            <w:tcW w:type="dxa" w:w="2160"/>
          </w:tcPr>
          <w:p>
            <w:r>
              <w:t>19</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48 · tiempo: 197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53 · tiempo: 209 s.</w:t>
      </w:r>
    </w:p>
    <w:p>
      <w:pPr>
        <w:pStyle w:val="Heading2"/>
      </w:pPr>
      <w:r>
        <w:t>VALIDACIÓN · CP-01-2026-MPPL/CS · plan desarrollo urbano</w:t>
      </w:r>
    </w:p>
    <w:p>
      <w:r>
        <w:t>Fallas sembradas: Expediente coherente: no debería haber hallazgos.</w:t>
      </w:r>
    </w:p>
    <w:p>
      <w:r>
        <w:t>En el aplicativo: portal del comité → Concursos en Curso → «VALIDACIÓN · CP-01-2026-MPPL/CS · plan desarrollo urbano».</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19</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CP-01-2026-MPPL-CS.pdf</w:t>
            </w:r>
          </w:p>
        </w:tc>
        <w:tc>
          <w:tcPr>
            <w:tcW w:type="dxa" w:w="2160"/>
          </w:tcPr>
          <w:p>
            <w:r>
              <w:t>Bases Integradas</w:t>
            </w:r>
          </w:p>
        </w:tc>
        <w:tc>
          <w:tcPr>
            <w:tcW w:type="dxa" w:w="2160"/>
          </w:tcPr>
          <w:p>
            <w:r>
              <w:t>19</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COH-06</w:t>
            </w:r>
          </w:p>
        </w:tc>
        <w:tc>
          <w:tcPr>
            <w:tcW w:type="dxa" w:w="2160"/>
          </w:tcPr>
          <w:p>
            <w:r>
              <w:t>—</w:t>
            </w:r>
          </w:p>
        </w:tc>
        <w:tc>
          <w:tcPr>
            <w:tcW w:type="dxa" w:w="2160"/>
          </w:tcPr>
          <w:p>
            <w:r>
              <w:t>COH-06</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COH-06 · El Capítulo III de las Bases reproduce el requerimiento sin cambios</w:t>
            </w:r>
          </w:p>
        </w:tc>
        <w:tc>
          <w:tcPr>
            <w:tcW w:type="dxa" w:w="2880"/>
          </w:tcPr>
          <w:p>
            <w:r>
              <w:t>Falla</w:t>
            </w:r>
          </w:p>
        </w:tc>
        <w:tc>
          <w:tcPr>
            <w:tcW w:type="dxa" w:w="2880"/>
          </w:tcPr>
          <w:p>
            <w:r>
              <w:t>El Capítulo III de las Bases incluye requisitos de calificación y redacción detallada que no figuran de forma idéntica en el requerimiento original del área usuaria.</w:t>
              <w:br/>
              <w:t>Pasos: Buscó «CAPITULO III» en bases: 6 página(s) → Buscó «OBJETO» en requerimiento: 1 página(s) → Revisó la lista de documentos (7) → Comparó requerimiento con bases: similitud 46%, 25 cambio(s) → Leyó requerimiento, página 1</w:t>
            </w:r>
          </w:p>
        </w:tc>
      </w:tr>
    </w:tbl>
    <w:p>
      <w:r>
        <w:t>Consultas a Gemini: 42 · tiempo: 192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47 · tiempo: 191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