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FC" w:rsidRPr="00B759FA" w:rsidRDefault="00B759FA">
      <w:pPr>
        <w:rPr>
          <w:rFonts w:ascii="Times New Roman" w:hAnsi="Times New Roman" w:cs="Times New Roman"/>
          <w:sz w:val="27"/>
          <w:szCs w:val="27"/>
        </w:rPr>
      </w:pPr>
      <w:r w:rsidRPr="00B759FA">
        <w:rPr>
          <w:rFonts w:ascii="Times New Roman" w:hAnsi="Times New Roman" w:cs="Times New Roman"/>
          <w:sz w:val="27"/>
          <w:szCs w:val="27"/>
        </w:rPr>
        <w:t>HTTP FUNDAMENTALS</w:t>
      </w:r>
    </w:p>
    <w:p w:rsidR="00B759FA" w:rsidRPr="00B759FA" w:rsidRDefault="00B759FA" w:rsidP="00B75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 w:rsidRPr="00B759FA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HTTP provides support for other functionalities such as: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 w:rsidRPr="00B759FA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Cache</w:t>
      </w:r>
      <w:r w:rsidRPr="00B759FA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br/>
        <w:t>Content media type (MIME) specification</w:t>
      </w:r>
      <w:r w:rsidRPr="00B759FA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br/>
        <w:t>Language and character set specification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Content or transfer coding – perform some transformation before you send.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Content negotiation – base on content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Client – server Protocol Negotiations – It can negotiate each other switch protocol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Persistent Connections</w:t>
      </w:r>
    </w:p>
    <w:p w:rsid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Request Pipelining or Multiplexing</w:t>
      </w:r>
    </w:p>
    <w:p w:rsidR="00B759FA" w:rsidRPr="00B759FA" w:rsidRDefault="00B759FA" w:rsidP="00B759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Authentication or Authorization</w:t>
      </w:r>
    </w:p>
    <w:p w:rsidR="00B759FA" w:rsidRDefault="00B759FA">
      <w:bookmarkStart w:id="0" w:name="_GoBack"/>
      <w:bookmarkEnd w:id="0"/>
    </w:p>
    <w:sectPr w:rsidR="00B75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03C4"/>
    <w:multiLevelType w:val="multilevel"/>
    <w:tmpl w:val="689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A"/>
    <w:rsid w:val="00A723FC"/>
    <w:rsid w:val="00B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694D"/>
  <w15:chartTrackingRefBased/>
  <w15:docId w15:val="{AFF035C9-120A-47E5-A0A9-8451AFB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2018-02-24T15:43:00Z</dcterms:created>
  <dcterms:modified xsi:type="dcterms:W3CDTF">2018-02-24T15:49:00Z</dcterms:modified>
</cp:coreProperties>
</file>