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0"/>
        </w:rPr>
        <w:t>喜茶 ×《给阿嬷的情书》｜10页汇报提纲（v9收口）</w:t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20"/>
        </w:rPr>
        <w:t>Campaign《心中念你》｜Hero：把一份想念，寄到TA手里｜2026-07-27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01 项目判断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从流量联名到资产联名；喜茶需补「有温度」的关系表达入口。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为何是喜茶：高频年轻触点 + 可即时发生的关系动作（相对传统礼赠/纯文化商品）。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商业灵魂：从喝茶到送茶，从个人消费到关系消费。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02 洞察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核心表达者：22–35（22–28离家求学/初职场；28–35家庭礼赠）。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接受者：父母/长辈等重要关系人。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痛点：有爱，但不知道如何开口。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03 Hero与三场景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Campaign《心中念你》｜Hero：把一份想念，寄到TA手里。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即时：给想念的人，一杯茶｜异地：给想念的人，一盒茶｜留存：写下一句想念。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入口：APP / 小程序 / 外卖送给TA / 电商茶礼。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04 产品三层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现制：念你牛乳茶 / 南枝橄榄茶 / 归信桂花茶。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茶礼：探索可寄达形态（战略工具，非为扩SKU）。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邮局 × 许多句念你。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05 茶礼为何必要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解决现制无法跨地域表达；是送茶成立的必要基础。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示意价仅验证场景，非正式定价。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06 KPI（先卖不卖）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销售：联名销售额、杯量、茶礼、客单。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转化：购买率、礼赠GMV占比、连带购买率、送礼订单占比。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内容资产量级按试点调整，不拍脑袋承诺。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07 执行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华南+沪/京小规模验证；三阶段门禁。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邮局轻互动 + 会员二次触达。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08 视觉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唯一主KV：把一份想念，寄到TA手里。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延展：一杯茶 / 一盒茶 / 写下一句想念。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09 风险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茶礼探索语气；远距不靠现制券；数据脚注化；隐私三选一。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10 收口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从满足「我喜欢喝什么」，到回应「我想把什么送给重要的人」。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Q&amp;A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为何不是瑞幸：高频即时 vs 喜茶东方美学与关系媒介资产。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会给父母买奶茶吗：场景是表达想念；茶礼远距+现制即时。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为何是茶：连接家庭与问候，进入年轻消费场景。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