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Introduzione</w:t>
      </w:r>
      <w:r w:rsidDel="00000000" w:rsidR="00000000" w:rsidRPr="00000000">
        <w:rPr>
          <w:rtl w:val="0"/>
        </w:rPr>
        <w:t xml:space="preserve"> L'attività di testing ha avuto l'obiettivo di osservare come i quattro partecipanti hanno interagito con il prototipo finale, navigando attraverso gli scenari critici predefiniti. L'analisi si concentra sulla descrizione dei comportamenti osservati e delle verbalizzazioni raccolte durante l'esecuzione dei compiti.</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Analisi dello Scenario 1: Identificazione del Guasto</w:t>
      </w:r>
      <w:r w:rsidDel="00000000" w:rsidR="00000000" w:rsidRPr="00000000">
        <w:rPr>
          <w:rtl w:val="0"/>
        </w:rPr>
        <w:t xml:space="preserve"> L'interazione iniziale per l'identificazione del problema tecnico ha mostrato un comportamento coerente tra tutti i partecipanti. Gli utenti hanno dimostrato una chiara intenzionalità, ignorando sistematicamente i contenuti editoriali della Home Page per dirigersi verso la funzione operativa di scansione. L'iconografia e il posizionamento del comando nella barra di navigazione hanno garantito un accesso immediato alla funzionalità. Durante la fase di lettura della diagnosi, gli utenti hanno compreso correttamente la natura del guasto tecnico rilevato dal sistema. È emerso un comportamento di ricerca attiva delle informazioni economiche: in particolare l'Utente 1 e l'Utente 4 hanno verbalizzato l'aspettativa di trovare i costi di riparazione contestualmente alla diagnosi del problema, notando la loro assenza in questa prima schermata.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Analisi dello Scenario 2: Valutazione Strategica</w:t>
      </w:r>
      <w:r w:rsidDel="00000000" w:rsidR="00000000" w:rsidRPr="00000000">
        <w:rPr>
          <w:rtl w:val="0"/>
        </w:rPr>
        <w:t xml:space="preserve"> Il passaggio alla valutazione della riparazione ha richiesto agli utenti di navigare verso la sezione delle guide suggerite per reperire le metriche decisionali mancanti nello step precedente. Una volta acceduti alla schermata di dettaglio, i partecipanti hanno espresso soddisfazione per la chiarezza dei dati presentati. Le indicazioni su tempo e costo sono state determinanti per la scelta dell'Utente 1 e dell'Utente 4. L'Utente 2, identificato come pragmatico, ha utilizzato il parametro di difficoltà (7/10) come filtro decisionale primario, verbalizzando dubbi sulla propria capacità di completare l'operazione, il che conferma l'efficacia delle metriche nel orientare l'utente verso la scelta più idonea alle proprie competenze.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Analisi dello Scenario 3: Gestione dell'Alternativa (Upcycling)</w:t>
      </w:r>
      <w:r w:rsidDel="00000000" w:rsidR="00000000" w:rsidRPr="00000000">
        <w:rPr>
          <w:rtl w:val="0"/>
        </w:rPr>
        <w:t xml:space="preserve"> Nello scenario dedicato al riciclo creativo, i partecipanti sono riusciti a individuare il percorso alternativo tornando alla schermata di diagnosi. L'Utente 1 ha notato la gerarchia visiva del collegamento testuale rispetto alle azioni primarie. L'interazione con i contenuti delle schede di upcycling ha suscitato reazioni diverse: mentre l'Utente 3 è stato ingaggiato positivamente dagli aspetti visivi e ispirazionali del risultato finale, l'Utente 2 ha focalizzato l'attenzione sugli aspetti tecnici, segnalando l'assenza di dettagli visivi specifici per le procedure di sicurezza durante lo smontaggio dell'oggetto.</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Analisi degli Scenari 4 e 5: Creazione e Pubblicazione</w:t>
      </w:r>
      <w:r w:rsidDel="00000000" w:rsidR="00000000" w:rsidRPr="00000000">
        <w:rPr>
          <w:rtl w:val="0"/>
        </w:rPr>
        <w:t xml:space="preserve"> La fase di creazione dei contenuti ha messo in luce l'efficacia delle soluzioni di input rapido. L'utilizzo dei suggerimenti precompilati per l'inserimento dei materiali è stato validato positivamente dagli utenti, che ne hanno apprezzato la velocità. Tuttavia, l'interazione ha mostrato variazioni quando gli utenti sono usciti dai percorsi standard: l'Utente 2, tentando una ricerca manuale, ha mostrato esitazione nel confermare l'inserimento in assenza di un comando esplicito. Nella fase conclusiva di caricamento e pubblicazione, è stata osservata una specifica frizione nell'interazione con il tasto di avanzamento posizionato sopra la barra di navigazione. Sia l'Utente 2 che l'Utente 4 hanno verbalizzato una momentanea confusione, rischiando di sovrapporre l'azione di pubblicazione con il ritorno alla Home Page, richiedendo un maggiore sforzo cognitivo per individuare la corretta call-to-action finale.</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