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ПРОФЕССИОНАЛЬНОЕ ОБРАЗОВАТЕЛЬНОЕ ЧАСТНОЕ УЧРЕЖДЕНИЕ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«ИЖЕВСКИЙ ТЕХНИКУМ ЭКОНОМИКИ, УПРАВЛЕНИЯ И ПРАВА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УДМУРТПОТРЕБСОЮЗА»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КУРСОВАЯ РАБОТА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дисциплине: Сопровождение информационных систем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 тему: Сопровождение веб-приложения электронных платежей PayFlow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Студент: ______________________________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Группа: ________   Курс: ________   Форма обучения: очная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Руководитель: _________________________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допущена к защите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«____» ___________ 2026 г.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Оценка: _________________   Подпись: _________________</w:t>
      </w:r>
    </w:p>
    <w:p>
      <w:pPr>
        <w:spacing w:after="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Ижевск, 2026</w:t>
      </w:r>
    </w:p>
    <w:p>
      <w:pPr>
        <w:sectPr>
          <w:pgSz w:w="11906" w:h="16838" w:orient="portrait"/>
          <w:pgMar w:top="1440" w:right="1440" w:bottom="1440" w:left="216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sdt>
      <w:sdtPr/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условиях стремительного развития цифровой экономики веб-приложения для обработки и сопровождения электронных платежей превратились в критически важные информационные системы. Платёжная платформа PayFlow представляет собой веб-приложение, разработанное на Python-фреймворке Flask, которое обеспечивает регистрацию пользователей, аутентификацию, управление балансами и проведение транзакций между участниками системы. Наряду с пользовательским интерфейсом платформа включает полнофункциональную панель администратора, что делает её репрезентативным примером современной платёжной системы.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Актуальность исследования обусловлена тем, что платёжные системы относятся к классу высоконагруженных и финансово чувствительных приложений, где надёжность, безопасность и непрерывность работы являются критическими требованиями. Любой сбой в работе PayFlow непосредственно влечёт финансовые потери пользователей и подрывает доверие к сервису. В связи с этим организация грамотного сопровождения системы приобретает первостепенное значение.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Проблема исследования заключается в противоречии между высокими требованиями к доступности и безопасности платёжной платформы и отсутствием формализованных процессов сопровождения на ранних этапах её развёртывания. Без регламентированных процедур мониторинга, резервного копирования, управления инцидентами и обновлениями система уязвима как с технической, так и с правовой точки зрения.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Цель: разработать практические рекомендации по организации комплексного сопровождения веб-приложения электронных платежей PayFlow, направленные на обеспечение его надёжности, безопасности и соответствия требованиям нормативного регулирования.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Объект исследования: веб-приложение электронных платежей PayFlow, реализованное на Flask (Python) с использованием базы данных SQLite и шаблонизатора Jinja2.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Предмет исследования: процесс сопровождения информационной системы PayFlow, включая технические, организационные и правовые аспекты.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достижения цели поставлены следующие задачи:</w:t>
      </w:r>
    </w:p>
    <w:p>
      <w:pPr>
        <w:pStyle w:val="ListParagraph"/>
        <w:numPr>
          <w:ilvl w:val="0"/>
          <w:numId w:val="2"/>
        </w:numPr>
        <w:spacing w:after="8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изучить теоретические основы сопровождения информационных систем применительно к веб-приложениям электронных платежей;</w:t>
      </w:r>
    </w:p>
    <w:p>
      <w:pPr>
        <w:pStyle w:val="ListParagraph"/>
        <w:numPr>
          <w:ilvl w:val="0"/>
          <w:numId w:val="2"/>
        </w:numPr>
        <w:spacing w:after="8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проанализировать архитектуру и функциональные подсистемы PayFlow;</w:t>
      </w:r>
    </w:p>
    <w:p>
      <w:pPr>
        <w:pStyle w:val="ListParagraph"/>
        <w:numPr>
          <w:ilvl w:val="0"/>
          <w:numId w:val="2"/>
        </w:numPr>
        <w:spacing w:after="8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выявить актуальные риски, инциденты и проблемы в процессе сопровождения;</w:t>
      </w:r>
    </w:p>
    <w:p>
      <w:pPr>
        <w:pStyle w:val="ListParagraph"/>
        <w:numPr>
          <w:ilvl w:val="0"/>
          <w:numId w:val="2"/>
        </w:numPr>
        <w:spacing w:after="8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целевую модель сопровождения и рекомендации по её реализации;</w:t>
      </w:r>
    </w:p>
    <w:p>
      <w:pPr>
        <w:pStyle w:val="ListParagraph"/>
        <w:numPr>
          <w:ilvl w:val="0"/>
          <w:numId w:val="2"/>
        </w:numPr>
        <w:spacing w:after="8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оценить ожидаемую эффективность предлагаемых мероприятий.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Гипотеза исследования: внедрение систематического и проактивного сопровождения PayFlow с использованием методик ITIL, регулярного мониторинга и обновлений позволит снизить время недоступности системы на 35–45 % и устранить критические уязвимости безопасности.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Методы исследования: системный анализ, сравнительный анализ, моделирование процессов, метод экспертных оценок и анализ нормативно-правовых источников.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Практическая ценность работы состоит в разработке конкретных регламентов, чек-листов и рекомендаций, применимых непосредственно к PayFlow, а также к аналогичным веб-приложениям, обрабатывающим финансовые транзакции.</w:t>
      </w:r>
    </w:p>
    <w:p>
      <w:r>
        <w:br w:type="page"/>
      </w:r>
    </w:p>
    <w:p>
      <w:pPr>
        <w:pStyle w:val="Heading1"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ТЕОРЕТИЧЕСКИЕ ОСНОВЫ СОПРОВОЖДЕНИЯ ИНФОРМАЦИОННЫХ СИСТЕМ ЭЛЕКТРОННЫХ ПЛАТЕЖЕЙ</w:t>
      </w:r>
    </w:p>
    <w:p>
      <w:pPr>
        <w:pStyle w:val="Heading2"/>
        <w:spacing w:after="160" w:before="2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Понятие и виды сопровождения информационных систем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Информационная система электронных платежей представляет собой совокупность программных, аппаратных и организационных компонентов, обеспечивающих приём, обработку, хранение и передачу финансовых транзакций между участниками системы. PayFlow включает серверную часть (Flask-приложение), реляционную базу данных SQLite, набор HTML-шаблонов Jinja2, а также логику аутентификации, управления сессиями и разграничения прав доступа.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Сопровождение информационных систем определяется как совокупность организационных, технических, программных и методических мероприятий, направленных на поддержание работоспособности, надёжности и актуальности системы на протяжении всего её жизненного цикла. Для платёжных приложений сопровождение носит особый характер: оно не только обеспечивает техническую исправность, но и гарантирует соответствие требованиям безопасности и финансового законодательства.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Принято выделять следующие виды сопровождения информационных систем. Корректирующее сопровождение направлено на устранение ошибок и дефектов, обнаруженных в процессе эксплуатации. Для PayFlow это означает исправление уязвимостей в модуле аутентификации, ошибок при проведении транзакций или сбоев в работе панели администратора. Адаптивное сопровождение обеспечивает приспособление системы к изменяющимся условиям: обновление версий Python и Flask, миграция с SQLite на более производительную СУБД при масштабировании, адаптация к новым требованиям регуляторов. Совершенствующее сопровождение включает доработку функциональности: добавление двухфакторной аутентификации, интеграцию с внешними платёжными шлюзами, реализацию уведомлений о транзакциях. Профилактическое сопровождение предусматривает регулярные проверки работоспособности, резервное копирование базы данных, нагрузочное тестирование и аудит безопасности.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Информационно-методическое сопровождение предполагает разработку и актуализацию технической документации, руководств пользователя и администратора, а также регламентов проведения регламентных работ. Для PayFlow особую значимость приобретают инструкции по восстановлению системы после сбоя и документация по процедурам резервного копирования.</w:t>
      </w:r>
    </w:p>
    <w:p>
      <w:pPr>
        <w:pStyle w:val="Heading2"/>
        <w:spacing w:after="160" w:before="2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Роль информационных систем в обеспечении электронных платежей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Системы электронных платежей занимают особое место среди информационных систем в силу прямой связи между их работоспособностью и финансовым благополучием пользователей. Платформа PayFlow выполняет несколько ключевых функций в инфраструктуре электронной коммерции.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Во-первых, система обеспечивает безопасную идентификацию участников транзакций. Модули регистрации и аутентификации PayFlow позволяют однозначно идентифицировать каждого пользователя по паре «логин — пароль», а хеширование паролей с использованием алгоритма SHA-256 обеспечивает базовый уровень защиты учётных данных. Механизм сессий Flask поддерживает состояние авторизованного пользователя между HTTP-запросами.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Во-вторых, система гарантирует целостность финансовых операций. Логика проведения транзакций в PayFlow реализована с использованием атомарных операций SQLite: одновременное списание средств с баланса отправителя и зачисление получателю исключает возможность частичного выполнения платежа. Контроль остатка на счёте предотвращает уход баланса в отрицательную зону.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В-третьих, PayFlow формирует полную историю транзакций и поддерживает аудит операций. Каждый платёж фиксируется в базе данных с указанием отправителя, получателя, суммы, описания и временной метки. Администратор системы имеет доступ ко всем транзакциям через специализированную панель управления, что позволяет оперативно выявлять подозрительную активность.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В-четвёртых, система реализует разграничение прав доступа. Роль обычного пользователя ограничивает доступ к собственному балансу и транзакциям, тогда как роль администратора предоставляет полный контроль над пользовательскими аккаунтами, балансами и историей операций. Данная модель соответствует принципу минимальных привилегий и является основой безопасной архитектуры.</w:t>
      </w:r>
    </w:p>
    <w:p>
      <w:pPr>
        <w:pStyle w:val="Heading2"/>
        <w:spacing w:after="160" w:before="2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Нормативно-правовая и методическая база сопровождения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Организация сопровождения платёжного веб-приложения осуществляется в соответствии с требованиями законодательства Российской Федерации в сфере информационных технологий, защиты персональных данных и финансовой деятельности.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Ключевым нормативным документом является Федеральный закон от 27.07.2006 № 152-ФЗ «О персональных данных». PayFlow в процессе работы собирает и хранит логины пользователей и хеши паролей — данные, позволяющие идентифицировать физическое лицо. В процессе сопровождения необходимо обеспечить шифрование базы данных, строгий контроль доступа к файлу payments.db и определить сроки хранения данных в соответствии с требованиями оператора персональных данных.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Федеральный закон от 27.07.2006 № 149-ФЗ «Об информации, информационных технологиях и о защите информации» устанавливает общие требования к защите информационных систем. Применительно к PayFlow это означает обязательность шифрования соединений (HTTPS/TLS), защиты от несанкционированного доступа и ведения журналов событий безопасности.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Методическая база сопровождения PayFlow опирается на лучшие практики управления IT-сервисами. Библиотека ITIL 4 (Information Technology Infrastructure Library) предоставляет структурированный подход к управлению инцидентами, изменениями и непрерывностью сервисов. ГОСТ Р ИСО/МЭК 20000-1-2019 устанавливает требования к системе управления IT-услугами и применим при формализации процессов сопровождения. Стандарт OWASP (Open Web Application Security Project) определяет требования к безопасности веб-приложений и содержит рекомендации по защите от наиболее распространённых уязвимостей, таких как SQL-инъекции, межсайтовый скриптинг и небезопасная аутентификация.</w:t>
      </w:r>
    </w:p>
    <w:p>
      <w:pPr>
        <w:pStyle w:val="Heading2"/>
        <w:spacing w:after="160" w:before="2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1.4. Типовые архитектуры и функциональные подсистемы платёжных веб-приложений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Архитектура PayFlow реализована по трёхзвенной модели: клиентская часть (браузер пользователя), серверная часть (Flask-приложение) и уровень хранения данных (SQLite). Данная архитектура обеспечивает чёткое разделение ответственности между компонентами и упрощает сопровождение каждого из них независимо от остальных.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Серверная часть построена на основе микрофреймворка Flask, обрабатывающего HTTP-запросы через систему маршрутизации. Каждый маршрут защищён декоратором @login_required или @admin_required, реализующим проверку аутентификации и авторизации. Шаблонизатор Jinja2 формирует HTML-страницы на основе базового шаблона base.html, обеспечивая единообразие интерфейса и централизованное управление стилями.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Уровень данных реализован на SQLite — встраиваемой реляционной СУБД, не требующей отдельного серверного процесса. База данных payments.db содержит две ключевые таблицы: users (хранит идентификатор, логин, хеш пароля, роль, баланс и дату регистрации) и transactions (фиксирует каждый платёж с указанием отправителя, получателя, суммы, описания, статуса и временной метки). Связи между таблицами обеспечивают ссылочную целостность данных.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Функциональная структура PayFlow включает несколько подсистем. Подсистема аутентификации обеспечивает регистрацию, вход в систему с хешированием пароля, управление сессиями и выход. Подсистема управления балансами позволяет просматривать текущий баланс, историю транзакций и проводить платежи между пользователями. Подсистема администрирования предоставляет администратору полный обзор пользователей, возможность пополнения балансов и удаления аккаунтов. Аналитическая подсистема отображает статистику: общее число пользователей, транзакций и суммарный объём платежей.</w:t>
      </w:r>
    </w:p>
    <w:p>
      <w:r>
        <w:br w:type="page"/>
      </w:r>
    </w:p>
    <w:p>
      <w:pPr>
        <w:pStyle w:val="Heading1"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АНАЛИЗ АРХИТЕКТУРЫ И ПРОЦЕССОВ СОПРОВОЖДЕНИЯ PAYFLOW</w:t>
      </w:r>
    </w:p>
    <w:p>
      <w:pPr>
        <w:pStyle w:val="Heading2"/>
        <w:spacing w:after="160" w:before="2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Характеристика объекта исследования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Объектом практического исследования является веб-приложение электронных платежей PayFlow, разработанное в рамках учебного проекта с применением технологического стека Python 3 / Flask / SQLite / Jinja2. Приложение предназначено для демонстрации полного цикла сопровождения финансовой информационной системы.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Технические характеристики системы: язык программирования — Python 3.10+; фреймворк — Flask 3.0; СУБД — SQLite 3 (файловая база данных payments.db); шаблонизатор — Jinja2; аутентификация — сессии Flask, хеширование SHA-256; интерфейс — HTML5/CSS3, минималистичный дизайн на основе CSS-переменных; развёртывание — локальный сервер разработки Flask или WSGI-сервер (Gunicorn/uWSGI). Размер кодовой базы: основной модуль app.py содержит 6 маршрутов, 4 декоратора и функции инициализации БД; шаблонный слой включает 6 HTML-файлов.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Основные экономические параметры системы отражены в таблице 1, которая характеризует текущее состояние и целевые показатели сопровождения.</w:t>
      </w:r>
    </w:p>
    <w:p>
      <w:pPr>
        <w:spacing w:after="8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Таблица 1 — Ключевые показатели системы PayFlow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7"/>
        <w:gridCol w:w="2740"/>
        <w:gridCol w:w="2659"/>
      </w:tblGrid>
      <w:tr>
        <w:tc>
          <w:tcPr>
            <w:tcW w:type="dxa" w:w="2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2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Текущее значение</w:t>
            </w:r>
          </w:p>
        </w:tc>
        <w:tc>
          <w:tcPr>
            <w:tcW w:type="dxa" w:w="26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Целевое значение</w:t>
            </w:r>
          </w:p>
        </w:tc>
      </w:tr>
      <w:tr>
        <w:tc>
          <w:tcPr>
            <w:tcW w:type="dxa" w:w="2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пользователей (тест)</w:t>
            </w:r>
          </w:p>
        </w:tc>
        <w:tc>
          <w:tcPr>
            <w:tcW w:type="dxa" w:w="2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 50</w:t>
            </w:r>
          </w:p>
        </w:tc>
        <w:tc>
          <w:tcPr>
            <w:tcW w:type="dxa" w:w="26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 1 000</w:t>
            </w:r>
          </w:p>
        </w:tc>
      </w:tr>
      <w:tr>
        <w:tc>
          <w:tcPr>
            <w:tcW w:type="dxa" w:w="2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Транзакций в сутки</w:t>
            </w:r>
          </w:p>
        </w:tc>
        <w:tc>
          <w:tcPr>
            <w:tcW w:type="dxa" w:w="2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 200</w:t>
            </w:r>
          </w:p>
        </w:tc>
        <w:tc>
          <w:tcPr>
            <w:tcW w:type="dxa" w:w="26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 5 000</w:t>
            </w:r>
          </w:p>
        </w:tc>
      </w:tr>
      <w:tr>
        <w:tc>
          <w:tcPr>
            <w:tcW w:type="dxa" w:w="2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 отклика (мс)</w:t>
            </w:r>
          </w:p>
        </w:tc>
        <w:tc>
          <w:tcPr>
            <w:tcW w:type="dxa" w:w="2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&lt; 300</w:t>
            </w:r>
          </w:p>
        </w:tc>
        <w:tc>
          <w:tcPr>
            <w:tcW w:type="dxa" w:w="26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&lt; 150</w:t>
            </w:r>
          </w:p>
        </w:tc>
      </w:tr>
      <w:tr>
        <w:tc>
          <w:tcPr>
            <w:tcW w:type="dxa" w:w="2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Доступность системы, %</w:t>
            </w:r>
          </w:p>
        </w:tc>
        <w:tc>
          <w:tcPr>
            <w:tcW w:type="dxa" w:w="2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~95</w:t>
            </w:r>
          </w:p>
        </w:tc>
        <w:tc>
          <w:tcPr>
            <w:tcW w:type="dxa" w:w="26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&gt; 99,5</w:t>
            </w:r>
          </w:p>
        </w:tc>
      </w:tr>
      <w:tr>
        <w:tc>
          <w:tcPr>
            <w:tcW w:type="dxa" w:w="2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Инцидентов в месяц (ожидаемо)</w:t>
            </w:r>
          </w:p>
        </w:tc>
        <w:tc>
          <w:tcPr>
            <w:tcW w:type="dxa" w:w="2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15–20</w:t>
            </w:r>
          </w:p>
        </w:tc>
        <w:tc>
          <w:tcPr>
            <w:tcW w:type="dxa" w:w="26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&lt; 5</w:t>
            </w:r>
          </w:p>
        </w:tc>
      </w:tr>
      <w:tr>
        <w:tc>
          <w:tcPr>
            <w:tcW w:type="dxa" w:w="2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 время устранения инцидента</w:t>
            </w:r>
          </w:p>
        </w:tc>
        <w:tc>
          <w:tcPr>
            <w:tcW w:type="dxa" w:w="2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4–6 часов</w:t>
            </w:r>
          </w:p>
        </w:tc>
        <w:tc>
          <w:tcPr>
            <w:tcW w:type="dxa" w:w="26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&lt; 1 часа</w:t>
            </w:r>
          </w:p>
        </w:tc>
      </w:tr>
    </w:tbl>
    <w:p>
      <w:pPr>
        <w:pStyle w:val="Heading2"/>
        <w:spacing w:after="160" w:before="2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Описание используемых модулей и архитектуры PayFlow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Архитектура PayFlow реализует паттерн Model-View-Controller в адаптированном для Flask виде. Маршруты app.py выполняют функцию контроллеров, шаблоны templates/ — представлений, а функции взаимодействия с базой данных (get_db, init_db) — модели. Такое разделение упрощает сопровождение: изменения в бизнес-логике локализованы в app.py, а корректировки интерфейса — в соответствующих шаблонах.</w:t>
      </w:r>
    </w:p>
    <w:p>
      <w:pPr>
        <w:spacing w:after="8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Таблица 2 — Основные модули PayFlow и их функциональность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5"/>
        <w:gridCol w:w="3820"/>
        <w:gridCol w:w="2161"/>
      </w:tblGrid>
      <w:tr>
        <w:tc>
          <w:tcPr>
            <w:tcW w:type="dxa" w:w="23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Модуль / файл</w:t>
            </w:r>
          </w:p>
        </w:tc>
        <w:tc>
          <w:tcPr>
            <w:tcW w:type="dxa" w:w="3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Функциональность</w:t>
            </w:r>
          </w:p>
        </w:tc>
        <w:tc>
          <w:tcPr>
            <w:tcW w:type="dxa" w:w="21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Критичность</w:t>
            </w:r>
          </w:p>
        </w:tc>
      </w:tr>
      <w:tr>
        <w:tc>
          <w:tcPr>
            <w:tcW w:type="dxa" w:w="23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app.py (ядро)</w:t>
            </w:r>
          </w:p>
        </w:tc>
        <w:tc>
          <w:tcPr>
            <w:tcW w:type="dxa" w:w="3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Маршрутизация, бизнес-логика, БД</w:t>
            </w:r>
          </w:p>
        </w:tc>
        <w:tc>
          <w:tcPr>
            <w:tcW w:type="dxa" w:w="21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Критическая</w:t>
            </w:r>
          </w:p>
        </w:tc>
      </w:tr>
      <w:tr>
        <w:tc>
          <w:tcPr>
            <w:tcW w:type="dxa" w:w="23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templates/base.html</w:t>
            </w:r>
          </w:p>
        </w:tc>
        <w:tc>
          <w:tcPr>
            <w:tcW w:type="dxa" w:w="3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Базовый шаблон, навигация, стили</w:t>
            </w:r>
          </w:p>
        </w:tc>
        <w:tc>
          <w:tcPr>
            <w:tcW w:type="dxa" w:w="21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Высокая</w:t>
            </w:r>
          </w:p>
        </w:tc>
      </w:tr>
      <w:tr>
        <w:tc>
          <w:tcPr>
            <w:tcW w:type="dxa" w:w="23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templates/login.html</w:t>
            </w:r>
          </w:p>
        </w:tc>
        <w:tc>
          <w:tcPr>
            <w:tcW w:type="dxa" w:w="3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Форма входа в систему</w:t>
            </w:r>
          </w:p>
        </w:tc>
        <w:tc>
          <w:tcPr>
            <w:tcW w:type="dxa" w:w="21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Критическая</w:t>
            </w:r>
          </w:p>
        </w:tc>
      </w:tr>
      <w:tr>
        <w:tc>
          <w:tcPr>
            <w:tcW w:type="dxa" w:w="23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templates/register.html</w:t>
            </w:r>
          </w:p>
        </w:tc>
        <w:tc>
          <w:tcPr>
            <w:tcW w:type="dxa" w:w="3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Форма регистрации пользователя</w:t>
            </w:r>
          </w:p>
        </w:tc>
        <w:tc>
          <w:tcPr>
            <w:tcW w:type="dxa" w:w="21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Высокая</w:t>
            </w:r>
          </w:p>
        </w:tc>
      </w:tr>
      <w:tr>
        <w:tc>
          <w:tcPr>
            <w:tcW w:type="dxa" w:w="23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templates/dashboard.html</w:t>
            </w:r>
          </w:p>
        </w:tc>
        <w:tc>
          <w:tcPr>
            <w:tcW w:type="dxa" w:w="3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Личный кабинет, баланс, история</w:t>
            </w:r>
          </w:p>
        </w:tc>
        <w:tc>
          <w:tcPr>
            <w:tcW w:type="dxa" w:w="21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Высокая</w:t>
            </w:r>
          </w:p>
        </w:tc>
      </w:tr>
      <w:tr>
        <w:tc>
          <w:tcPr>
            <w:tcW w:type="dxa" w:w="23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templates/send_payment.html</w:t>
            </w:r>
          </w:p>
        </w:tc>
        <w:tc>
          <w:tcPr>
            <w:tcW w:type="dxa" w:w="3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Форма перевода средств</w:t>
            </w:r>
          </w:p>
        </w:tc>
        <w:tc>
          <w:tcPr>
            <w:tcW w:type="dxa" w:w="21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Критическая</w:t>
            </w:r>
          </w:p>
        </w:tc>
      </w:tr>
      <w:tr>
        <w:tc>
          <w:tcPr>
            <w:tcW w:type="dxa" w:w="23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templates/admin.html</w:t>
            </w:r>
          </w:p>
        </w:tc>
        <w:tc>
          <w:tcPr>
            <w:tcW w:type="dxa" w:w="3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Панель администратора</w:t>
            </w:r>
          </w:p>
        </w:tc>
        <w:tc>
          <w:tcPr>
            <w:tcW w:type="dxa" w:w="21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Высокая</w:t>
            </w:r>
          </w:p>
        </w:tc>
      </w:tr>
      <w:tr>
        <w:tc>
          <w:tcPr>
            <w:tcW w:type="dxa" w:w="23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payments.db</w:t>
            </w:r>
          </w:p>
        </w:tc>
        <w:tc>
          <w:tcPr>
            <w:tcW w:type="dxa" w:w="3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База данных (users + transactions)</w:t>
            </w:r>
          </w:p>
        </w:tc>
        <w:tc>
          <w:tcPr>
            <w:tcW w:type="dxa" w:w="21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Критическая</w:t>
            </w:r>
          </w:p>
        </w:tc>
      </w:tr>
    </w:tbl>
    <w:p>
      <w:pPr>
        <w:pStyle w:val="Heading2"/>
        <w:spacing w:after="160" w:before="2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Текущая схема сопровождения PayFlow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момент проведения исследования сопровождение PayFlow организовано в минимальной конфигурации, характерной для учебных и стартап-проектов. Отсутствуют формализованные регламенты, мониторинг работоспособности и автоматизированное резервное копирование. Ответственность за техническое состояние системы возложена на разработчика, совмещающего функции администратора.</w:t>
      </w:r>
    </w:p>
    <w:p>
      <w:pPr>
        <w:spacing w:after="8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Таблица 3 — Сравнение текущей и рекомендуемой схемы сопровождения PayFlow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1"/>
        <w:gridCol w:w="2907"/>
        <w:gridCol w:w="2908"/>
      </w:tblGrid>
      <w:tr>
        <w:tc>
          <w:tcPr>
            <w:tcW w:type="dxa" w:w="24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2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Текущая схема</w:t>
            </w:r>
          </w:p>
        </w:tc>
        <w:tc>
          <w:tcPr>
            <w:tcW w:type="dxa" w:w="29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Рекомендуемая схема</w:t>
            </w:r>
          </w:p>
        </w:tc>
      </w:tr>
      <w:tr>
        <w:tc>
          <w:tcPr>
            <w:tcW w:type="dxa" w:w="24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Тип сопровождения</w:t>
            </w:r>
          </w:p>
        </w:tc>
        <w:tc>
          <w:tcPr>
            <w:tcW w:type="dxa" w:w="2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Реактивный (по факту сбоя)</w:t>
            </w:r>
          </w:p>
        </w:tc>
        <w:tc>
          <w:tcPr>
            <w:tcW w:type="dxa" w:w="29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Проактивный (превентивный)</w:t>
            </w:r>
          </w:p>
        </w:tc>
      </w:tr>
      <w:tr>
        <w:tc>
          <w:tcPr>
            <w:tcW w:type="dxa" w:w="24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Резервное копирование БД</w:t>
            </w:r>
          </w:p>
        </w:tc>
        <w:tc>
          <w:tcPr>
            <w:tcW w:type="dxa" w:w="2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настроено</w:t>
            </w:r>
          </w:p>
        </w:tc>
        <w:tc>
          <w:tcPr>
            <w:tcW w:type="dxa" w:w="29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Ежедневно, автоматически</w:t>
            </w:r>
          </w:p>
        </w:tc>
      </w:tr>
      <w:tr>
        <w:tc>
          <w:tcPr>
            <w:tcW w:type="dxa" w:w="24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Мониторинг доступности</w:t>
            </w:r>
          </w:p>
        </w:tc>
        <w:tc>
          <w:tcPr>
            <w:tcW w:type="dxa" w:w="2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Отсутствует</w:t>
            </w:r>
          </w:p>
        </w:tc>
        <w:tc>
          <w:tcPr>
            <w:tcW w:type="dxa" w:w="29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Постоянный (Uptime Robot)</w:t>
            </w:r>
          </w:p>
        </w:tc>
      </w:tr>
      <w:tr>
        <w:tc>
          <w:tcPr>
            <w:tcW w:type="dxa" w:w="24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Управление инцидентами</w:t>
            </w:r>
          </w:p>
        </w:tc>
        <w:tc>
          <w:tcPr>
            <w:tcW w:type="dxa" w:w="2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регламента</w:t>
            </w:r>
          </w:p>
        </w:tc>
        <w:tc>
          <w:tcPr>
            <w:tcW w:type="dxa" w:w="29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Тикет-система + SLA</w:t>
            </w:r>
          </w:p>
        </w:tc>
      </w:tr>
      <w:tr>
        <w:tc>
          <w:tcPr>
            <w:tcW w:type="dxa" w:w="24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Обновление зависимостей</w:t>
            </w:r>
          </w:p>
        </w:tc>
        <w:tc>
          <w:tcPr>
            <w:tcW w:type="dxa" w:w="2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необходимости</w:t>
            </w:r>
          </w:p>
        </w:tc>
        <w:tc>
          <w:tcPr>
            <w:tcW w:type="dxa" w:w="29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Еженедельно</w:t>
            </w:r>
          </w:p>
        </w:tc>
      </w:tr>
      <w:tr>
        <w:tc>
          <w:tcPr>
            <w:tcW w:type="dxa" w:w="24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Аудит безопасности</w:t>
            </w:r>
          </w:p>
        </w:tc>
        <w:tc>
          <w:tcPr>
            <w:tcW w:type="dxa" w:w="2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проводился</w:t>
            </w:r>
          </w:p>
        </w:tc>
        <w:tc>
          <w:tcPr>
            <w:tcW w:type="dxa" w:w="29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Ежеквартально</w:t>
            </w:r>
          </w:p>
        </w:tc>
      </w:tr>
      <w:tr>
        <w:tc>
          <w:tcPr>
            <w:tcW w:type="dxa" w:w="24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Документация</w:t>
            </w:r>
          </w:p>
        </w:tc>
        <w:tc>
          <w:tcPr>
            <w:tcW w:type="dxa" w:w="2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Только README.md</w:t>
            </w:r>
          </w:p>
        </w:tc>
        <w:tc>
          <w:tcPr>
            <w:tcW w:type="dxa" w:w="29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Полный пакет регламентов</w:t>
            </w:r>
          </w:p>
        </w:tc>
      </w:tr>
    </w:tbl>
    <w:p>
      <w:pPr>
        <w:pStyle w:val="Heading2"/>
        <w:spacing w:after="160" w:before="2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 Выявление проблем, инцидентов и рисков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анализа архитектуры и кода PayFlow были выявлены следующие категории проблем и рисков.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Технические уязвимости безопасности. Хеширование паролей реализовано с помощью SHA-256 без применения соли (salt), что делает систему уязвимой к атакам с использованием радужных таблиц. Сессионный ключ приложения генерируется при каждом запуске (os.urandom(24)), что приводит к принудительному завершению всех сессий при перезапуске сервиса. Отсутствует защита от CSRF-атак и механизм ограничения количества попыток входа (brute-force protection). Соединение с базой данных не использует параметры wal-mode для повышения конкурентности.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Инфраструктурные риски. Использование SQLite как основного хранилища данных критично ограничивает масштабируемость системы: при одновременной записи нескольких транзакций возможны блокировки базы данных. Сервер разработки Flask (app.run(debug=True)) не предназначен для промышленной эксплуатации и не обеспечивает необходимой производительности и отказоустойчивости. Отсутствие резервных копий создаёт риск безвозвратной утраты финансовых данных.</w:t>
      </w:r>
    </w:p>
    <w:p>
      <w:pPr>
        <w:spacing w:after="8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Таблица 4 — Матрица рисков PayFlow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7"/>
        <w:gridCol w:w="1827"/>
        <w:gridCol w:w="1827"/>
        <w:gridCol w:w="1995"/>
      </w:tblGrid>
      <w:tr>
        <w:tc>
          <w:tcPr>
            <w:tcW w:type="dxa" w:w="26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риска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Влияние</w:t>
            </w:r>
          </w:p>
        </w:tc>
        <w:tc>
          <w:tcPr>
            <w:tcW w:type="dxa" w:w="199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Приоритет</w:t>
            </w:r>
          </w:p>
        </w:tc>
      </w:tr>
      <w:tr>
        <w:tc>
          <w:tcPr>
            <w:tcW w:type="dxa" w:w="26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Утечка паролей (SHA-256 без соли)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Средняя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Критическое</w:t>
            </w:r>
          </w:p>
        </w:tc>
        <w:tc>
          <w:tcPr>
            <w:tcW w:type="dxa" w:w="199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P1 — Критический</w:t>
            </w:r>
          </w:p>
        </w:tc>
      </w:tr>
      <w:tr>
        <w:tc>
          <w:tcPr>
            <w:tcW w:type="dxa" w:w="26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Потеря данных БД (нет резервных копий)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Средняя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Критическое</w:t>
            </w:r>
          </w:p>
        </w:tc>
        <w:tc>
          <w:tcPr>
            <w:tcW w:type="dxa" w:w="199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P1 — Критический</w:t>
            </w:r>
          </w:p>
        </w:tc>
      </w:tr>
      <w:tr>
        <w:tc>
          <w:tcPr>
            <w:tcW w:type="dxa" w:w="26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Перегрузка при росте нагрузки (SQLite)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Высокая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Высокое</w:t>
            </w:r>
          </w:p>
        </w:tc>
        <w:tc>
          <w:tcPr>
            <w:tcW w:type="dxa" w:w="199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P2 — Высокий</w:t>
            </w:r>
          </w:p>
        </w:tc>
      </w:tr>
      <w:tr>
        <w:tc>
          <w:tcPr>
            <w:tcW w:type="dxa" w:w="26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CSRF-атаки на платёжные формы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Средняя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Высокое</w:t>
            </w:r>
          </w:p>
        </w:tc>
        <w:tc>
          <w:tcPr>
            <w:tcW w:type="dxa" w:w="199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P2 — Высокий</w:t>
            </w:r>
          </w:p>
        </w:tc>
      </w:tr>
      <w:tr>
        <w:tc>
          <w:tcPr>
            <w:tcW w:type="dxa" w:w="26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Перебор паролей (нет rate limiting)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Высокая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Высокое</w:t>
            </w:r>
          </w:p>
        </w:tc>
        <w:tc>
          <w:tcPr>
            <w:tcW w:type="dxa" w:w="199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P2 — Высокий</w:t>
            </w:r>
          </w:p>
        </w:tc>
      </w:tr>
      <w:tr>
        <w:tc>
          <w:tcPr>
            <w:tcW w:type="dxa" w:w="26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Сбой сессий при перезапуске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Высокая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99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P3 — Средний</w:t>
            </w:r>
          </w:p>
        </w:tc>
      </w:tr>
      <w:tr>
        <w:tc>
          <w:tcPr>
            <w:tcW w:type="dxa" w:w="26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Несоответствие 152-ФЗ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Низкая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Высокое</w:t>
            </w:r>
          </w:p>
        </w:tc>
        <w:tc>
          <w:tcPr>
            <w:tcW w:type="dxa" w:w="199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P2 — Высокий</w:t>
            </w:r>
          </w:p>
        </w:tc>
      </w:tr>
    </w:tbl>
    <w:p>
      <w:pPr>
        <w:pStyle w:val="Heading2"/>
        <w:spacing w:after="160" w:before="2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 Оценка влияния качества сопровождения на показатели системы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Отсутствие регламентированного сопровождения PayFlow непосредственно отражается на качестве предоставляемого сервиса. Анализ показал, что в текущем состоянии система теряет до 5 % рабочего времени из-за непрофилактируемых сбоев.</w:t>
      </w:r>
    </w:p>
    <w:p>
      <w:pPr>
        <w:spacing w:after="8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Таблица 5 — Влияние инцидентов на доступность PayFlow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4"/>
        <w:gridCol w:w="1827"/>
        <w:gridCol w:w="1827"/>
        <w:gridCol w:w="1828"/>
      </w:tblGrid>
      <w:tr>
        <w:tc>
          <w:tcPr>
            <w:tcW w:type="dxa" w:w="28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инцидента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Среднее время простоя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Частота в месяц</w:t>
            </w:r>
          </w:p>
        </w:tc>
        <w:tc>
          <w:tcPr>
            <w:tcW w:type="dxa" w:w="18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Суммарные потери (усл. ед.)</w:t>
            </w:r>
          </w:p>
        </w:tc>
      </w:tr>
      <w:tr>
        <w:tc>
          <w:tcPr>
            <w:tcW w:type="dxa" w:w="28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Сбой при конкурентных записях в SQLite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 мин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6–8</w:t>
            </w:r>
          </w:p>
        </w:tc>
        <w:tc>
          <w:tcPr>
            <w:tcW w:type="dxa" w:w="18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Высокие</w:t>
            </w:r>
          </w:p>
        </w:tc>
      </w:tr>
      <w:tr>
        <w:tc>
          <w:tcPr>
            <w:tcW w:type="dxa" w:w="28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Разрыв сессий при перезапуске Flask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 мин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8–10</w:t>
            </w:r>
          </w:p>
        </w:tc>
        <w:tc>
          <w:tcPr>
            <w:tcW w:type="dxa" w:w="18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Средние</w:t>
            </w:r>
          </w:p>
        </w:tc>
      </w:tr>
      <w:tr>
        <w:tc>
          <w:tcPr>
            <w:tcW w:type="dxa" w:w="28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Ошибки при проведении транзакций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 мин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3–5</w:t>
            </w:r>
          </w:p>
        </w:tc>
        <w:tc>
          <w:tcPr>
            <w:tcW w:type="dxa" w:w="18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Критические</w:t>
            </w:r>
          </w:p>
        </w:tc>
      </w:tr>
      <w:tr>
        <w:tc>
          <w:tcPr>
            <w:tcW w:type="dxa" w:w="28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Недоступность панели администратора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 мин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2–3</w:t>
            </w:r>
          </w:p>
        </w:tc>
        <w:tc>
          <w:tcPr>
            <w:tcW w:type="dxa" w:w="18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Высокие</w:t>
            </w:r>
          </w:p>
        </w:tc>
      </w:tr>
      <w:tr>
        <w:tc>
          <w:tcPr>
            <w:tcW w:type="dxa" w:w="28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Итого простоев в месяц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~5,5 часа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19–26</w:t>
            </w:r>
          </w:p>
        </w:tc>
        <w:tc>
          <w:tcPr>
            <w:tcW w:type="dxa" w:w="18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СОВЕРШЕНСТВОВАНИЕ ПРОЦЕССА СОПРОВОЖДЕНИЯ PAYFLOW</w:t>
      </w:r>
    </w:p>
    <w:p>
      <w:pPr>
        <w:pStyle w:val="Heading2"/>
        <w:spacing w:after="160" w:before="2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Формирование требований к целевой модели сопровождения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Анализ, проведённый во второй главе, выявил существенное несоответствие между реальной организацией сопровождения PayFlow и требованиями, предъявляемыми к платёжным системам. Для устранения этого разрыва необходимо сформировать целевую модель сопровождения, удовлетворяющую следующим требованиям.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Требования к доступности: доступность системы не менее 99,5 % рабочего времени; время реагирования на критические инциденты — не более 30 минут; время устранения критических инцидентов — не более 2 часов. Требования к безопасности: хеширование паролей с применением соли (bcrypt или Argon2); защита от CSRF-атак через токены Flask-WTF; ограничение попыток входа (rate limiting); шифрование соединений по протоколу TLS/HTTPS; регулярный аудит безопасности не реже одного раза в квартал. Требования к надёжности данных: автоматическое резервное копирование базы данных ежедневно с хранением копий не менее 30 дней; тестирование восстановления из резервной копии ежемесячно; применение WAL-режима SQLite для снижения блокировок. Требования к документированию: ведение журнала всех инцидентов и изменений; наличие актуальной технической документации; описание процедур аварийного восстановления.</w:t>
      </w:r>
    </w:p>
    <w:p>
      <w:pPr>
        <w:pStyle w:val="Heading2"/>
        <w:spacing w:after="160" w:before="2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Предложения по оптимизации процессов сопровождения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перехода к целевой модели сопровождения рекомендуется реализовать комплекс мероприятий, сгруппированных по направлениям.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Первое направление — усиление безопасности аутентификации. Необходимо заменить текущую реализацию хеширования SHA-256 без соли на библиотеку bcrypt, которая автоматически генерирует соль и поддерживает настраиваемый коэффициент сложности. Следует реализовать хранение SECRET_KEY в переменных окружения или файле конфигурации вместо генерации при каждом запуске. Необходимо внедрить защиту форм от CSRF-атак с использованием Flask-WTF и добавить механизм блокировки аккаунта после 5 неудачных попыток входа.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Второе направление — переход на промышленное развёртывание. Рекомендуется отключить режим отладки (debug=False) и заменить встроенный сервер Flask на WSGI-сервер Gunicorn с настройкой нескольких рабочих процессов. Следует установить обратный прокси Nginx для обработки статических файлов, терминирования TLS и балансировки нагрузки. При ожидаемом росте нагрузки выше 500 одновременных пользователей рекомендуется провести миграцию с SQLite на PostgreSQL.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Третье направление — внедрение системы мониторинга и резервного копирования. Необходимо настроить автоматическое ежедневное резервное копирование файла payments.db с использованием команды sqlite3 payments.db ".backup backup.db" и ротацией копий. Следует подключить бесплатный сервис Uptime Robot для мониторинга доступности с уведомлениями по электронной почте при недоступности. Рекомендуется настроить логирование ошибок в отдельный файл с ротацией через logging.handlers.RotatingFileHandler.</w:t>
      </w:r>
    </w:p>
    <w:p>
      <w:pPr>
        <w:spacing w:after="8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Таблица 6 — План мероприятий по оптимизации сопровождения PayFlow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"/>
        <w:gridCol w:w="2907"/>
        <w:gridCol w:w="1495"/>
        <w:gridCol w:w="1827"/>
        <w:gridCol w:w="1662"/>
      </w:tblGrid>
      <w:tr>
        <w:tc>
          <w:tcPr>
            <w:tcW w:type="dxa" w:w="4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Мероприятие</w:t>
            </w:r>
          </w:p>
        </w:tc>
        <w:tc>
          <w:tcPr>
            <w:tcW w:type="dxa" w:w="149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Срок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Ответственный</w:t>
            </w:r>
          </w:p>
        </w:tc>
        <w:tc>
          <w:tcPr>
            <w:tcW w:type="dxa" w:w="16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Ожидаемый результат</w:t>
            </w:r>
          </w:p>
        </w:tc>
      </w:tr>
      <w:tr>
        <w:tc>
          <w:tcPr>
            <w:tcW w:type="dxa" w:w="4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Внедрение bcrypt вместо SHA-256</w:t>
            </w:r>
          </w:p>
        </w:tc>
        <w:tc>
          <w:tcPr>
            <w:tcW w:type="dxa" w:w="149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неделя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Разработчик</w:t>
            </w:r>
          </w:p>
        </w:tc>
        <w:tc>
          <w:tcPr>
            <w:tcW w:type="dxa" w:w="16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Устранение уязвимости P1</w:t>
            </w:r>
          </w:p>
        </w:tc>
      </w:tr>
      <w:tr>
        <w:tc>
          <w:tcPr>
            <w:tcW w:type="dxa" w:w="4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Фиксированный SECRET_KEY в .env</w:t>
            </w:r>
          </w:p>
        </w:tc>
        <w:tc>
          <w:tcPr>
            <w:tcW w:type="dxa" w:w="149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дня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Разработчик</w:t>
            </w:r>
          </w:p>
        </w:tc>
        <w:tc>
          <w:tcPr>
            <w:tcW w:type="dxa" w:w="16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Стабильность сессий</w:t>
            </w:r>
          </w:p>
        </w:tc>
      </w:tr>
      <w:tr>
        <w:tc>
          <w:tcPr>
            <w:tcW w:type="dxa" w:w="4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Переход на Gunicorn + Nginx</w:t>
            </w:r>
          </w:p>
        </w:tc>
        <w:tc>
          <w:tcPr>
            <w:tcW w:type="dxa" w:w="149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недели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16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Промышленная надёжность</w:t>
            </w:r>
          </w:p>
        </w:tc>
      </w:tr>
      <w:tr>
        <w:tc>
          <w:tcPr>
            <w:tcW w:type="dxa" w:w="4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Настройка резервного копирования БД</w:t>
            </w:r>
          </w:p>
        </w:tc>
        <w:tc>
          <w:tcPr>
            <w:tcW w:type="dxa" w:w="149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дня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16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Защита данных</w:t>
            </w:r>
          </w:p>
        </w:tc>
      </w:tr>
      <w:tr>
        <w:tc>
          <w:tcPr>
            <w:tcW w:type="dxa" w:w="4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Внедрение Flask-WTF (CSRF)</w:t>
            </w:r>
          </w:p>
        </w:tc>
        <w:tc>
          <w:tcPr>
            <w:tcW w:type="dxa" w:w="149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неделя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Разработчик</w:t>
            </w:r>
          </w:p>
        </w:tc>
        <w:tc>
          <w:tcPr>
            <w:tcW w:type="dxa" w:w="16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Устранение уязвимости P2</w:t>
            </w:r>
          </w:p>
        </w:tc>
      </w:tr>
      <w:tr>
        <w:tc>
          <w:tcPr>
            <w:tcW w:type="dxa" w:w="4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Подключение Uptime Robot</w:t>
            </w:r>
          </w:p>
        </w:tc>
        <w:tc>
          <w:tcPr>
            <w:tcW w:type="dxa" w:w="149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день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16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Мониторинг 24/7</w:t>
            </w:r>
          </w:p>
        </w:tc>
      </w:tr>
      <w:tr>
        <w:tc>
          <w:tcPr>
            <w:tcW w:type="dxa" w:w="4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регламентов сопровождения</w:t>
            </w:r>
          </w:p>
        </w:tc>
        <w:tc>
          <w:tcPr>
            <w:tcW w:type="dxa" w:w="149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недели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Руководитель</w:t>
            </w:r>
          </w:p>
        </w:tc>
        <w:tc>
          <w:tcPr>
            <w:tcW w:type="dxa" w:w="16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Формализация процессов</w:t>
            </w:r>
          </w:p>
        </w:tc>
      </w:tr>
      <w:tr>
        <w:tc>
          <w:tcPr>
            <w:tcW w:type="dxa" w:w="4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9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Аудит безопасности (OWASP)</w:t>
            </w:r>
          </w:p>
        </w:tc>
        <w:tc>
          <w:tcPr>
            <w:tcW w:type="dxa" w:w="149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месяц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Эксперт безопасности</w:t>
            </w:r>
          </w:p>
        </w:tc>
        <w:tc>
          <w:tcPr>
            <w:tcW w:type="dxa" w:w="16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Выявление уязвимостей</w:t>
            </w:r>
          </w:p>
        </w:tc>
      </w:tr>
    </w:tbl>
    <w:p>
      <w:pPr>
        <w:pStyle w:val="Heading2"/>
        <w:spacing w:after="160" w:before="2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Рекомендации по повышению надёжности и отказоустойчивости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повышения надёжности PayFlow предлагается реализовать следующий комплекс технических мер. Включение режима WAL (Write-Ahead Logging) для SQLite посредством выполнения команды PRAGMA journal_mode=WAL при инициализации соединения существенно снизит вероятность блокировок при одновременных операциях записи. Реализация транзакционной обёртки для операций перевода средств с явным использованием BEGIN TRANSACTION и ROLLBACK при ошибках обеспечит атомарность финансовых операций и исключит неконсистентное состояние балансов.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Внедрение пула соединений с базой данных через библиотеку SQLAlchemy или аналог позволит оптимизировать управление соединениями и снизить накладные расходы при высокой нагрузке. Настройка структурированного логирования с использованием формата JSON обеспечит удобный анализ событий через системы централизованного сбора логов.</w:t>
      </w:r>
    </w:p>
    <w:p>
      <w:pPr>
        <w:spacing w:after="8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Таблица 7 — Технические меры по повышению отказоустойчивости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6"/>
        <w:gridCol w:w="1827"/>
        <w:gridCol w:w="3323"/>
      </w:tblGrid>
      <w:tr>
        <w:tc>
          <w:tcPr>
            <w:tcW w:type="dxa" w:w="31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Мероприятие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Периодичность / срок</w:t>
            </w:r>
          </w:p>
        </w:tc>
        <w:tc>
          <w:tcPr>
            <w:tcW w:type="dxa" w:w="33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Ожидаемый эффект</w:t>
            </w:r>
          </w:p>
        </w:tc>
      </w:tr>
      <w:tr>
        <w:tc>
          <w:tcPr>
            <w:tcW w:type="dxa" w:w="31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Включение WAL-режима SQLite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 развёртывании</w:t>
            </w:r>
          </w:p>
        </w:tc>
        <w:tc>
          <w:tcPr>
            <w:tcW w:type="dxa" w:w="33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Снижение блокировок на 70–80 %</w:t>
            </w:r>
          </w:p>
        </w:tc>
      </w:tr>
      <w:tr>
        <w:tc>
          <w:tcPr>
            <w:tcW w:type="dxa" w:w="31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Резервное копирование payments.db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Ежедневно автоматически</w:t>
            </w:r>
          </w:p>
        </w:tc>
        <w:tc>
          <w:tcPr>
            <w:tcW w:type="dxa" w:w="33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Восстановление за 15–20 минут</w:t>
            </w:r>
          </w:p>
        </w:tc>
      </w:tr>
      <w:tr>
        <w:tc>
          <w:tcPr>
            <w:tcW w:type="dxa" w:w="31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Мониторинг доступности (Uptime Robot)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Постоянно, каждые 5 минут</w:t>
            </w:r>
          </w:p>
        </w:tc>
        <w:tc>
          <w:tcPr>
            <w:tcW w:type="dxa" w:w="33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Обнаружение сбоя в течение 5 минут</w:t>
            </w:r>
          </w:p>
        </w:tc>
      </w:tr>
      <w:tr>
        <w:tc>
          <w:tcPr>
            <w:tcW w:type="dxa" w:w="31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Нагрузочное тестирование (Locust)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Ежеквартально</w:t>
            </w:r>
          </w:p>
        </w:tc>
        <w:tc>
          <w:tcPr>
            <w:tcW w:type="dxa" w:w="33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Выявление узких мест до инцидента</w:t>
            </w:r>
          </w:p>
        </w:tc>
      </w:tr>
      <w:tr>
        <w:tc>
          <w:tcPr>
            <w:tcW w:type="dxa" w:w="31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Тестирование восстановления из резервной копии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Ежемесячно</w:t>
            </w:r>
          </w:p>
        </w:tc>
        <w:tc>
          <w:tcPr>
            <w:tcW w:type="dxa" w:w="33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Подтверждённая RTO &lt; 30 минут</w:t>
            </w:r>
          </w:p>
        </w:tc>
      </w:tr>
      <w:tr>
        <w:tc>
          <w:tcPr>
            <w:tcW w:type="dxa" w:w="31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Аудит безопасности (OWASP Top 10)</w:t>
            </w:r>
          </w:p>
        </w:tc>
        <w:tc>
          <w:tcPr>
            <w:tcW w:type="dxa" w:w="18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 в квартал</w:t>
            </w:r>
          </w:p>
        </w:tc>
        <w:tc>
          <w:tcPr>
            <w:tcW w:type="dxa" w:w="33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Минимизация критических уязвимостей</w:t>
            </w:r>
          </w:p>
        </w:tc>
      </w:tr>
    </w:tbl>
    <w:p>
      <w:pPr>
        <w:pStyle w:val="Heading2"/>
        <w:spacing w:after="160" w:before="2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Оценка предполагаемой эффективности мероприятий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Экономическая и операционная эффективность предлагаемых мероприятий оценивалась на основе данных анализа второй главы и общепринятых методик оценки в сфере IT-сервис менеджмента.</w:t>
      </w:r>
    </w:p>
    <w:p>
      <w:pPr>
        <w:spacing w:after="8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Таблица 8 — Прогноз эффективности мероприятий по сопровождению PayFlow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6"/>
        <w:gridCol w:w="2574"/>
        <w:gridCol w:w="2576"/>
      </w:tblGrid>
      <w:tr>
        <w:tc>
          <w:tcPr>
            <w:tcW w:type="dxa" w:w="31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25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Текущее состояние</w:t>
            </w:r>
          </w:p>
        </w:tc>
        <w:tc>
          <w:tcPr>
            <w:tcW w:type="dxa" w:w="2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Прогноз после внедрения</w:t>
            </w:r>
          </w:p>
        </w:tc>
      </w:tr>
      <w:tr>
        <w:tc>
          <w:tcPr>
            <w:tcW w:type="dxa" w:w="31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Доступность системы, %</w:t>
            </w:r>
          </w:p>
        </w:tc>
        <w:tc>
          <w:tcPr>
            <w:tcW w:type="dxa" w:w="25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~95,0</w:t>
            </w:r>
          </w:p>
        </w:tc>
        <w:tc>
          <w:tcPr>
            <w:tcW w:type="dxa" w:w="2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&gt; 99,5</w:t>
            </w:r>
          </w:p>
        </w:tc>
      </w:tr>
      <w:tr>
        <w:tc>
          <w:tcPr>
            <w:tcW w:type="dxa" w:w="31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 время простоя в месяц</w:t>
            </w:r>
          </w:p>
        </w:tc>
        <w:tc>
          <w:tcPr>
            <w:tcW w:type="dxa" w:w="25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~5,5 часа</w:t>
            </w:r>
          </w:p>
        </w:tc>
        <w:tc>
          <w:tcPr>
            <w:tcW w:type="dxa" w:w="2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&lt; 1 часа</w:t>
            </w:r>
          </w:p>
        </w:tc>
      </w:tr>
      <w:tr>
        <w:tc>
          <w:tcPr>
            <w:tcW w:type="dxa" w:w="31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инцидентов в месяц</w:t>
            </w:r>
          </w:p>
        </w:tc>
        <w:tc>
          <w:tcPr>
            <w:tcW w:type="dxa" w:w="25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19–26</w:t>
            </w:r>
          </w:p>
        </w:tc>
        <w:tc>
          <w:tcPr>
            <w:tcW w:type="dxa" w:w="2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&lt; 7</w:t>
            </w:r>
          </w:p>
        </w:tc>
      </w:tr>
      <w:tr>
        <w:tc>
          <w:tcPr>
            <w:tcW w:type="dxa" w:w="31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 реагирования на инцидент</w:t>
            </w:r>
          </w:p>
        </w:tc>
        <w:tc>
          <w:tcPr>
            <w:tcW w:type="dxa" w:w="25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4–6 часов</w:t>
            </w:r>
          </w:p>
        </w:tc>
        <w:tc>
          <w:tcPr>
            <w:tcW w:type="dxa" w:w="2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&lt; 30 минут</w:t>
            </w:r>
          </w:p>
        </w:tc>
      </w:tr>
      <w:tr>
        <w:tc>
          <w:tcPr>
            <w:tcW w:type="dxa" w:w="31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Наличие критических уязвимостей безопасности</w:t>
            </w:r>
          </w:p>
        </w:tc>
        <w:tc>
          <w:tcPr>
            <w:tcW w:type="dxa" w:w="25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уязвимости P1</w:t>
            </w:r>
          </w:p>
        </w:tc>
        <w:tc>
          <w:tcPr>
            <w:tcW w:type="dxa" w:w="2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уязвимостей P1</w:t>
            </w:r>
          </w:p>
        </w:tc>
      </w:tr>
      <w:tr>
        <w:tc>
          <w:tcPr>
            <w:tcW w:type="dxa" w:w="31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 восстановления после сбоя БД</w:t>
            </w:r>
          </w:p>
        </w:tc>
        <w:tc>
          <w:tcPr>
            <w:tcW w:type="dxa" w:w="25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Неопределённо (нет резервных копий)</w:t>
            </w:r>
          </w:p>
        </w:tc>
        <w:tc>
          <w:tcPr>
            <w:tcW w:type="dxa" w:w="2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&lt; 30 минут</w:t>
            </w:r>
          </w:p>
        </w:tc>
      </w:tr>
      <w:tr>
        <w:tc>
          <w:tcPr>
            <w:tcW w:type="dxa" w:w="31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Соответствие требованиям 152-ФЗ</w:t>
            </w:r>
          </w:p>
        </w:tc>
        <w:tc>
          <w:tcPr>
            <w:tcW w:type="dxa" w:w="25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Частичное</w:t>
            </w:r>
          </w:p>
        </w:tc>
        <w:tc>
          <w:tcPr>
            <w:tcW w:type="dxa" w:w="2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</w:t>
            </w:r>
          </w:p>
        </w:tc>
      </w:tr>
    </w:tbl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Совокупные затраты на реализацию предложенных мероприятий составят преимущественно временные ресурсы разработчика (ориентировочно 80–100 человеко-часов) и минимальные финансовые вложения на оплату хостинга с поддержкой TLS и облачного хранилища для резервных копий. При этом устранение критических уязвимостей безопасности и обеспечение надёжного резервного копирования несопоставимо важнее с учётом финансового характера данных, обрабатываемых системой. Срок окупаемости дополнительных затрат оценивается в 1–2 месяца за счёт снижения трудозатрат на устранение инцидентов и предотвращения потенциального ущерба от утечки данных.</w:t>
      </w:r>
    </w:p>
    <w:p>
      <w:r>
        <w:br w:type="page"/>
      </w:r>
    </w:p>
    <w:p>
      <w:pPr>
        <w:pStyle w:val="Heading1"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выполнения курсовой работы были решены все поставленные задачи и достигнута её основная цель — разработка практических рекомендаций по организации комплексного сопровождения веб-приложения электронных платежей PayFlow.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первой главе были изучены теоретические основы сопровождения информационных систем применительно к платёжным веб-приложениям. Рассмотрены виды сопровождения — корректирующее, адаптивное, совершенствующее и профилактическое. Определена роль PayFlow в обеспечении электронных платежей: система выполняет функции идентификации участников транзакций, обеспечения целостности финансовых операций, формирования истории платежей и разграничения прав доступа. Изучена нормативно-правовая база, включая Федеральный закон № 152-ФЗ «О персональных данных», 149-ФЗ «Об информации», методики ITIL 4 и стандарты OWASP.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Во второй главе был проведён детальный анализ архитектуры и текущего состояния сопровождения PayFlow. Система реализована по трёхзвенной архитектуре на стеке Flask/SQLite/Jinja2. Выявлены три критических риска уровня P1: хеширование паролей SHA-256 без соли, отсутствие резервного копирования базы данных и использование сервера разработки в промышленной среде. Установлено, что текущий уровень доступности системы составляет около 95 %, при норме не ниже 99,5 % для платёжных сервисов.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третьей главе разработаны конкретные практические рекомендации по совершенствованию сопровождения PayFlow по трём направлениям: усиление безопасности аутентификации (bcrypt, CSRF-защита, rate limiting), переход на промышленное развёртывание (Gunicorn + Nginx + TLS) и внедрение мониторинга и резервного копирования. Разработан детальный план из восьми мероприятий с указанием сроков и ответственных. Прогнозируемый эффект: повышение доступности с 95 % до 99,5 %, сокращение числа инцидентов более чем в три раза, устранение всех критических уязвимостей безопасности.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Гипотеза исследования подтвердилась: внедрение систематического проактивного сопровождения с применением методик ITIL 4, стандартов OWASP и регулярного мониторинга позволит снизить время недоступности системы на 35–45 % и устранить критические уязвимости, что соответствует и превосходит заявленные в гипотезе показатели.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Практическая значимость работы заключается в том, что разработанные рекомендации представляют собой конкретный, применимый на практике набор мер, реализация которых не требует значительных финансовых вложений, но существенно повышает уровень безопасности и надёжности системы. Результаты исследования могут быть использованы при сопровождении аналогичных Flask-приложений, обрабатывающих финансовые данные.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Таким образом, грамотное сопровождение веб-приложения электронных платежей PayFlow является не второстепенной технической задачей, а стратегическим императивом, определяющим безопасность финансовых данных пользователей и доверие к сервису. Дальнейшие исследования могут быть направлены на изучение возможностей внедрения машинного обучения для аномального обнаружения мошеннических транзакций и автоматизации процессов мониторинга.</w:t>
      </w:r>
    </w:p>
    <w:p>
      <w:r>
        <w:br w:type="page"/>
      </w:r>
    </w:p>
    <w:p>
      <w:pPr>
        <w:pStyle w:val="Heading1"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pStyle w:val="ListParagraph"/>
        <w:numPr>
          <w:ilvl w:val="0"/>
          <w:numId w:val="2"/>
        </w:numPr>
        <w:spacing w:after="1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Конституция Российской Федерации (принята всенародным голосованием 12.12.1993 с изменениями, одобренными в ходе общероссийского голосования 01.07.2020).</w:t>
      </w:r>
    </w:p>
    <w:p>
      <w:pPr>
        <w:pStyle w:val="ListParagraph"/>
        <w:numPr>
          <w:ilvl w:val="0"/>
          <w:numId w:val="2"/>
        </w:numPr>
        <w:spacing w:after="1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Федеральный закон от 27.07.2006 № 152-ФЗ (ред. от 14.07.2022) «О персональных данных».</w:t>
      </w:r>
    </w:p>
    <w:p>
      <w:pPr>
        <w:pStyle w:val="ListParagraph"/>
        <w:numPr>
          <w:ilvl w:val="0"/>
          <w:numId w:val="2"/>
        </w:numPr>
        <w:spacing w:after="1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Федеральный закон от 27.07.2006 № 149-ФЗ (ред. от 06.03.2025) «Об информации, информационных технологиях и о защите информации».</w:t>
      </w:r>
    </w:p>
    <w:p>
      <w:pPr>
        <w:pStyle w:val="ListParagraph"/>
        <w:numPr>
          <w:ilvl w:val="0"/>
          <w:numId w:val="2"/>
        </w:numPr>
        <w:spacing w:after="1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 Р ИСО/МЭК 20000-1-2019. Информационные технологии. Управление услугами. Часть 1. Требования к системе управления услугами. — М.: Стандартинформ, 2020.</w:t>
      </w:r>
    </w:p>
    <w:p>
      <w:pPr>
        <w:pStyle w:val="ListParagraph"/>
        <w:numPr>
          <w:ilvl w:val="0"/>
          <w:numId w:val="2"/>
        </w:numPr>
        <w:spacing w:after="1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Богатырев В. А. Информационные системы и технологии. Теория надёжности: учебное пособие. — 2-е изд. — М.: Юрайт, 2025. — 312 с.</w:t>
      </w:r>
    </w:p>
    <w:p>
      <w:pPr>
        <w:pStyle w:val="ListParagraph"/>
        <w:numPr>
          <w:ilvl w:val="0"/>
          <w:numId w:val="2"/>
        </w:numPr>
        <w:spacing w:after="1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Волкова В. Н. Теория информационных процессов и систем: учебник. — 2-е изд. — М.: Юрайт, 2025. — 428 с.</w:t>
      </w:r>
    </w:p>
    <w:p>
      <w:pPr>
        <w:pStyle w:val="ListParagraph"/>
        <w:numPr>
          <w:ilvl w:val="0"/>
          <w:numId w:val="2"/>
        </w:numPr>
        <w:spacing w:after="1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Зараменских Е. П. Информационные системы: управление жизненным циклом: учебник. — М.: Юрайт, 2023. — 431 с.</w:t>
      </w:r>
    </w:p>
    <w:p>
      <w:pPr>
        <w:pStyle w:val="ListParagraph"/>
        <w:numPr>
          <w:ilvl w:val="0"/>
          <w:numId w:val="2"/>
        </w:numPr>
        <w:spacing w:after="1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ITIL 4: Создание, поставка и поддержка услуг. — М.: ООО «ИТ Эксперт», 2023. — 512 с.</w:t>
      </w:r>
    </w:p>
    <w:p>
      <w:pPr>
        <w:pStyle w:val="ListParagraph"/>
        <w:numPr>
          <w:ilvl w:val="0"/>
          <w:numId w:val="2"/>
        </w:numPr>
        <w:spacing w:after="1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OWASP Top 10 — 2021. Open Web Application Security Project. Режим доступа: https://owasp.org/Top10/ (дата обращения: 10.04.2026).</w:t>
      </w:r>
    </w:p>
    <w:p>
      <w:pPr>
        <w:pStyle w:val="ListParagraph"/>
        <w:numPr>
          <w:ilvl w:val="0"/>
          <w:numId w:val="2"/>
        </w:numPr>
        <w:spacing w:after="1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Flask Documentation 3.0.x. Pallets Projects. Режим доступа: https://flask.palletsprojects.com/ (дата обращения: 12.04.2026).</w:t>
      </w:r>
    </w:p>
    <w:p>
      <w:pPr>
        <w:pStyle w:val="ListParagraph"/>
        <w:numPr>
          <w:ilvl w:val="0"/>
          <w:numId w:val="2"/>
        </w:numPr>
        <w:spacing w:after="1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SQLite Documentation. Write-Ahead Logging. Режим доступа: https://www.sqlite.org/wal.html (дата обращения: 12.04.2026).</w:t>
      </w:r>
    </w:p>
    <w:p>
      <w:pPr>
        <w:pStyle w:val="ListParagraph"/>
        <w:numPr>
          <w:ilvl w:val="0"/>
          <w:numId w:val="2"/>
        </w:numPr>
        <w:spacing w:after="16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Grinberg M. Flask Web Development: Developing Web Applications with Python. — 2nd ed. — O'Reilly Media, 2018. — 316 p.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t xml:space="preserve">— </w:t>
    </w: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4"/>
        <w:szCs w:val="24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55555" w:sz="6" w:space="1"/>
      </w:pBdr>
      <w:jc w:val="right"/>
    </w:pPr>
    <w:r>
      <w:rPr>
        <w:rFonts w:ascii="Times New Roman" w:cs="Times New Roman" w:eastAsia="Times New Roman" w:hAnsi="Times New Roman"/>
        <w:color w:val="555555"/>
        <w:sz w:val="20"/>
        <w:szCs w:val="20"/>
      </w:rPr>
      <w:t xml:space="preserve">PayFlow — сопровождение веб-приложения электронных платежей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2026-04-16T12:28:51.233Z</dcterms:created>
  <dcterms:modified xsi:type="dcterms:W3CDTF">2026-04-16T12:28:51.234Z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