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A233E" w:rsidRPr="007A233E" w14:paraId="31454D0D" w14:textId="77777777" w:rsidTr="007A233E">
        <w:trPr>
          <w:trHeight w:val="2652"/>
        </w:trPr>
        <w:tc>
          <w:tcPr>
            <w:tcW w:w="145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44"/>
            </w:tblGrid>
            <w:tr w:rsidR="007A233E" w:rsidRPr="007A233E" w14:paraId="4F5AFDCD" w14:textId="77777777">
              <w:tc>
                <w:tcPr>
                  <w:tcW w:w="1320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938C77" w14:textId="77777777" w:rsidR="007A233E" w:rsidRPr="007A233E" w:rsidRDefault="007A233E" w:rsidP="007A2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b/>
                      <w:bCs/>
                      <w:color w:val="7F7F7F"/>
                      <w:kern w:val="0"/>
                      <w:sz w:val="20"/>
                      <w:szCs w:val="20"/>
                      <w14:ligatures w14:val="none"/>
                    </w:rPr>
                    <w:t>Target Group:</w:t>
                  </w:r>
                </w:p>
                <w:p w14:paraId="7480A25F" w14:textId="77777777" w:rsidR="007A233E" w:rsidRPr="007A233E" w:rsidRDefault="007A233E" w:rsidP="007A233E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252525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Reach out to </w:t>
                  </w:r>
                  <w:r w:rsidRPr="007A233E">
                    <w:rPr>
                      <w:rFonts w:ascii="Arial" w:eastAsia="Times New Roman" w:hAnsi="Arial" w:cs="Arial"/>
                      <w:b/>
                      <w:bCs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economically weak </w:t>
                  </w: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and </w:t>
                  </w:r>
                  <w:r w:rsidRPr="007A233E">
                    <w:rPr>
                      <w:rFonts w:ascii="Arial" w:eastAsia="Times New Roman" w:hAnsi="Arial" w:cs="Arial"/>
                      <w:b/>
                      <w:bCs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underserved </w:t>
                  </w: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communities and families,</w:t>
                  </w:r>
                </w:p>
                <w:p w14:paraId="05E1FAFF" w14:textId="77777777" w:rsidR="007A233E" w:rsidRPr="007A233E" w:rsidRDefault="007A233E" w:rsidP="007A233E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252525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Women, persons with disabilities, LGBTQ, and other minority communities. </w:t>
                  </w:r>
                  <w:r w:rsidRPr="007A233E">
                    <w:rPr>
                      <w:rFonts w:ascii="Arial" w:eastAsia="Times New Roman" w:hAnsi="Arial" w:cs="Arial"/>
                      <w:b/>
                      <w:bCs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A minimum of 50% of beneficiaries should be female candidates.</w:t>
                  </w:r>
                </w:p>
                <w:p w14:paraId="4966AC14" w14:textId="77777777" w:rsidR="007A233E" w:rsidRPr="007A233E" w:rsidRDefault="007A233E" w:rsidP="007A233E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252525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 xml:space="preserve">We will need to capture </w:t>
                  </w:r>
                  <w:proofErr w:type="gramStart"/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both of the above</w:t>
                  </w:r>
                  <w:proofErr w:type="gramEnd"/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 xml:space="preserve"> explicitly in our quarterly and final project reports.</w:t>
                  </w:r>
                </w:p>
                <w:p w14:paraId="02E451E3" w14:textId="77777777" w:rsidR="007A233E" w:rsidRPr="007A233E" w:rsidRDefault="007A233E" w:rsidP="007A233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</w:p>
                <w:p w14:paraId="0C26240C" w14:textId="77777777" w:rsidR="007A233E" w:rsidRPr="007A233E" w:rsidRDefault="007A233E" w:rsidP="007A2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b/>
                      <w:bCs/>
                      <w:color w:val="7F7F7F"/>
                      <w:kern w:val="0"/>
                      <w:sz w:val="20"/>
                      <w:szCs w:val="20"/>
                      <w14:ligatures w14:val="none"/>
                    </w:rPr>
                    <w:t>Outcomes:</w:t>
                  </w:r>
                </w:p>
                <w:p w14:paraId="2E4184C7" w14:textId="77777777" w:rsidR="007A233E" w:rsidRPr="007A233E" w:rsidRDefault="007A233E" w:rsidP="007A233E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945"/>
                    <w:rPr>
                      <w:rFonts w:ascii="Times New Roman" w:eastAsia="Times New Roman" w:hAnsi="Times New Roman" w:cs="Times New Roman"/>
                      <w:color w:val="252525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Projects focused on </w:t>
                  </w:r>
                  <w:r w:rsidRPr="007A233E">
                    <w:rPr>
                      <w:rFonts w:ascii="Arial" w:eastAsia="Times New Roman" w:hAnsi="Arial" w:cs="Arial"/>
                      <w:i/>
                      <w:iCs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transformed outcomes</w:t>
                  </w: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 to achieve a minimum of </w:t>
                  </w:r>
                  <w:r w:rsidRPr="007A233E">
                    <w:rPr>
                      <w:rFonts w:ascii="Arial" w:eastAsia="Times New Roman" w:hAnsi="Arial" w:cs="Arial"/>
                      <w:b/>
                      <w:bCs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85% transformed outcome (at least 70% job placement). </w:t>
                  </w: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Please refer to the expanded definitions of outcome metrics in the below table and align your impact measurements and reporting accordingly.</w:t>
                  </w:r>
                </w:p>
                <w:p w14:paraId="228F9B67" w14:textId="77777777" w:rsidR="007A233E" w:rsidRPr="007A233E" w:rsidRDefault="007A233E" w:rsidP="007A233E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</w:p>
                <w:p w14:paraId="7A499631" w14:textId="77777777" w:rsidR="007A233E" w:rsidRPr="007A233E" w:rsidRDefault="007A233E" w:rsidP="007A2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b/>
                      <w:bCs/>
                      <w:color w:val="7F7F7F"/>
                      <w:kern w:val="0"/>
                      <w:sz w:val="20"/>
                      <w:szCs w:val="20"/>
                      <w14:ligatures w14:val="none"/>
                    </w:rPr>
                    <w:t>Proposal Development:</w:t>
                  </w:r>
                </w:p>
                <w:p w14:paraId="7413E134" w14:textId="77777777" w:rsidR="007A233E" w:rsidRPr="007A233E" w:rsidRDefault="007A233E" w:rsidP="007A2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b/>
                      <w:bCs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Due Diligence:</w:t>
                  </w:r>
                </w:p>
                <w:p w14:paraId="39B372D0" w14:textId="77777777" w:rsidR="007A233E" w:rsidRPr="007A233E" w:rsidRDefault="007A233E" w:rsidP="007A2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 xml:space="preserve">Review your </w:t>
                  </w:r>
                  <w:proofErr w:type="spellStart"/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organisation</w:t>
                  </w:r>
                  <w:proofErr w:type="spellEnd"/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 xml:space="preserve"> profile, contact details, due diligence fields, and supporting documents in IMPACT to ensure they are up-to-date and correct. Example: Update on board members.</w:t>
                  </w:r>
                </w:p>
                <w:p w14:paraId="34487732" w14:textId="77777777" w:rsidR="007A233E" w:rsidRPr="007A233E" w:rsidRDefault="007A233E" w:rsidP="007A2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</w:p>
                <w:p w14:paraId="5B1186A3" w14:textId="77777777" w:rsidR="007A233E" w:rsidRPr="007A233E" w:rsidRDefault="007A233E" w:rsidP="007A2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b/>
                      <w:bCs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Proposal Submission:</w:t>
                  </w:r>
                </w:p>
                <w:p w14:paraId="4A671460" w14:textId="77777777" w:rsidR="007A233E" w:rsidRPr="007A233E" w:rsidRDefault="007A233E" w:rsidP="007A233E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252525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 xml:space="preserve">All fields should be </w:t>
                  </w:r>
                  <w:proofErr w:type="gramStart"/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completely filled</w:t>
                  </w:r>
                  <w:proofErr w:type="gramEnd"/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 xml:space="preserve"> with correct and full information: demographic details, financials, timelines, executive summary, goals and outcomes, needs, proposed solutions, etc.</w:t>
                  </w:r>
                </w:p>
                <w:p w14:paraId="6F8575B2" w14:textId="77777777" w:rsidR="007A233E" w:rsidRPr="007A233E" w:rsidRDefault="007A233E" w:rsidP="007A233E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252525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Log on to IMPACT </w:t>
                  </w:r>
                  <w:r w:rsidRPr="007A233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  <w:t>to </w:t>
                  </w: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Submit Proposal. Grant Friendly Name: MoU April'24:</w:t>
                  </w:r>
                  <w:r w:rsidRPr="007A233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  <w:t> WinVinaya </w:t>
                  </w: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Livelihoods Project (the link in IMPACT </w:t>
                  </w:r>
                  <w:r w:rsidRPr="007A233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  <w:t>is open</w:t>
                  </w: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)</w:t>
                  </w:r>
                </w:p>
                <w:p w14:paraId="6E013129" w14:textId="77777777" w:rsidR="007A233E" w:rsidRPr="007A233E" w:rsidRDefault="007A233E" w:rsidP="007A2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b/>
                      <w:bCs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Budget:</w:t>
                  </w:r>
                </w:p>
                <w:p w14:paraId="3EC7E9B5" w14:textId="77777777" w:rsidR="007A233E" w:rsidRPr="007A233E" w:rsidRDefault="007A233E" w:rsidP="007A2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Approximate allotted budget: </w:t>
                  </w:r>
                  <w:r w:rsidRPr="007A233E">
                    <w:rPr>
                      <w:rFonts w:ascii="Arial" w:eastAsia="Times New Roman" w:hAnsi="Arial" w:cs="Arial"/>
                      <w:b/>
                      <w:bCs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INR </w:t>
                  </w:r>
                  <w:r w:rsidRPr="007A233E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5 </w:t>
                  </w:r>
                  <w:r w:rsidRPr="007A233E">
                    <w:rPr>
                      <w:rFonts w:ascii="Arial" w:eastAsia="Times New Roman" w:hAnsi="Arial" w:cs="Arial"/>
                      <w:b/>
                      <w:bCs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million per year. </w:t>
                  </w:r>
                  <w:r w:rsidRPr="007A233E">
                    <w:rPr>
                      <w:rFonts w:ascii="Arial" w:eastAsia="Times New Roman" w:hAnsi="Arial" w:cs="Arial"/>
                      <w:color w:val="FF0000"/>
                      <w:kern w:val="0"/>
                      <w:sz w:val="20"/>
                      <w:szCs w:val="20"/>
                      <w14:ligatures w14:val="none"/>
                    </w:rPr>
                    <w:t>Please note that this is only a tentative allocation to build the proposal; it may change before finalizing the proposal.</w:t>
                  </w:r>
                </w:p>
                <w:p w14:paraId="165D8951" w14:textId="77777777" w:rsidR="007A233E" w:rsidRPr="007A233E" w:rsidRDefault="007A233E" w:rsidP="007A233E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945"/>
                    <w:rPr>
                      <w:rFonts w:ascii="Times New Roman" w:eastAsia="Times New Roman" w:hAnsi="Times New Roman" w:cs="Times New Roman"/>
                      <w:color w:val="252525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 xml:space="preserve">Template attached. Please refer to the current budget-approved line items. The new budget line items should be in line with the current budget line items. If there are any new line items, please highlight them in the </w:t>
                  </w:r>
                  <w:proofErr w:type="gramStart"/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comments</w:t>
                  </w:r>
                  <w:proofErr w:type="gramEnd"/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 xml:space="preserve"> column.</w:t>
                  </w:r>
                </w:p>
                <w:p w14:paraId="1D69A39F" w14:textId="77777777" w:rsidR="007A233E" w:rsidRPr="007A233E" w:rsidRDefault="007A233E" w:rsidP="007A233E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945"/>
                    <w:rPr>
                      <w:rFonts w:ascii="Times New Roman" w:eastAsia="Times New Roman" w:hAnsi="Times New Roman" w:cs="Times New Roman"/>
                      <w:color w:val="252525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Ensure descriptions are provided for each line item.</w:t>
                  </w:r>
                </w:p>
                <w:p w14:paraId="78B6D144" w14:textId="77777777" w:rsidR="007A233E" w:rsidRPr="007A233E" w:rsidRDefault="007A233E" w:rsidP="007A233E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945"/>
                    <w:rPr>
                      <w:rFonts w:ascii="Times New Roman" w:eastAsia="Times New Roman" w:hAnsi="Times New Roman" w:cs="Times New Roman"/>
                      <w:color w:val="252525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Populate figures </w:t>
                  </w:r>
                  <w:r w:rsidRPr="007A233E">
                    <w:rPr>
                      <w:rFonts w:ascii="Arial" w:eastAsia="Times New Roman" w:hAnsi="Arial" w:cs="Arial"/>
                      <w:b/>
                      <w:bCs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only with formulas.</w:t>
                  </w:r>
                </w:p>
                <w:p w14:paraId="18871AFC" w14:textId="77777777" w:rsidR="007A233E" w:rsidRPr="007A233E" w:rsidRDefault="007A233E" w:rsidP="007A233E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945"/>
                    <w:rPr>
                      <w:rFonts w:ascii="Times New Roman" w:eastAsia="Times New Roman" w:hAnsi="Times New Roman" w:cs="Times New Roman"/>
                      <w:color w:val="252525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Always round off the final grant total to the nearest INR lakh.</w:t>
                  </w:r>
                </w:p>
                <w:p w14:paraId="12230400" w14:textId="77777777" w:rsidR="007A233E" w:rsidRPr="007A233E" w:rsidRDefault="007A233E" w:rsidP="007A233E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945"/>
                    <w:rPr>
                      <w:rFonts w:ascii="Times New Roman" w:eastAsia="Times New Roman" w:hAnsi="Times New Roman" w:cs="Times New Roman"/>
                      <w:color w:val="252525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The</w:t>
                  </w:r>
                  <w:r w:rsidRPr="007A233E">
                    <w:rPr>
                      <w:rFonts w:ascii="Arial" w:eastAsia="Times New Roman" w:hAnsi="Arial" w:cs="Arial"/>
                      <w:b/>
                      <w:bCs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proofErr w:type="spellStart"/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utilisation</w:t>
                  </w:r>
                  <w:proofErr w:type="spellEnd"/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 xml:space="preserve"> certificate should be prepared as per the approved budget and line items. Explicit approval by email is required from Accenture for any deviation in line items &gt; 10%.</w:t>
                  </w:r>
                </w:p>
                <w:p w14:paraId="645D2E4B" w14:textId="77777777" w:rsidR="007A233E" w:rsidRPr="007A233E" w:rsidRDefault="007A233E" w:rsidP="007A233E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</w:p>
                <w:p w14:paraId="65C5D939" w14:textId="77777777" w:rsidR="007A233E" w:rsidRPr="007A233E" w:rsidRDefault="007A233E" w:rsidP="007A2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b/>
                      <w:bCs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Duration: </w:t>
                  </w: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April’24 to March’25 (Y1), April’25 to March’26 (Y2)</w:t>
                  </w:r>
                </w:p>
                <w:p w14:paraId="722B41B6" w14:textId="77777777" w:rsidR="007A233E" w:rsidRPr="007A233E" w:rsidRDefault="007A233E" w:rsidP="007A2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Proposal, impact, and budget should be prepared for 2 years, with a clear breakdown of impact and budget for each of the years. The year 2 budget is approximately the same allocation as year 1. </w:t>
                  </w:r>
                  <w:r w:rsidRPr="007A233E">
                    <w:rPr>
                      <w:rFonts w:ascii="Arial" w:eastAsia="Times New Roman" w:hAnsi="Arial" w:cs="Arial"/>
                      <w:color w:val="FF0000"/>
                      <w:kern w:val="0"/>
                      <w:sz w:val="20"/>
                      <w:szCs w:val="20"/>
                      <w14:ligatures w14:val="none"/>
                    </w:rPr>
                    <w:t>We are obtaining the year 2 budget merely as a projected pipeline. The approval or continuation of year 2 will be at Accenture’s discretion, depending on the priorities and focus set from April’25 onwards.</w:t>
                  </w:r>
                </w:p>
                <w:p w14:paraId="0084D370" w14:textId="77777777" w:rsidR="007A233E" w:rsidRPr="007A233E" w:rsidRDefault="007A233E" w:rsidP="007A2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</w:p>
                <w:p w14:paraId="02B02DF5" w14:textId="77777777" w:rsidR="007A233E" w:rsidRPr="007A233E" w:rsidRDefault="007A233E" w:rsidP="007A2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b/>
                      <w:bCs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Timelines:</w:t>
                  </w:r>
                </w:p>
                <w:p w14:paraId="3BDFC14F" w14:textId="77777777" w:rsidR="007A233E" w:rsidRPr="007A233E" w:rsidRDefault="007A233E" w:rsidP="007A2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Submit the proposal in IMPACT by January </w:t>
                  </w:r>
                  <w:r w:rsidRPr="007A233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  <w:t>19</w:t>
                  </w: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, </w:t>
                  </w:r>
                  <w:r w:rsidRPr="007A233E">
                    <w:rPr>
                      <w:rFonts w:ascii="Arial" w:eastAsia="Times New Roman" w:hAnsi="Arial" w:cs="Arial"/>
                      <w:b/>
                      <w:bCs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2024.</w:t>
                  </w:r>
                </w:p>
                <w:p w14:paraId="1207C69C" w14:textId="77777777" w:rsidR="007A233E" w:rsidRPr="007A233E" w:rsidRDefault="007A233E" w:rsidP="007A2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7A233E">
                    <w:rPr>
                      <w:rFonts w:ascii="Arial" w:eastAsia="Times New Roman" w:hAnsi="Arial" w:cs="Arial"/>
                      <w:color w:val="252525"/>
                      <w:kern w:val="0"/>
                      <w:sz w:val="20"/>
                      <w:szCs w:val="20"/>
                      <w14:ligatures w14:val="none"/>
                    </w:rPr>
                    <w:t>  </w:t>
                  </w:r>
                </w:p>
              </w:tc>
            </w:tr>
          </w:tbl>
          <w:p w14:paraId="70C784FA" w14:textId="77777777" w:rsidR="007A233E" w:rsidRPr="007A233E" w:rsidRDefault="007A233E" w:rsidP="007A233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AA9CAA8" w14:textId="77777777" w:rsidR="007A233E" w:rsidRPr="007A233E" w:rsidRDefault="007A233E" w:rsidP="007A23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A233E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7944"/>
      </w:tblGrid>
      <w:tr w:rsidR="007A233E" w:rsidRPr="007A233E" w14:paraId="2AEDCAD9" w14:textId="77777777" w:rsidTr="007A233E">
        <w:tc>
          <w:tcPr>
            <w:tcW w:w="19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06E30" w14:textId="77777777" w:rsidR="007A233E" w:rsidRPr="007A233E" w:rsidRDefault="007A233E" w:rsidP="007A233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7A233E">
              <w:rPr>
                <w:rFonts w:ascii="Arial" w:eastAsia="Times New Roman" w:hAnsi="Arial" w:cs="Arial"/>
                <w:b/>
                <w:bCs/>
                <w:caps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OUTCOMES</w:t>
            </w:r>
          </w:p>
          <w:p w14:paraId="4D201B80" w14:textId="77777777" w:rsidR="007A233E" w:rsidRPr="007A233E" w:rsidRDefault="007A233E" w:rsidP="007A233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7A233E">
              <w:rPr>
                <w:rFonts w:ascii="Arial" w:eastAsia="Times New Roman" w:hAnsi="Arial" w:cs="Arial"/>
                <w:b/>
                <w:bCs/>
                <w:caps/>
                <w:color w:val="222222"/>
                <w:kern w:val="0"/>
                <w:sz w:val="20"/>
                <w:szCs w:val="20"/>
                <w14:ligatures w14:val="none"/>
              </w:rPr>
              <w:t>MEASUREMENT</w:t>
            </w:r>
          </w:p>
          <w:p w14:paraId="63CBE546" w14:textId="77777777" w:rsidR="007A233E" w:rsidRPr="007A233E" w:rsidRDefault="007A233E" w:rsidP="007A233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7A233E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6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79E3A" w14:textId="0B2EFC5B" w:rsidR="007A233E" w:rsidRPr="007A233E" w:rsidRDefault="007A233E" w:rsidP="007A233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7A233E">
              <w:rPr>
                <w:rFonts w:ascii="Arial" w:eastAsia="Times New Roman" w:hAnsi="Arial" w:cs="Arial"/>
                <w:noProof/>
                <w:color w:val="222222"/>
                <w:kern w:val="0"/>
                <w:sz w:val="20"/>
                <w:szCs w:val="20"/>
                <w14:ligatures w14:val="none"/>
              </w:rPr>
              <mc:AlternateContent>
                <mc:Choice Requires="wps">
                  <w:drawing>
                    <wp:inline distT="0" distB="0" distL="0" distR="0" wp14:anchorId="682153AA" wp14:editId="468D0522">
                      <wp:extent cx="6515100" cy="5784850"/>
                      <wp:effectExtent l="0" t="0" r="0" b="6350"/>
                      <wp:docPr id="127963123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515100" cy="578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AAE680" w14:textId="03AF2A1A" w:rsidR="007A233E" w:rsidRDefault="007A233E" w:rsidP="007A233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76D97C" wp14:editId="45B97DB8">
                                        <wp:extent cx="4429836" cy="3933190"/>
                                        <wp:effectExtent l="0" t="0" r="8890" b="0"/>
                                        <wp:docPr id="1404890198" name="Picture 2" descr="A screenshot of a compu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04890198" name="Picture 2" descr="A screenshot of a computer&#10;&#10;Description automatically generated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435007" cy="39377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2153AA" id="Rectangle 1" o:spid="_x0000_s1026" style="width:513pt;height:4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" filled="f" stroked="f">
                      <o:lock v:ext="edit" aspectratio="t"/>
                      <v:textbox>
                        <w:txbxContent>
                          <w:p w14:paraId="6FAAE680" w14:textId="03AF2A1A" w:rsidR="007A233E" w:rsidRDefault="007A233E" w:rsidP="007A233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76D97C" wp14:editId="45B97DB8">
                                  <wp:extent cx="4429836" cy="3933190"/>
                                  <wp:effectExtent l="0" t="0" r="8890" b="0"/>
                                  <wp:docPr id="1404890198" name="Picture 2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04890198" name="Picture 2" descr="A screenshot of a computer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35007" cy="3937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7F8BAE03" w14:textId="77777777" w:rsidR="007A233E" w:rsidRPr="007A233E" w:rsidRDefault="007A233E" w:rsidP="007A23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A233E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</w:p>
    <w:p w14:paraId="2C9F985C" w14:textId="77777777" w:rsidR="007A233E" w:rsidRPr="007A233E" w:rsidRDefault="007A233E" w:rsidP="007A23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A233E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If you need any clarification, please reach out to us.</w:t>
      </w:r>
    </w:p>
    <w:p w14:paraId="7A4C2C40" w14:textId="77777777" w:rsidR="00F85CBA" w:rsidRDefault="00F85CBA"/>
    <w:sectPr w:rsidR="00F85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237BC"/>
    <w:multiLevelType w:val="multilevel"/>
    <w:tmpl w:val="B288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8013E"/>
    <w:multiLevelType w:val="multilevel"/>
    <w:tmpl w:val="B9D6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401BD4"/>
    <w:multiLevelType w:val="multilevel"/>
    <w:tmpl w:val="B480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0A0A6F"/>
    <w:multiLevelType w:val="multilevel"/>
    <w:tmpl w:val="0CE0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4272268">
    <w:abstractNumId w:val="2"/>
  </w:num>
  <w:num w:numId="2" w16cid:durableId="7951509">
    <w:abstractNumId w:val="3"/>
  </w:num>
  <w:num w:numId="3" w16cid:durableId="1314484752">
    <w:abstractNumId w:val="1"/>
  </w:num>
  <w:num w:numId="4" w16cid:durableId="9537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3E"/>
    <w:rsid w:val="007A233E"/>
    <w:rsid w:val="00CA7DB8"/>
    <w:rsid w:val="00F85CBA"/>
    <w:rsid w:val="00F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BF9F"/>
  <w15:chartTrackingRefBased/>
  <w15:docId w15:val="{A231A1B8-15F0-488F-8B8C-59196E00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3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2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l">
    <w:name w:val="il"/>
    <w:basedOn w:val="DefaultParagraphFont"/>
    <w:rsid w:val="007A2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WinVinaya Foundation</dc:creator>
  <cp:keywords/>
  <dc:description/>
  <cp:lastModifiedBy>WinVinaya Foundation</cp:lastModifiedBy>
  <cp:revision>2</cp:revision>
  <dcterms:created xsi:type="dcterms:W3CDTF">2024-01-15T06:21:00Z</dcterms:created>
  <dcterms:modified xsi:type="dcterms:W3CDTF">2024-01-15T06:21:00Z</dcterms:modified>
</cp:coreProperties>
</file>