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F67CC" w14:textId="77777777" w:rsidR="00977508" w:rsidRDefault="00977508" w:rsidP="00977508">
      <w:pPr>
        <w:jc w:val="center"/>
        <w:rPr>
          <w:sz w:val="36"/>
          <w:szCs w:val="36"/>
        </w:rPr>
      </w:pPr>
      <w:r>
        <w:rPr>
          <w:noProof/>
          <w:sz w:val="36"/>
          <w:szCs w:val="36"/>
        </w:rPr>
        <w:drawing>
          <wp:inline distT="0" distB="0" distL="0" distR="0" wp14:anchorId="1970D67B" wp14:editId="18E0E3D5">
            <wp:extent cx="4414797" cy="898751"/>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VF.jpg"/>
                    <pic:cNvPicPr/>
                  </pic:nvPicPr>
                  <pic:blipFill>
                    <a:blip r:embed="rId5" cstate="screen">
                      <a:extLst>
                        <a:ext uri="{28A0092B-C50C-407E-A947-70E740481C1C}">
                          <a14:useLocalDpi xmlns:a14="http://schemas.microsoft.com/office/drawing/2010/main"/>
                        </a:ext>
                      </a:extLst>
                    </a:blip>
                    <a:stretch>
                      <a:fillRect/>
                    </a:stretch>
                  </pic:blipFill>
                  <pic:spPr>
                    <a:xfrm>
                      <a:off x="0" y="0"/>
                      <a:ext cx="4530340" cy="922273"/>
                    </a:xfrm>
                    <a:prstGeom prst="rect">
                      <a:avLst/>
                    </a:prstGeom>
                  </pic:spPr>
                </pic:pic>
              </a:graphicData>
            </a:graphic>
          </wp:inline>
        </w:drawing>
      </w:r>
      <w:r>
        <w:rPr>
          <w:sz w:val="36"/>
          <w:szCs w:val="36"/>
        </w:rPr>
        <w:t>__________________________________________________</w:t>
      </w:r>
    </w:p>
    <w:p w14:paraId="77EDD287" w14:textId="15A5BC45" w:rsidR="00977508" w:rsidRPr="00541A8F" w:rsidRDefault="00410677" w:rsidP="00977508">
      <w:pPr>
        <w:jc w:val="center"/>
        <w:rPr>
          <w:sz w:val="32"/>
          <w:szCs w:val="32"/>
        </w:rPr>
      </w:pPr>
      <w:r>
        <w:rPr>
          <w:sz w:val="32"/>
          <w:szCs w:val="32"/>
        </w:rPr>
        <w:t xml:space="preserve">Disability Sensitization </w:t>
      </w:r>
      <w:r w:rsidR="00F00B8E">
        <w:rPr>
          <w:sz w:val="32"/>
          <w:szCs w:val="32"/>
        </w:rPr>
        <w:t xml:space="preserve">Package </w:t>
      </w:r>
      <w:r>
        <w:rPr>
          <w:sz w:val="32"/>
          <w:szCs w:val="32"/>
        </w:rPr>
        <w:t>Program</w:t>
      </w:r>
    </w:p>
    <w:p w14:paraId="79B26FF6" w14:textId="77777777" w:rsidR="00977508" w:rsidRPr="00541A8F" w:rsidRDefault="00977508" w:rsidP="00977508">
      <w:pPr>
        <w:jc w:val="center"/>
        <w:rPr>
          <w:sz w:val="18"/>
          <w:szCs w:val="18"/>
        </w:rPr>
      </w:pPr>
    </w:p>
    <w:p w14:paraId="4D7E385D" w14:textId="77777777" w:rsidR="00977508" w:rsidRPr="00541A8F" w:rsidRDefault="00977508" w:rsidP="00977508">
      <w:pPr>
        <w:jc w:val="center"/>
        <w:rPr>
          <w:sz w:val="32"/>
          <w:szCs w:val="32"/>
        </w:rPr>
      </w:pPr>
      <w:r w:rsidRPr="00541A8F">
        <w:rPr>
          <w:sz w:val="32"/>
          <w:szCs w:val="32"/>
        </w:rPr>
        <w:t>Proposal by</w:t>
      </w:r>
    </w:p>
    <w:p w14:paraId="7E451555" w14:textId="77777777" w:rsidR="00977508" w:rsidRPr="00541A8F" w:rsidRDefault="00977508" w:rsidP="00977508">
      <w:pPr>
        <w:jc w:val="center"/>
        <w:rPr>
          <w:sz w:val="32"/>
          <w:szCs w:val="32"/>
        </w:rPr>
      </w:pPr>
      <w:r w:rsidRPr="00541A8F">
        <w:rPr>
          <w:sz w:val="32"/>
          <w:szCs w:val="32"/>
        </w:rPr>
        <w:t xml:space="preserve">WinVinaya </w:t>
      </w:r>
      <w:r>
        <w:rPr>
          <w:sz w:val="32"/>
          <w:szCs w:val="32"/>
        </w:rPr>
        <w:t>Foundation</w:t>
      </w:r>
    </w:p>
    <w:p w14:paraId="3B505E02" w14:textId="77777777" w:rsidR="00977508" w:rsidRPr="00541A8F" w:rsidRDefault="00977508" w:rsidP="00977508">
      <w:pPr>
        <w:jc w:val="center"/>
        <w:rPr>
          <w:sz w:val="32"/>
          <w:szCs w:val="32"/>
        </w:rPr>
      </w:pPr>
      <w:r w:rsidRPr="00541A8F">
        <w:rPr>
          <w:sz w:val="32"/>
          <w:szCs w:val="32"/>
        </w:rPr>
        <w:t>To</w:t>
      </w:r>
    </w:p>
    <w:p w14:paraId="15333D95" w14:textId="0957C75A" w:rsidR="00977508" w:rsidRPr="00541A8F" w:rsidRDefault="004403E1" w:rsidP="00977508">
      <w:pPr>
        <w:jc w:val="center"/>
        <w:rPr>
          <w:sz w:val="32"/>
          <w:szCs w:val="32"/>
        </w:rPr>
      </w:pPr>
      <w:r>
        <w:rPr>
          <w:sz w:val="32"/>
          <w:szCs w:val="32"/>
        </w:rPr>
        <w:t>Accenture</w:t>
      </w:r>
    </w:p>
    <w:p w14:paraId="69CE4236" w14:textId="77777777" w:rsidR="00977508" w:rsidRPr="00541A8F" w:rsidRDefault="00977508" w:rsidP="00977508">
      <w:pPr>
        <w:jc w:val="center"/>
        <w:rPr>
          <w:sz w:val="18"/>
          <w:szCs w:val="18"/>
        </w:rPr>
      </w:pPr>
    </w:p>
    <w:p w14:paraId="28CEFD97" w14:textId="5A224C48" w:rsidR="00977508" w:rsidRPr="00733745" w:rsidRDefault="00977508" w:rsidP="00977508">
      <w:pPr>
        <w:jc w:val="center"/>
        <w:rPr>
          <w:color w:val="000000" w:themeColor="text1"/>
          <w:sz w:val="32"/>
          <w:szCs w:val="32"/>
        </w:rPr>
      </w:pPr>
      <w:r w:rsidRPr="00541A8F">
        <w:rPr>
          <w:sz w:val="32"/>
          <w:szCs w:val="32"/>
        </w:rPr>
        <w:t>Date of Proposal:</w:t>
      </w:r>
      <w:r w:rsidRPr="007937E6">
        <w:rPr>
          <w:color w:val="0070C0"/>
          <w:sz w:val="32"/>
          <w:szCs w:val="32"/>
        </w:rPr>
        <w:t xml:space="preserve"> </w:t>
      </w:r>
      <w:r w:rsidRPr="00733745">
        <w:rPr>
          <w:color w:val="000000" w:themeColor="text1"/>
          <w:sz w:val="32"/>
          <w:szCs w:val="32"/>
        </w:rPr>
        <w:t>2</w:t>
      </w:r>
      <w:r w:rsidR="004403E1">
        <w:rPr>
          <w:color w:val="000000" w:themeColor="text1"/>
          <w:sz w:val="32"/>
          <w:szCs w:val="32"/>
        </w:rPr>
        <w:t>2</w:t>
      </w:r>
      <w:r w:rsidR="004403E1" w:rsidRPr="004403E1">
        <w:rPr>
          <w:color w:val="000000" w:themeColor="text1"/>
          <w:sz w:val="32"/>
          <w:szCs w:val="32"/>
          <w:vertAlign w:val="superscript"/>
        </w:rPr>
        <w:t>nd</w:t>
      </w:r>
      <w:r w:rsidR="004403E1">
        <w:rPr>
          <w:color w:val="000000" w:themeColor="text1"/>
          <w:sz w:val="32"/>
          <w:szCs w:val="32"/>
        </w:rPr>
        <w:t xml:space="preserve"> Nov</w:t>
      </w:r>
      <w:r w:rsidRPr="00733745">
        <w:rPr>
          <w:color w:val="000000" w:themeColor="text1"/>
          <w:sz w:val="32"/>
          <w:szCs w:val="32"/>
        </w:rPr>
        <w:t xml:space="preserve"> 2021</w:t>
      </w:r>
    </w:p>
    <w:p w14:paraId="27E359E1" w14:textId="77777777" w:rsidR="00977508" w:rsidRPr="00733745" w:rsidRDefault="00977508" w:rsidP="00977508">
      <w:pPr>
        <w:jc w:val="center"/>
        <w:rPr>
          <w:color w:val="000000" w:themeColor="text1"/>
          <w:sz w:val="32"/>
          <w:szCs w:val="32"/>
        </w:rPr>
      </w:pPr>
      <w:r w:rsidRPr="00733745">
        <w:rPr>
          <w:color w:val="000000" w:themeColor="text1"/>
          <w:sz w:val="32"/>
          <w:szCs w:val="32"/>
        </w:rPr>
        <w:t xml:space="preserve">Version </w:t>
      </w:r>
      <w:r w:rsidR="00410677">
        <w:rPr>
          <w:color w:val="000000" w:themeColor="text1"/>
          <w:sz w:val="32"/>
          <w:szCs w:val="32"/>
        </w:rPr>
        <w:t>1</w:t>
      </w:r>
      <w:r w:rsidRPr="00733745">
        <w:rPr>
          <w:color w:val="000000" w:themeColor="text1"/>
          <w:sz w:val="32"/>
          <w:szCs w:val="32"/>
        </w:rPr>
        <w:t>.0</w:t>
      </w:r>
    </w:p>
    <w:p w14:paraId="57FBE647" w14:textId="77777777" w:rsidR="00977508" w:rsidRPr="00541A8F" w:rsidRDefault="00977508" w:rsidP="00977508">
      <w:pPr>
        <w:jc w:val="center"/>
        <w:rPr>
          <w:sz w:val="18"/>
          <w:szCs w:val="18"/>
        </w:rPr>
      </w:pPr>
    </w:p>
    <w:p w14:paraId="75BE0DF4" w14:textId="77777777" w:rsidR="00977508" w:rsidRPr="00541A8F" w:rsidRDefault="00977508" w:rsidP="00977508">
      <w:pPr>
        <w:jc w:val="center"/>
        <w:rPr>
          <w:sz w:val="32"/>
          <w:szCs w:val="32"/>
        </w:rPr>
      </w:pPr>
      <w:r w:rsidRPr="00541A8F">
        <w:rPr>
          <w:sz w:val="32"/>
          <w:szCs w:val="32"/>
        </w:rPr>
        <w:t xml:space="preserve">Project Contact: </w:t>
      </w:r>
      <w:proofErr w:type="spellStart"/>
      <w:r w:rsidRPr="00541A8F">
        <w:rPr>
          <w:sz w:val="32"/>
          <w:szCs w:val="32"/>
        </w:rPr>
        <w:t>Sivasankar</w:t>
      </w:r>
      <w:proofErr w:type="spellEnd"/>
      <w:r w:rsidRPr="00541A8F">
        <w:rPr>
          <w:sz w:val="32"/>
          <w:szCs w:val="32"/>
        </w:rPr>
        <w:t xml:space="preserve"> </w:t>
      </w:r>
      <w:proofErr w:type="spellStart"/>
      <w:r w:rsidRPr="00541A8F">
        <w:rPr>
          <w:sz w:val="32"/>
          <w:szCs w:val="32"/>
        </w:rPr>
        <w:t>Jayagopal</w:t>
      </w:r>
      <w:proofErr w:type="spellEnd"/>
    </w:p>
    <w:p w14:paraId="172A3384" w14:textId="77777777" w:rsidR="00977508" w:rsidRPr="00541A8F" w:rsidRDefault="00977508" w:rsidP="00977508">
      <w:pPr>
        <w:jc w:val="center"/>
        <w:rPr>
          <w:sz w:val="32"/>
          <w:szCs w:val="32"/>
        </w:rPr>
      </w:pPr>
      <w:r w:rsidRPr="008A1161">
        <w:rPr>
          <w:sz w:val="32"/>
          <w:szCs w:val="32"/>
        </w:rPr>
        <w:t xml:space="preserve">Founder </w:t>
      </w:r>
      <w:r>
        <w:rPr>
          <w:sz w:val="32"/>
          <w:szCs w:val="32"/>
        </w:rPr>
        <w:t>Chairman</w:t>
      </w:r>
    </w:p>
    <w:p w14:paraId="49071BC1" w14:textId="77777777" w:rsidR="00977508" w:rsidRPr="00541A8F" w:rsidRDefault="00977508" w:rsidP="00977508">
      <w:pPr>
        <w:jc w:val="center"/>
        <w:rPr>
          <w:sz w:val="32"/>
          <w:szCs w:val="32"/>
        </w:rPr>
      </w:pPr>
      <w:r w:rsidRPr="00541A8F">
        <w:rPr>
          <w:sz w:val="32"/>
          <w:szCs w:val="32"/>
        </w:rPr>
        <w:t xml:space="preserve">WinVinaya </w:t>
      </w:r>
      <w:r>
        <w:rPr>
          <w:sz w:val="32"/>
          <w:szCs w:val="32"/>
        </w:rPr>
        <w:t>Foundation</w:t>
      </w:r>
    </w:p>
    <w:p w14:paraId="30C09BEC" w14:textId="77777777" w:rsidR="00977508" w:rsidRPr="00541A8F" w:rsidRDefault="00977508" w:rsidP="00977508">
      <w:pPr>
        <w:jc w:val="center"/>
        <w:rPr>
          <w:sz w:val="32"/>
          <w:szCs w:val="32"/>
        </w:rPr>
      </w:pPr>
      <w:r w:rsidRPr="00541A8F">
        <w:rPr>
          <w:sz w:val="32"/>
          <w:szCs w:val="32"/>
        </w:rPr>
        <w:t xml:space="preserve">25/3 </w:t>
      </w:r>
      <w:proofErr w:type="spellStart"/>
      <w:r w:rsidRPr="00541A8F">
        <w:rPr>
          <w:sz w:val="32"/>
          <w:szCs w:val="32"/>
        </w:rPr>
        <w:t>Brindavan</w:t>
      </w:r>
      <w:proofErr w:type="spellEnd"/>
      <w:r w:rsidRPr="00541A8F">
        <w:rPr>
          <w:sz w:val="32"/>
          <w:szCs w:val="32"/>
        </w:rPr>
        <w:t xml:space="preserve"> 3</w:t>
      </w:r>
      <w:r w:rsidRPr="00541A8F">
        <w:rPr>
          <w:sz w:val="32"/>
          <w:szCs w:val="32"/>
          <w:vertAlign w:val="superscript"/>
        </w:rPr>
        <w:t>rd</w:t>
      </w:r>
      <w:r w:rsidRPr="00541A8F">
        <w:rPr>
          <w:sz w:val="32"/>
          <w:szCs w:val="32"/>
        </w:rPr>
        <w:t xml:space="preserve"> Cross, </w:t>
      </w:r>
      <w:proofErr w:type="spellStart"/>
      <w:r w:rsidRPr="00541A8F">
        <w:rPr>
          <w:sz w:val="32"/>
          <w:szCs w:val="32"/>
        </w:rPr>
        <w:t>Saraswathipuram</w:t>
      </w:r>
      <w:proofErr w:type="spellEnd"/>
    </w:p>
    <w:p w14:paraId="682A7A48" w14:textId="77777777" w:rsidR="00977508" w:rsidRPr="00541A8F" w:rsidRDefault="00977508" w:rsidP="00977508">
      <w:pPr>
        <w:jc w:val="center"/>
        <w:rPr>
          <w:sz w:val="32"/>
          <w:szCs w:val="32"/>
        </w:rPr>
      </w:pPr>
      <w:r>
        <w:rPr>
          <w:sz w:val="32"/>
          <w:szCs w:val="32"/>
        </w:rPr>
        <w:t>IIM</w:t>
      </w:r>
      <w:r w:rsidRPr="00541A8F">
        <w:rPr>
          <w:sz w:val="32"/>
          <w:szCs w:val="32"/>
        </w:rPr>
        <w:t xml:space="preserve"> Post</w:t>
      </w:r>
    </w:p>
    <w:p w14:paraId="40A21C49" w14:textId="77777777" w:rsidR="00977508" w:rsidRPr="00541A8F" w:rsidRDefault="00977508" w:rsidP="00977508">
      <w:pPr>
        <w:jc w:val="center"/>
        <w:rPr>
          <w:sz w:val="32"/>
          <w:szCs w:val="32"/>
        </w:rPr>
      </w:pPr>
      <w:r>
        <w:rPr>
          <w:sz w:val="32"/>
          <w:szCs w:val="32"/>
        </w:rPr>
        <w:t>Bengaluru</w:t>
      </w:r>
      <w:r w:rsidRPr="00541A8F">
        <w:rPr>
          <w:sz w:val="32"/>
          <w:szCs w:val="32"/>
        </w:rPr>
        <w:t xml:space="preserve"> 560</w:t>
      </w:r>
      <w:r w:rsidR="00260019">
        <w:rPr>
          <w:sz w:val="32"/>
          <w:szCs w:val="32"/>
        </w:rPr>
        <w:t xml:space="preserve"> </w:t>
      </w:r>
      <w:r w:rsidRPr="00541A8F">
        <w:rPr>
          <w:sz w:val="32"/>
          <w:szCs w:val="32"/>
        </w:rPr>
        <w:t>076</w:t>
      </w:r>
    </w:p>
    <w:p w14:paraId="2623E73A" w14:textId="77777777" w:rsidR="00977508" w:rsidRPr="00541A8F" w:rsidRDefault="00977508" w:rsidP="00977508">
      <w:pPr>
        <w:jc w:val="center"/>
        <w:rPr>
          <w:sz w:val="32"/>
          <w:szCs w:val="32"/>
        </w:rPr>
      </w:pPr>
      <w:r w:rsidRPr="00541A8F">
        <w:rPr>
          <w:sz w:val="32"/>
          <w:szCs w:val="32"/>
        </w:rPr>
        <w:t>Ph.: +91-96764-33359</w:t>
      </w:r>
    </w:p>
    <w:p w14:paraId="4A6A5338" w14:textId="77777777" w:rsidR="00977508" w:rsidRPr="00541A8F" w:rsidRDefault="00977508" w:rsidP="00977508">
      <w:pPr>
        <w:jc w:val="center"/>
        <w:rPr>
          <w:sz w:val="32"/>
          <w:szCs w:val="32"/>
        </w:rPr>
      </w:pPr>
      <w:r w:rsidRPr="00541A8F">
        <w:rPr>
          <w:sz w:val="32"/>
          <w:szCs w:val="32"/>
        </w:rPr>
        <w:t xml:space="preserve">Email: </w:t>
      </w:r>
      <w:hyperlink r:id="rId6" w:history="1">
        <w:r w:rsidRPr="00541A8F">
          <w:rPr>
            <w:rStyle w:val="Hyperlink"/>
            <w:sz w:val="32"/>
            <w:szCs w:val="32"/>
          </w:rPr>
          <w:t>Shiva.Jayagopal@WinVinayaFoundation.org</w:t>
        </w:r>
      </w:hyperlink>
    </w:p>
    <w:sdt>
      <w:sdtPr>
        <w:rPr>
          <w:rFonts w:asciiTheme="minorHAnsi" w:eastAsiaTheme="minorHAnsi" w:hAnsiTheme="minorHAnsi" w:cstheme="minorBidi"/>
          <w:color w:val="auto"/>
          <w:sz w:val="22"/>
          <w:szCs w:val="22"/>
          <w:lang w:val="en-IN" w:eastAsia="ja-JP"/>
        </w:rPr>
        <w:id w:val="-398990198"/>
        <w:docPartObj>
          <w:docPartGallery w:val="Table of Contents"/>
          <w:docPartUnique/>
        </w:docPartObj>
      </w:sdtPr>
      <w:sdtEndPr>
        <w:rPr>
          <w:rFonts w:eastAsiaTheme="minorEastAsia"/>
          <w:b/>
          <w:bCs/>
          <w:noProof/>
        </w:rPr>
      </w:sdtEndPr>
      <w:sdtContent>
        <w:p w14:paraId="6C075931" w14:textId="5D02EEDF" w:rsidR="00977508" w:rsidRDefault="00977508" w:rsidP="00977508">
          <w:pPr>
            <w:pStyle w:val="TOCHeading"/>
            <w:numPr>
              <w:ilvl w:val="0"/>
              <w:numId w:val="0"/>
            </w:numPr>
            <w:ind w:left="432"/>
            <w:jc w:val="center"/>
            <w:rPr>
              <w:rFonts w:asciiTheme="minorHAnsi" w:eastAsiaTheme="minorHAnsi" w:hAnsiTheme="minorHAnsi" w:cstheme="minorBidi"/>
              <w:color w:val="auto"/>
              <w:sz w:val="22"/>
              <w:szCs w:val="22"/>
            </w:rPr>
          </w:pPr>
        </w:p>
        <w:p w14:paraId="0527E315" w14:textId="77777777" w:rsidR="00FC5FB3" w:rsidRDefault="00FC5FB3">
          <w:pPr>
            <w:rPr>
              <w:rFonts w:asciiTheme="majorHAnsi" w:eastAsiaTheme="majorEastAsia" w:hAnsiTheme="majorHAnsi" w:cstheme="majorBidi"/>
              <w:color w:val="365F91" w:themeColor="accent1" w:themeShade="BF"/>
              <w:sz w:val="32"/>
              <w:szCs w:val="32"/>
              <w:lang w:val="en-US" w:eastAsia="en-US"/>
            </w:rPr>
          </w:pPr>
          <w:r>
            <w:br w:type="page"/>
          </w:r>
        </w:p>
        <w:p w14:paraId="70F5A270" w14:textId="0C146308" w:rsidR="00977508" w:rsidRDefault="00977508" w:rsidP="00977508">
          <w:pPr>
            <w:pStyle w:val="TOCHeading"/>
            <w:numPr>
              <w:ilvl w:val="0"/>
              <w:numId w:val="0"/>
            </w:numPr>
            <w:ind w:left="432"/>
            <w:jc w:val="center"/>
          </w:pPr>
          <w:r>
            <w:lastRenderedPageBreak/>
            <w:t>Table of Contents</w:t>
          </w:r>
        </w:p>
        <w:p w14:paraId="3C8A6E28" w14:textId="249F918A" w:rsidR="000D69C5" w:rsidRDefault="00977508">
          <w:pPr>
            <w:pStyle w:val="TOC1"/>
            <w:tabs>
              <w:tab w:val="right" w:leader="dot" w:pos="9736"/>
            </w:tabs>
            <w:rPr>
              <w:rFonts w:eastAsiaTheme="minorEastAsia"/>
              <w:bCs w:val="0"/>
              <w:noProof/>
              <w:lang w:val="en-IN" w:eastAsia="ja-JP"/>
            </w:rPr>
          </w:pPr>
          <w:r>
            <w:fldChar w:fldCharType="begin"/>
          </w:r>
          <w:r>
            <w:instrText xml:space="preserve"> TOC \o "1-3" \h \z \u </w:instrText>
          </w:r>
          <w:r>
            <w:fldChar w:fldCharType="separate"/>
          </w:r>
          <w:hyperlink w:anchor="_Toc88469369" w:history="1">
            <w:r w:rsidR="000D69C5" w:rsidRPr="00794798">
              <w:rPr>
                <w:rStyle w:val="Hyperlink"/>
                <w:noProof/>
              </w:rPr>
              <w:t>Revision History</w:t>
            </w:r>
            <w:r w:rsidR="000D69C5">
              <w:rPr>
                <w:noProof/>
                <w:webHidden/>
              </w:rPr>
              <w:tab/>
            </w:r>
            <w:r w:rsidR="000D69C5">
              <w:rPr>
                <w:noProof/>
                <w:webHidden/>
              </w:rPr>
              <w:fldChar w:fldCharType="begin"/>
            </w:r>
            <w:r w:rsidR="000D69C5">
              <w:rPr>
                <w:noProof/>
                <w:webHidden/>
              </w:rPr>
              <w:instrText xml:space="preserve"> PAGEREF _Toc88469369 \h </w:instrText>
            </w:r>
            <w:r w:rsidR="000D69C5">
              <w:rPr>
                <w:noProof/>
                <w:webHidden/>
              </w:rPr>
            </w:r>
            <w:r w:rsidR="000D69C5">
              <w:rPr>
                <w:noProof/>
                <w:webHidden/>
              </w:rPr>
              <w:fldChar w:fldCharType="separate"/>
            </w:r>
            <w:r w:rsidR="000D69C5">
              <w:rPr>
                <w:noProof/>
                <w:webHidden/>
              </w:rPr>
              <w:t>3</w:t>
            </w:r>
            <w:r w:rsidR="000D69C5">
              <w:rPr>
                <w:noProof/>
                <w:webHidden/>
              </w:rPr>
              <w:fldChar w:fldCharType="end"/>
            </w:r>
          </w:hyperlink>
        </w:p>
        <w:p w14:paraId="25B0C994" w14:textId="09241101" w:rsidR="000D69C5" w:rsidRDefault="000D69C5">
          <w:pPr>
            <w:pStyle w:val="TOC1"/>
            <w:tabs>
              <w:tab w:val="left" w:pos="332"/>
              <w:tab w:val="right" w:leader="dot" w:pos="9736"/>
            </w:tabs>
            <w:rPr>
              <w:rFonts w:eastAsiaTheme="minorEastAsia"/>
              <w:bCs w:val="0"/>
              <w:noProof/>
              <w:lang w:val="en-IN" w:eastAsia="ja-JP"/>
            </w:rPr>
          </w:pPr>
          <w:hyperlink w:anchor="_Toc88469370" w:history="1">
            <w:r w:rsidRPr="00794798">
              <w:rPr>
                <w:rStyle w:val="Hyperlink"/>
                <w:noProof/>
              </w:rPr>
              <w:t>1</w:t>
            </w:r>
            <w:r>
              <w:rPr>
                <w:rFonts w:eastAsiaTheme="minorEastAsia"/>
                <w:bCs w:val="0"/>
                <w:noProof/>
                <w:lang w:val="en-IN" w:eastAsia="ja-JP"/>
              </w:rPr>
              <w:tab/>
            </w:r>
            <w:r w:rsidRPr="00794798">
              <w:rPr>
                <w:rStyle w:val="Hyperlink"/>
                <w:noProof/>
              </w:rPr>
              <w:t>Project Summary</w:t>
            </w:r>
            <w:r>
              <w:rPr>
                <w:noProof/>
                <w:webHidden/>
              </w:rPr>
              <w:tab/>
            </w:r>
            <w:r>
              <w:rPr>
                <w:noProof/>
                <w:webHidden/>
              </w:rPr>
              <w:fldChar w:fldCharType="begin"/>
            </w:r>
            <w:r>
              <w:rPr>
                <w:noProof/>
                <w:webHidden/>
              </w:rPr>
              <w:instrText xml:space="preserve"> PAGEREF _Toc88469370 \h </w:instrText>
            </w:r>
            <w:r>
              <w:rPr>
                <w:noProof/>
                <w:webHidden/>
              </w:rPr>
            </w:r>
            <w:r>
              <w:rPr>
                <w:noProof/>
                <w:webHidden/>
              </w:rPr>
              <w:fldChar w:fldCharType="separate"/>
            </w:r>
            <w:r>
              <w:rPr>
                <w:noProof/>
                <w:webHidden/>
              </w:rPr>
              <w:t>4</w:t>
            </w:r>
            <w:r>
              <w:rPr>
                <w:noProof/>
                <w:webHidden/>
              </w:rPr>
              <w:fldChar w:fldCharType="end"/>
            </w:r>
          </w:hyperlink>
        </w:p>
        <w:p w14:paraId="0A31EC77" w14:textId="1D45AA86" w:rsidR="000D69C5" w:rsidRDefault="000D69C5">
          <w:pPr>
            <w:pStyle w:val="TOC1"/>
            <w:tabs>
              <w:tab w:val="left" w:pos="332"/>
              <w:tab w:val="right" w:leader="dot" w:pos="9736"/>
            </w:tabs>
            <w:rPr>
              <w:rFonts w:eastAsiaTheme="minorEastAsia"/>
              <w:bCs w:val="0"/>
              <w:noProof/>
              <w:lang w:val="en-IN" w:eastAsia="ja-JP"/>
            </w:rPr>
          </w:pPr>
          <w:hyperlink w:anchor="_Toc88469371" w:history="1">
            <w:r w:rsidRPr="00794798">
              <w:rPr>
                <w:rStyle w:val="Hyperlink"/>
                <w:noProof/>
              </w:rPr>
              <w:t>2</w:t>
            </w:r>
            <w:r>
              <w:rPr>
                <w:rFonts w:eastAsiaTheme="minorEastAsia"/>
                <w:bCs w:val="0"/>
                <w:noProof/>
                <w:lang w:val="en-IN" w:eastAsia="ja-JP"/>
              </w:rPr>
              <w:tab/>
            </w:r>
            <w:r w:rsidRPr="00794798">
              <w:rPr>
                <w:rStyle w:val="Hyperlink"/>
                <w:noProof/>
              </w:rPr>
              <w:t>Introduction about WinVinaya Foundation</w:t>
            </w:r>
            <w:r>
              <w:rPr>
                <w:noProof/>
                <w:webHidden/>
              </w:rPr>
              <w:tab/>
            </w:r>
            <w:r>
              <w:rPr>
                <w:noProof/>
                <w:webHidden/>
              </w:rPr>
              <w:fldChar w:fldCharType="begin"/>
            </w:r>
            <w:r>
              <w:rPr>
                <w:noProof/>
                <w:webHidden/>
              </w:rPr>
              <w:instrText xml:space="preserve"> PAGEREF _Toc88469371 \h </w:instrText>
            </w:r>
            <w:r>
              <w:rPr>
                <w:noProof/>
                <w:webHidden/>
              </w:rPr>
            </w:r>
            <w:r>
              <w:rPr>
                <w:noProof/>
                <w:webHidden/>
              </w:rPr>
              <w:fldChar w:fldCharType="separate"/>
            </w:r>
            <w:r>
              <w:rPr>
                <w:noProof/>
                <w:webHidden/>
              </w:rPr>
              <w:t>4</w:t>
            </w:r>
            <w:r>
              <w:rPr>
                <w:noProof/>
                <w:webHidden/>
              </w:rPr>
              <w:fldChar w:fldCharType="end"/>
            </w:r>
          </w:hyperlink>
        </w:p>
        <w:p w14:paraId="38493F76" w14:textId="696041CD" w:rsidR="000D69C5" w:rsidRDefault="000D69C5">
          <w:pPr>
            <w:pStyle w:val="TOC1"/>
            <w:tabs>
              <w:tab w:val="left" w:pos="332"/>
              <w:tab w:val="right" w:leader="dot" w:pos="9736"/>
            </w:tabs>
            <w:rPr>
              <w:rFonts w:eastAsiaTheme="minorEastAsia"/>
              <w:bCs w:val="0"/>
              <w:noProof/>
              <w:lang w:val="en-IN" w:eastAsia="ja-JP"/>
            </w:rPr>
          </w:pPr>
          <w:hyperlink w:anchor="_Toc88469372" w:history="1">
            <w:r w:rsidRPr="00794798">
              <w:rPr>
                <w:rStyle w:val="Hyperlink"/>
                <w:noProof/>
              </w:rPr>
              <w:t>3</w:t>
            </w:r>
            <w:r>
              <w:rPr>
                <w:rFonts w:eastAsiaTheme="minorEastAsia"/>
                <w:bCs w:val="0"/>
                <w:noProof/>
                <w:lang w:val="en-IN" w:eastAsia="ja-JP"/>
              </w:rPr>
              <w:tab/>
            </w:r>
            <w:r w:rsidRPr="00794798">
              <w:rPr>
                <w:rStyle w:val="Hyperlink"/>
                <w:noProof/>
              </w:rPr>
              <w:t>Statement of Scope</w:t>
            </w:r>
            <w:r>
              <w:rPr>
                <w:noProof/>
                <w:webHidden/>
              </w:rPr>
              <w:tab/>
            </w:r>
            <w:r>
              <w:rPr>
                <w:noProof/>
                <w:webHidden/>
              </w:rPr>
              <w:fldChar w:fldCharType="begin"/>
            </w:r>
            <w:r>
              <w:rPr>
                <w:noProof/>
                <w:webHidden/>
              </w:rPr>
              <w:instrText xml:space="preserve"> PAGEREF _Toc88469372 \h </w:instrText>
            </w:r>
            <w:r>
              <w:rPr>
                <w:noProof/>
                <w:webHidden/>
              </w:rPr>
            </w:r>
            <w:r>
              <w:rPr>
                <w:noProof/>
                <w:webHidden/>
              </w:rPr>
              <w:fldChar w:fldCharType="separate"/>
            </w:r>
            <w:r>
              <w:rPr>
                <w:noProof/>
                <w:webHidden/>
              </w:rPr>
              <w:t>4</w:t>
            </w:r>
            <w:r>
              <w:rPr>
                <w:noProof/>
                <w:webHidden/>
              </w:rPr>
              <w:fldChar w:fldCharType="end"/>
            </w:r>
          </w:hyperlink>
        </w:p>
        <w:p w14:paraId="6D146E7A" w14:textId="168E79FB" w:rsidR="000D69C5" w:rsidRDefault="000D69C5">
          <w:pPr>
            <w:pStyle w:val="TOC1"/>
            <w:tabs>
              <w:tab w:val="left" w:pos="332"/>
              <w:tab w:val="right" w:leader="dot" w:pos="9736"/>
            </w:tabs>
            <w:rPr>
              <w:rFonts w:eastAsiaTheme="minorEastAsia"/>
              <w:bCs w:val="0"/>
              <w:noProof/>
              <w:lang w:val="en-IN" w:eastAsia="ja-JP"/>
            </w:rPr>
          </w:pPr>
          <w:hyperlink w:anchor="_Toc88469373" w:history="1">
            <w:r w:rsidRPr="00794798">
              <w:rPr>
                <w:rStyle w:val="Hyperlink"/>
                <w:noProof/>
              </w:rPr>
              <w:t>4</w:t>
            </w:r>
            <w:r>
              <w:rPr>
                <w:rFonts w:eastAsiaTheme="minorEastAsia"/>
                <w:bCs w:val="0"/>
                <w:noProof/>
                <w:lang w:val="en-IN" w:eastAsia="ja-JP"/>
              </w:rPr>
              <w:tab/>
            </w:r>
            <w:r w:rsidRPr="00794798">
              <w:rPr>
                <w:rStyle w:val="Hyperlink"/>
                <w:noProof/>
              </w:rPr>
              <w:t>WinVinaya’s Approach</w:t>
            </w:r>
            <w:r>
              <w:rPr>
                <w:noProof/>
                <w:webHidden/>
              </w:rPr>
              <w:tab/>
            </w:r>
            <w:r>
              <w:rPr>
                <w:noProof/>
                <w:webHidden/>
              </w:rPr>
              <w:fldChar w:fldCharType="begin"/>
            </w:r>
            <w:r>
              <w:rPr>
                <w:noProof/>
                <w:webHidden/>
              </w:rPr>
              <w:instrText xml:space="preserve"> PAGEREF _Toc88469373 \h </w:instrText>
            </w:r>
            <w:r>
              <w:rPr>
                <w:noProof/>
                <w:webHidden/>
              </w:rPr>
            </w:r>
            <w:r>
              <w:rPr>
                <w:noProof/>
                <w:webHidden/>
              </w:rPr>
              <w:fldChar w:fldCharType="separate"/>
            </w:r>
            <w:r>
              <w:rPr>
                <w:noProof/>
                <w:webHidden/>
              </w:rPr>
              <w:t>5</w:t>
            </w:r>
            <w:r>
              <w:rPr>
                <w:noProof/>
                <w:webHidden/>
              </w:rPr>
              <w:fldChar w:fldCharType="end"/>
            </w:r>
          </w:hyperlink>
        </w:p>
        <w:p w14:paraId="43DF2BA4" w14:textId="5CBA0D28" w:rsidR="000D69C5" w:rsidRDefault="000D69C5">
          <w:pPr>
            <w:pStyle w:val="TOC1"/>
            <w:tabs>
              <w:tab w:val="left" w:pos="332"/>
              <w:tab w:val="right" w:leader="dot" w:pos="9736"/>
            </w:tabs>
            <w:rPr>
              <w:rFonts w:eastAsiaTheme="minorEastAsia"/>
              <w:bCs w:val="0"/>
              <w:noProof/>
              <w:lang w:val="en-IN" w:eastAsia="ja-JP"/>
            </w:rPr>
          </w:pPr>
          <w:hyperlink w:anchor="_Toc88469374" w:history="1">
            <w:r w:rsidRPr="00794798">
              <w:rPr>
                <w:rStyle w:val="Hyperlink"/>
                <w:noProof/>
              </w:rPr>
              <w:t>5</w:t>
            </w:r>
            <w:r>
              <w:rPr>
                <w:rFonts w:eastAsiaTheme="minorEastAsia"/>
                <w:bCs w:val="0"/>
                <w:noProof/>
                <w:lang w:val="en-IN" w:eastAsia="ja-JP"/>
              </w:rPr>
              <w:tab/>
            </w:r>
            <w:r w:rsidRPr="00794798">
              <w:rPr>
                <w:rStyle w:val="Hyperlink"/>
                <w:noProof/>
              </w:rPr>
              <w:t>Guidelines</w:t>
            </w:r>
            <w:r>
              <w:rPr>
                <w:noProof/>
                <w:webHidden/>
              </w:rPr>
              <w:tab/>
            </w:r>
            <w:r>
              <w:rPr>
                <w:noProof/>
                <w:webHidden/>
              </w:rPr>
              <w:fldChar w:fldCharType="begin"/>
            </w:r>
            <w:r>
              <w:rPr>
                <w:noProof/>
                <w:webHidden/>
              </w:rPr>
              <w:instrText xml:space="preserve"> PAGEREF _Toc88469374 \h </w:instrText>
            </w:r>
            <w:r>
              <w:rPr>
                <w:noProof/>
                <w:webHidden/>
              </w:rPr>
            </w:r>
            <w:r>
              <w:rPr>
                <w:noProof/>
                <w:webHidden/>
              </w:rPr>
              <w:fldChar w:fldCharType="separate"/>
            </w:r>
            <w:r>
              <w:rPr>
                <w:noProof/>
                <w:webHidden/>
              </w:rPr>
              <w:t>6</w:t>
            </w:r>
            <w:r>
              <w:rPr>
                <w:noProof/>
                <w:webHidden/>
              </w:rPr>
              <w:fldChar w:fldCharType="end"/>
            </w:r>
          </w:hyperlink>
        </w:p>
        <w:p w14:paraId="639A0D04" w14:textId="555678CB" w:rsidR="000D69C5" w:rsidRDefault="000D69C5">
          <w:pPr>
            <w:pStyle w:val="TOC1"/>
            <w:tabs>
              <w:tab w:val="left" w:pos="332"/>
              <w:tab w:val="right" w:leader="dot" w:pos="9736"/>
            </w:tabs>
            <w:rPr>
              <w:rFonts w:eastAsiaTheme="minorEastAsia"/>
              <w:bCs w:val="0"/>
              <w:noProof/>
              <w:lang w:val="en-IN" w:eastAsia="ja-JP"/>
            </w:rPr>
          </w:pPr>
          <w:hyperlink w:anchor="_Toc88469375" w:history="1">
            <w:r w:rsidRPr="00794798">
              <w:rPr>
                <w:rStyle w:val="Hyperlink"/>
                <w:noProof/>
              </w:rPr>
              <w:t>6</w:t>
            </w:r>
            <w:r>
              <w:rPr>
                <w:rFonts w:eastAsiaTheme="minorEastAsia"/>
                <w:bCs w:val="0"/>
                <w:noProof/>
                <w:lang w:val="en-IN" w:eastAsia="ja-JP"/>
              </w:rPr>
              <w:tab/>
            </w:r>
            <w:r w:rsidRPr="00794798">
              <w:rPr>
                <w:rStyle w:val="Hyperlink"/>
                <w:noProof/>
              </w:rPr>
              <w:t>Assumptions</w:t>
            </w:r>
            <w:r>
              <w:rPr>
                <w:noProof/>
                <w:webHidden/>
              </w:rPr>
              <w:tab/>
            </w:r>
            <w:r>
              <w:rPr>
                <w:noProof/>
                <w:webHidden/>
              </w:rPr>
              <w:fldChar w:fldCharType="begin"/>
            </w:r>
            <w:r>
              <w:rPr>
                <w:noProof/>
                <w:webHidden/>
              </w:rPr>
              <w:instrText xml:space="preserve"> PAGEREF _Toc88469375 \h </w:instrText>
            </w:r>
            <w:r>
              <w:rPr>
                <w:noProof/>
                <w:webHidden/>
              </w:rPr>
            </w:r>
            <w:r>
              <w:rPr>
                <w:noProof/>
                <w:webHidden/>
              </w:rPr>
              <w:fldChar w:fldCharType="separate"/>
            </w:r>
            <w:r>
              <w:rPr>
                <w:noProof/>
                <w:webHidden/>
              </w:rPr>
              <w:t>6</w:t>
            </w:r>
            <w:r>
              <w:rPr>
                <w:noProof/>
                <w:webHidden/>
              </w:rPr>
              <w:fldChar w:fldCharType="end"/>
            </w:r>
          </w:hyperlink>
        </w:p>
        <w:p w14:paraId="27F23583" w14:textId="055040C8" w:rsidR="000D69C5" w:rsidRDefault="000D69C5">
          <w:pPr>
            <w:pStyle w:val="TOC1"/>
            <w:tabs>
              <w:tab w:val="left" w:pos="332"/>
              <w:tab w:val="right" w:leader="dot" w:pos="9736"/>
            </w:tabs>
            <w:rPr>
              <w:rFonts w:eastAsiaTheme="minorEastAsia"/>
              <w:bCs w:val="0"/>
              <w:noProof/>
              <w:lang w:val="en-IN" w:eastAsia="ja-JP"/>
            </w:rPr>
          </w:pPr>
          <w:hyperlink w:anchor="_Toc88469376" w:history="1">
            <w:r w:rsidRPr="00794798">
              <w:rPr>
                <w:rStyle w:val="Hyperlink"/>
                <w:noProof/>
              </w:rPr>
              <w:t>7</w:t>
            </w:r>
            <w:r>
              <w:rPr>
                <w:rFonts w:eastAsiaTheme="minorEastAsia"/>
                <w:bCs w:val="0"/>
                <w:noProof/>
                <w:lang w:val="en-IN" w:eastAsia="ja-JP"/>
              </w:rPr>
              <w:tab/>
            </w:r>
            <w:r w:rsidRPr="00794798">
              <w:rPr>
                <w:rStyle w:val="Hyperlink"/>
                <w:noProof/>
              </w:rPr>
              <w:t>Recommended Milestones</w:t>
            </w:r>
            <w:r>
              <w:rPr>
                <w:noProof/>
                <w:webHidden/>
              </w:rPr>
              <w:tab/>
            </w:r>
            <w:r>
              <w:rPr>
                <w:noProof/>
                <w:webHidden/>
              </w:rPr>
              <w:fldChar w:fldCharType="begin"/>
            </w:r>
            <w:r>
              <w:rPr>
                <w:noProof/>
                <w:webHidden/>
              </w:rPr>
              <w:instrText xml:space="preserve"> PAGEREF _Toc88469376 \h </w:instrText>
            </w:r>
            <w:r>
              <w:rPr>
                <w:noProof/>
                <w:webHidden/>
              </w:rPr>
            </w:r>
            <w:r>
              <w:rPr>
                <w:noProof/>
                <w:webHidden/>
              </w:rPr>
              <w:fldChar w:fldCharType="separate"/>
            </w:r>
            <w:r>
              <w:rPr>
                <w:noProof/>
                <w:webHidden/>
              </w:rPr>
              <w:t>6</w:t>
            </w:r>
            <w:r>
              <w:rPr>
                <w:noProof/>
                <w:webHidden/>
              </w:rPr>
              <w:fldChar w:fldCharType="end"/>
            </w:r>
          </w:hyperlink>
        </w:p>
        <w:p w14:paraId="11FB9B04" w14:textId="7D61C5AB" w:rsidR="000D69C5" w:rsidRDefault="000D69C5">
          <w:pPr>
            <w:pStyle w:val="TOC1"/>
            <w:tabs>
              <w:tab w:val="left" w:pos="332"/>
              <w:tab w:val="right" w:leader="dot" w:pos="9736"/>
            </w:tabs>
            <w:rPr>
              <w:rFonts w:eastAsiaTheme="minorEastAsia"/>
              <w:bCs w:val="0"/>
              <w:noProof/>
              <w:lang w:val="en-IN" w:eastAsia="ja-JP"/>
            </w:rPr>
          </w:pPr>
          <w:hyperlink w:anchor="_Toc88469377" w:history="1">
            <w:r w:rsidRPr="00794798">
              <w:rPr>
                <w:rStyle w:val="Hyperlink"/>
                <w:noProof/>
              </w:rPr>
              <w:t>8</w:t>
            </w:r>
            <w:r>
              <w:rPr>
                <w:rFonts w:eastAsiaTheme="minorEastAsia"/>
                <w:bCs w:val="0"/>
                <w:noProof/>
                <w:lang w:val="en-IN" w:eastAsia="ja-JP"/>
              </w:rPr>
              <w:tab/>
            </w:r>
            <w:r w:rsidRPr="00794798">
              <w:rPr>
                <w:rStyle w:val="Hyperlink"/>
                <w:noProof/>
              </w:rPr>
              <w:t>Commercials</w:t>
            </w:r>
            <w:r>
              <w:rPr>
                <w:noProof/>
                <w:webHidden/>
              </w:rPr>
              <w:tab/>
            </w:r>
            <w:r>
              <w:rPr>
                <w:noProof/>
                <w:webHidden/>
              </w:rPr>
              <w:fldChar w:fldCharType="begin"/>
            </w:r>
            <w:r>
              <w:rPr>
                <w:noProof/>
                <w:webHidden/>
              </w:rPr>
              <w:instrText xml:space="preserve"> PAGEREF _Toc88469377 \h </w:instrText>
            </w:r>
            <w:r>
              <w:rPr>
                <w:noProof/>
                <w:webHidden/>
              </w:rPr>
            </w:r>
            <w:r>
              <w:rPr>
                <w:noProof/>
                <w:webHidden/>
              </w:rPr>
              <w:fldChar w:fldCharType="separate"/>
            </w:r>
            <w:r>
              <w:rPr>
                <w:noProof/>
                <w:webHidden/>
              </w:rPr>
              <w:t>6</w:t>
            </w:r>
            <w:r>
              <w:rPr>
                <w:noProof/>
                <w:webHidden/>
              </w:rPr>
              <w:fldChar w:fldCharType="end"/>
            </w:r>
          </w:hyperlink>
        </w:p>
        <w:p w14:paraId="7C76934F" w14:textId="6B96C34B" w:rsidR="000D69C5" w:rsidRDefault="000D69C5">
          <w:pPr>
            <w:pStyle w:val="TOC1"/>
            <w:tabs>
              <w:tab w:val="left" w:pos="332"/>
              <w:tab w:val="right" w:leader="dot" w:pos="9736"/>
            </w:tabs>
            <w:rPr>
              <w:rFonts w:eastAsiaTheme="minorEastAsia"/>
              <w:bCs w:val="0"/>
              <w:noProof/>
              <w:lang w:val="en-IN" w:eastAsia="ja-JP"/>
            </w:rPr>
          </w:pPr>
          <w:hyperlink w:anchor="_Toc88469378" w:history="1">
            <w:r w:rsidRPr="00794798">
              <w:rPr>
                <w:rStyle w:val="Hyperlink"/>
                <w:noProof/>
              </w:rPr>
              <w:t>9</w:t>
            </w:r>
            <w:r>
              <w:rPr>
                <w:rFonts w:eastAsiaTheme="minorEastAsia"/>
                <w:bCs w:val="0"/>
                <w:noProof/>
                <w:lang w:val="en-IN" w:eastAsia="ja-JP"/>
              </w:rPr>
              <w:tab/>
            </w:r>
            <w:r w:rsidRPr="00794798">
              <w:rPr>
                <w:rStyle w:val="Hyperlink"/>
                <w:noProof/>
              </w:rPr>
              <w:t>Thanks for the Opportunity</w:t>
            </w:r>
            <w:r>
              <w:rPr>
                <w:noProof/>
                <w:webHidden/>
              </w:rPr>
              <w:tab/>
            </w:r>
            <w:r>
              <w:rPr>
                <w:noProof/>
                <w:webHidden/>
              </w:rPr>
              <w:fldChar w:fldCharType="begin"/>
            </w:r>
            <w:r>
              <w:rPr>
                <w:noProof/>
                <w:webHidden/>
              </w:rPr>
              <w:instrText xml:space="preserve"> PAGEREF _Toc88469378 \h </w:instrText>
            </w:r>
            <w:r>
              <w:rPr>
                <w:noProof/>
                <w:webHidden/>
              </w:rPr>
            </w:r>
            <w:r>
              <w:rPr>
                <w:noProof/>
                <w:webHidden/>
              </w:rPr>
              <w:fldChar w:fldCharType="separate"/>
            </w:r>
            <w:r>
              <w:rPr>
                <w:noProof/>
                <w:webHidden/>
              </w:rPr>
              <w:t>7</w:t>
            </w:r>
            <w:r>
              <w:rPr>
                <w:noProof/>
                <w:webHidden/>
              </w:rPr>
              <w:fldChar w:fldCharType="end"/>
            </w:r>
          </w:hyperlink>
        </w:p>
        <w:p w14:paraId="6BFE3A01" w14:textId="587178A1" w:rsidR="000D69C5" w:rsidRDefault="000D69C5">
          <w:pPr>
            <w:pStyle w:val="TOC1"/>
            <w:tabs>
              <w:tab w:val="left" w:pos="443"/>
              <w:tab w:val="right" w:leader="dot" w:pos="9736"/>
            </w:tabs>
            <w:rPr>
              <w:rFonts w:eastAsiaTheme="minorEastAsia"/>
              <w:bCs w:val="0"/>
              <w:noProof/>
              <w:lang w:val="en-IN" w:eastAsia="ja-JP"/>
            </w:rPr>
          </w:pPr>
          <w:hyperlink w:anchor="_Toc88469379" w:history="1">
            <w:r w:rsidRPr="00794798">
              <w:rPr>
                <w:rStyle w:val="Hyperlink"/>
                <w:noProof/>
              </w:rPr>
              <w:t>10</w:t>
            </w:r>
            <w:r>
              <w:rPr>
                <w:rFonts w:eastAsiaTheme="minorEastAsia"/>
                <w:bCs w:val="0"/>
                <w:noProof/>
                <w:lang w:val="en-IN" w:eastAsia="ja-JP"/>
              </w:rPr>
              <w:tab/>
            </w:r>
            <w:r w:rsidRPr="00794798">
              <w:rPr>
                <w:rStyle w:val="Hyperlink"/>
                <w:noProof/>
              </w:rPr>
              <w:t>Appendix</w:t>
            </w:r>
            <w:r>
              <w:rPr>
                <w:noProof/>
                <w:webHidden/>
              </w:rPr>
              <w:tab/>
            </w:r>
            <w:r>
              <w:rPr>
                <w:noProof/>
                <w:webHidden/>
              </w:rPr>
              <w:fldChar w:fldCharType="begin"/>
            </w:r>
            <w:r>
              <w:rPr>
                <w:noProof/>
                <w:webHidden/>
              </w:rPr>
              <w:instrText xml:space="preserve"> PAGEREF _Toc88469379 \h </w:instrText>
            </w:r>
            <w:r>
              <w:rPr>
                <w:noProof/>
                <w:webHidden/>
              </w:rPr>
            </w:r>
            <w:r>
              <w:rPr>
                <w:noProof/>
                <w:webHidden/>
              </w:rPr>
              <w:fldChar w:fldCharType="separate"/>
            </w:r>
            <w:r>
              <w:rPr>
                <w:noProof/>
                <w:webHidden/>
              </w:rPr>
              <w:t>8</w:t>
            </w:r>
            <w:r>
              <w:rPr>
                <w:noProof/>
                <w:webHidden/>
              </w:rPr>
              <w:fldChar w:fldCharType="end"/>
            </w:r>
          </w:hyperlink>
        </w:p>
        <w:p w14:paraId="13041F65" w14:textId="40AA2040" w:rsidR="000D69C5" w:rsidRDefault="000D69C5">
          <w:pPr>
            <w:pStyle w:val="TOC2"/>
            <w:tabs>
              <w:tab w:val="left" w:pos="592"/>
              <w:tab w:val="right" w:leader="dot" w:pos="9736"/>
            </w:tabs>
            <w:rPr>
              <w:rFonts w:eastAsiaTheme="minorEastAsia"/>
              <w:bCs w:val="0"/>
              <w:noProof/>
              <w:sz w:val="22"/>
              <w:lang w:val="en-IN" w:eastAsia="ja-JP"/>
            </w:rPr>
          </w:pPr>
          <w:hyperlink w:anchor="_Toc88469380" w:history="1">
            <w:r w:rsidRPr="00794798">
              <w:rPr>
                <w:rStyle w:val="Hyperlink"/>
                <w:noProof/>
              </w:rPr>
              <w:t>10.1</w:t>
            </w:r>
            <w:r>
              <w:rPr>
                <w:rFonts w:eastAsiaTheme="minorEastAsia"/>
                <w:bCs w:val="0"/>
                <w:noProof/>
                <w:sz w:val="22"/>
                <w:lang w:val="en-IN" w:eastAsia="ja-JP"/>
              </w:rPr>
              <w:tab/>
            </w:r>
            <w:r w:rsidRPr="00794798">
              <w:rPr>
                <w:rStyle w:val="Hyperlink"/>
                <w:noProof/>
              </w:rPr>
              <w:t>Disability Awareness Orientation (DAO)</w:t>
            </w:r>
            <w:r>
              <w:rPr>
                <w:noProof/>
                <w:webHidden/>
              </w:rPr>
              <w:tab/>
            </w:r>
            <w:r>
              <w:rPr>
                <w:noProof/>
                <w:webHidden/>
              </w:rPr>
              <w:fldChar w:fldCharType="begin"/>
            </w:r>
            <w:r>
              <w:rPr>
                <w:noProof/>
                <w:webHidden/>
              </w:rPr>
              <w:instrText xml:space="preserve"> PAGEREF _Toc88469380 \h </w:instrText>
            </w:r>
            <w:r>
              <w:rPr>
                <w:noProof/>
                <w:webHidden/>
              </w:rPr>
            </w:r>
            <w:r>
              <w:rPr>
                <w:noProof/>
                <w:webHidden/>
              </w:rPr>
              <w:fldChar w:fldCharType="separate"/>
            </w:r>
            <w:r>
              <w:rPr>
                <w:noProof/>
                <w:webHidden/>
              </w:rPr>
              <w:t>8</w:t>
            </w:r>
            <w:r>
              <w:rPr>
                <w:noProof/>
                <w:webHidden/>
              </w:rPr>
              <w:fldChar w:fldCharType="end"/>
            </w:r>
          </w:hyperlink>
        </w:p>
        <w:p w14:paraId="20350FE1" w14:textId="76E22EB7" w:rsidR="000D69C5" w:rsidRDefault="000D69C5">
          <w:pPr>
            <w:pStyle w:val="TOC2"/>
            <w:tabs>
              <w:tab w:val="left" w:pos="592"/>
              <w:tab w:val="right" w:leader="dot" w:pos="9736"/>
            </w:tabs>
            <w:rPr>
              <w:rFonts w:eastAsiaTheme="minorEastAsia"/>
              <w:bCs w:val="0"/>
              <w:noProof/>
              <w:sz w:val="22"/>
              <w:lang w:val="en-IN" w:eastAsia="ja-JP"/>
            </w:rPr>
          </w:pPr>
          <w:hyperlink w:anchor="_Toc88469381" w:history="1">
            <w:r w:rsidRPr="00794798">
              <w:rPr>
                <w:rStyle w:val="Hyperlink"/>
                <w:noProof/>
              </w:rPr>
              <w:t>10.2</w:t>
            </w:r>
            <w:r>
              <w:rPr>
                <w:rFonts w:eastAsiaTheme="minorEastAsia"/>
                <w:bCs w:val="0"/>
                <w:noProof/>
                <w:sz w:val="22"/>
                <w:lang w:val="en-IN" w:eastAsia="ja-JP"/>
              </w:rPr>
              <w:tab/>
            </w:r>
            <w:r w:rsidRPr="00794798">
              <w:rPr>
                <w:rStyle w:val="Hyperlink"/>
                <w:noProof/>
              </w:rPr>
              <w:t>Disability Sensitization Workshop (DSW) for Hiring Managers</w:t>
            </w:r>
            <w:r>
              <w:rPr>
                <w:noProof/>
                <w:webHidden/>
              </w:rPr>
              <w:tab/>
            </w:r>
            <w:r>
              <w:rPr>
                <w:noProof/>
                <w:webHidden/>
              </w:rPr>
              <w:fldChar w:fldCharType="begin"/>
            </w:r>
            <w:r>
              <w:rPr>
                <w:noProof/>
                <w:webHidden/>
              </w:rPr>
              <w:instrText xml:space="preserve"> PAGEREF _Toc88469381 \h </w:instrText>
            </w:r>
            <w:r>
              <w:rPr>
                <w:noProof/>
                <w:webHidden/>
              </w:rPr>
            </w:r>
            <w:r>
              <w:rPr>
                <w:noProof/>
                <w:webHidden/>
              </w:rPr>
              <w:fldChar w:fldCharType="separate"/>
            </w:r>
            <w:r>
              <w:rPr>
                <w:noProof/>
                <w:webHidden/>
              </w:rPr>
              <w:t>8</w:t>
            </w:r>
            <w:r>
              <w:rPr>
                <w:noProof/>
                <w:webHidden/>
              </w:rPr>
              <w:fldChar w:fldCharType="end"/>
            </w:r>
          </w:hyperlink>
        </w:p>
        <w:p w14:paraId="2EAEE855" w14:textId="24200EFF" w:rsidR="000D69C5" w:rsidRDefault="000D69C5">
          <w:pPr>
            <w:pStyle w:val="TOC2"/>
            <w:tabs>
              <w:tab w:val="left" w:pos="592"/>
              <w:tab w:val="right" w:leader="dot" w:pos="9736"/>
            </w:tabs>
            <w:rPr>
              <w:rFonts w:eastAsiaTheme="minorEastAsia"/>
              <w:bCs w:val="0"/>
              <w:noProof/>
              <w:sz w:val="22"/>
              <w:lang w:val="en-IN" w:eastAsia="ja-JP"/>
            </w:rPr>
          </w:pPr>
          <w:hyperlink w:anchor="_Toc88469382" w:history="1">
            <w:r w:rsidRPr="00794798">
              <w:rPr>
                <w:rStyle w:val="Hyperlink"/>
                <w:noProof/>
              </w:rPr>
              <w:t>10.3</w:t>
            </w:r>
            <w:r>
              <w:rPr>
                <w:rFonts w:eastAsiaTheme="minorEastAsia"/>
                <w:bCs w:val="0"/>
                <w:noProof/>
                <w:sz w:val="22"/>
                <w:lang w:val="en-IN" w:eastAsia="ja-JP"/>
              </w:rPr>
              <w:tab/>
            </w:r>
            <w:r w:rsidRPr="00794798">
              <w:rPr>
                <w:rStyle w:val="Hyperlink"/>
                <w:noProof/>
              </w:rPr>
              <w:t>Mentoring Support for Hiring Managers, Delivery Teams</w:t>
            </w:r>
            <w:r>
              <w:rPr>
                <w:noProof/>
                <w:webHidden/>
              </w:rPr>
              <w:tab/>
            </w:r>
            <w:r>
              <w:rPr>
                <w:noProof/>
                <w:webHidden/>
              </w:rPr>
              <w:fldChar w:fldCharType="begin"/>
            </w:r>
            <w:r>
              <w:rPr>
                <w:noProof/>
                <w:webHidden/>
              </w:rPr>
              <w:instrText xml:space="preserve"> PAGEREF _Toc88469382 \h </w:instrText>
            </w:r>
            <w:r>
              <w:rPr>
                <w:noProof/>
                <w:webHidden/>
              </w:rPr>
            </w:r>
            <w:r>
              <w:rPr>
                <w:noProof/>
                <w:webHidden/>
              </w:rPr>
              <w:fldChar w:fldCharType="separate"/>
            </w:r>
            <w:r>
              <w:rPr>
                <w:noProof/>
                <w:webHidden/>
              </w:rPr>
              <w:t>9</w:t>
            </w:r>
            <w:r>
              <w:rPr>
                <w:noProof/>
                <w:webHidden/>
              </w:rPr>
              <w:fldChar w:fldCharType="end"/>
            </w:r>
          </w:hyperlink>
        </w:p>
        <w:p w14:paraId="0713C432" w14:textId="42DCACE8" w:rsidR="000D69C5" w:rsidRDefault="000D69C5">
          <w:pPr>
            <w:pStyle w:val="TOC2"/>
            <w:tabs>
              <w:tab w:val="left" w:pos="592"/>
              <w:tab w:val="right" w:leader="dot" w:pos="9736"/>
            </w:tabs>
            <w:rPr>
              <w:rFonts w:eastAsiaTheme="minorEastAsia"/>
              <w:bCs w:val="0"/>
              <w:noProof/>
              <w:sz w:val="22"/>
              <w:lang w:val="en-IN" w:eastAsia="ja-JP"/>
            </w:rPr>
          </w:pPr>
          <w:hyperlink w:anchor="_Toc88469383" w:history="1">
            <w:r w:rsidRPr="00794798">
              <w:rPr>
                <w:rStyle w:val="Hyperlink"/>
                <w:noProof/>
              </w:rPr>
              <w:t>10.4</w:t>
            </w:r>
            <w:r>
              <w:rPr>
                <w:rFonts w:eastAsiaTheme="minorEastAsia"/>
                <w:bCs w:val="0"/>
                <w:noProof/>
                <w:sz w:val="22"/>
                <w:lang w:val="en-IN" w:eastAsia="ja-JP"/>
              </w:rPr>
              <w:tab/>
            </w:r>
            <w:r w:rsidRPr="00794798">
              <w:rPr>
                <w:rStyle w:val="Hyperlink"/>
                <w:noProof/>
              </w:rPr>
              <w:t>Indian Sign Language Orientation (ISLO)</w:t>
            </w:r>
            <w:r>
              <w:rPr>
                <w:noProof/>
                <w:webHidden/>
              </w:rPr>
              <w:tab/>
            </w:r>
            <w:r>
              <w:rPr>
                <w:noProof/>
                <w:webHidden/>
              </w:rPr>
              <w:fldChar w:fldCharType="begin"/>
            </w:r>
            <w:r>
              <w:rPr>
                <w:noProof/>
                <w:webHidden/>
              </w:rPr>
              <w:instrText xml:space="preserve"> PAGEREF _Toc88469383 \h </w:instrText>
            </w:r>
            <w:r>
              <w:rPr>
                <w:noProof/>
                <w:webHidden/>
              </w:rPr>
            </w:r>
            <w:r>
              <w:rPr>
                <w:noProof/>
                <w:webHidden/>
              </w:rPr>
              <w:fldChar w:fldCharType="separate"/>
            </w:r>
            <w:r>
              <w:rPr>
                <w:noProof/>
                <w:webHidden/>
              </w:rPr>
              <w:t>9</w:t>
            </w:r>
            <w:r>
              <w:rPr>
                <w:noProof/>
                <w:webHidden/>
              </w:rPr>
              <w:fldChar w:fldCharType="end"/>
            </w:r>
          </w:hyperlink>
        </w:p>
        <w:p w14:paraId="1C5A784D" w14:textId="5F19C242" w:rsidR="000D69C5" w:rsidRDefault="000D69C5">
          <w:pPr>
            <w:pStyle w:val="TOC2"/>
            <w:tabs>
              <w:tab w:val="left" w:pos="592"/>
              <w:tab w:val="right" w:leader="dot" w:pos="9736"/>
            </w:tabs>
            <w:rPr>
              <w:rFonts w:eastAsiaTheme="minorEastAsia"/>
              <w:bCs w:val="0"/>
              <w:noProof/>
              <w:sz w:val="22"/>
              <w:lang w:val="en-IN" w:eastAsia="ja-JP"/>
            </w:rPr>
          </w:pPr>
          <w:hyperlink w:anchor="_Toc88469384" w:history="1">
            <w:r w:rsidRPr="00794798">
              <w:rPr>
                <w:rStyle w:val="Hyperlink"/>
                <w:noProof/>
              </w:rPr>
              <w:t>10.5</w:t>
            </w:r>
            <w:r>
              <w:rPr>
                <w:rFonts w:eastAsiaTheme="minorEastAsia"/>
                <w:bCs w:val="0"/>
                <w:noProof/>
                <w:sz w:val="22"/>
                <w:lang w:val="en-IN" w:eastAsia="ja-JP"/>
              </w:rPr>
              <w:tab/>
            </w:r>
            <w:r w:rsidRPr="00794798">
              <w:rPr>
                <w:rStyle w:val="Hyperlink"/>
                <w:noProof/>
              </w:rPr>
              <w:t>Sign Language Interpretation Support</w:t>
            </w:r>
            <w:r>
              <w:rPr>
                <w:noProof/>
                <w:webHidden/>
              </w:rPr>
              <w:tab/>
            </w:r>
            <w:r>
              <w:rPr>
                <w:noProof/>
                <w:webHidden/>
              </w:rPr>
              <w:fldChar w:fldCharType="begin"/>
            </w:r>
            <w:r>
              <w:rPr>
                <w:noProof/>
                <w:webHidden/>
              </w:rPr>
              <w:instrText xml:space="preserve"> PAGEREF _Toc88469384 \h </w:instrText>
            </w:r>
            <w:r>
              <w:rPr>
                <w:noProof/>
                <w:webHidden/>
              </w:rPr>
            </w:r>
            <w:r>
              <w:rPr>
                <w:noProof/>
                <w:webHidden/>
              </w:rPr>
              <w:fldChar w:fldCharType="separate"/>
            </w:r>
            <w:r>
              <w:rPr>
                <w:noProof/>
                <w:webHidden/>
              </w:rPr>
              <w:t>10</w:t>
            </w:r>
            <w:r>
              <w:rPr>
                <w:noProof/>
                <w:webHidden/>
              </w:rPr>
              <w:fldChar w:fldCharType="end"/>
            </w:r>
          </w:hyperlink>
        </w:p>
        <w:p w14:paraId="33C63023" w14:textId="7C7556A8" w:rsidR="00977508" w:rsidRDefault="00977508" w:rsidP="00977508">
          <w:r>
            <w:fldChar w:fldCharType="end"/>
          </w:r>
        </w:p>
      </w:sdtContent>
    </w:sdt>
    <w:p w14:paraId="553175E5" w14:textId="77777777" w:rsidR="00977508" w:rsidRDefault="00977508" w:rsidP="00977508">
      <w:pPr>
        <w:rPr>
          <w:rFonts w:asciiTheme="majorHAnsi" w:eastAsiaTheme="majorEastAsia" w:hAnsiTheme="majorHAnsi" w:cstheme="majorBidi"/>
          <w:color w:val="365F91" w:themeColor="accent1" w:themeShade="BF"/>
          <w:sz w:val="32"/>
          <w:szCs w:val="32"/>
        </w:rPr>
      </w:pPr>
      <w:r>
        <w:br w:type="page"/>
      </w:r>
      <w:bookmarkStart w:id="0" w:name="_GoBack"/>
      <w:bookmarkEnd w:id="0"/>
    </w:p>
    <w:p w14:paraId="6584C175" w14:textId="77777777" w:rsidR="00977508" w:rsidRDefault="00977508" w:rsidP="00977508">
      <w:pPr>
        <w:pStyle w:val="Heading1"/>
        <w:numPr>
          <w:ilvl w:val="0"/>
          <w:numId w:val="0"/>
        </w:numPr>
        <w:spacing w:after="240"/>
        <w:ind w:left="432" w:hanging="432"/>
      </w:pPr>
      <w:bookmarkStart w:id="1" w:name="_Toc88469369"/>
      <w:r>
        <w:lastRenderedPageBreak/>
        <w:t>Revision History</w:t>
      </w:r>
      <w:bookmarkEnd w:id="1"/>
    </w:p>
    <w:tbl>
      <w:tblPr>
        <w:tblW w:w="8830" w:type="dxa"/>
        <w:tblInd w:w="8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83"/>
        <w:gridCol w:w="1610"/>
        <w:gridCol w:w="2835"/>
        <w:gridCol w:w="3402"/>
      </w:tblGrid>
      <w:tr w:rsidR="00977508" w:rsidRPr="00FA755A" w14:paraId="1F33D7A8" w14:textId="77777777" w:rsidTr="00C9199A">
        <w:trPr>
          <w:cantSplit/>
          <w:tblHeader/>
        </w:trPr>
        <w:tc>
          <w:tcPr>
            <w:tcW w:w="983" w:type="dxa"/>
            <w:shd w:val="clear" w:color="auto" w:fill="F3F3F3"/>
            <w:vAlign w:val="center"/>
          </w:tcPr>
          <w:p w14:paraId="30FE9B98" w14:textId="77777777" w:rsidR="00977508" w:rsidRPr="00FA755A" w:rsidRDefault="00977508" w:rsidP="00C9199A">
            <w:pPr>
              <w:jc w:val="center"/>
              <w:rPr>
                <w:b/>
              </w:rPr>
            </w:pPr>
            <w:r w:rsidRPr="00FA755A">
              <w:rPr>
                <w:b/>
              </w:rPr>
              <w:t>Version</w:t>
            </w:r>
          </w:p>
        </w:tc>
        <w:tc>
          <w:tcPr>
            <w:tcW w:w="1610" w:type="dxa"/>
            <w:shd w:val="clear" w:color="auto" w:fill="F3F3F3"/>
            <w:vAlign w:val="center"/>
          </w:tcPr>
          <w:p w14:paraId="32A3D3E3" w14:textId="77777777" w:rsidR="00977508" w:rsidRPr="00FA755A" w:rsidRDefault="00977508" w:rsidP="00C9199A">
            <w:pPr>
              <w:jc w:val="center"/>
              <w:rPr>
                <w:b/>
              </w:rPr>
            </w:pPr>
            <w:r w:rsidRPr="00FA755A">
              <w:rPr>
                <w:b/>
              </w:rPr>
              <w:t>Effective Date</w:t>
            </w:r>
          </w:p>
        </w:tc>
        <w:tc>
          <w:tcPr>
            <w:tcW w:w="2835" w:type="dxa"/>
            <w:shd w:val="clear" w:color="auto" w:fill="F3F3F3"/>
            <w:vAlign w:val="center"/>
          </w:tcPr>
          <w:p w14:paraId="520471BF" w14:textId="77777777" w:rsidR="00977508" w:rsidRPr="00FA755A" w:rsidRDefault="00977508" w:rsidP="00C9199A">
            <w:pPr>
              <w:jc w:val="center"/>
              <w:rPr>
                <w:b/>
              </w:rPr>
            </w:pPr>
            <w:r w:rsidRPr="00FA755A">
              <w:rPr>
                <w:b/>
              </w:rPr>
              <w:t>Brief Description of Change</w:t>
            </w:r>
          </w:p>
        </w:tc>
        <w:tc>
          <w:tcPr>
            <w:tcW w:w="3402" w:type="dxa"/>
            <w:shd w:val="clear" w:color="auto" w:fill="F3F3F3"/>
            <w:vAlign w:val="center"/>
          </w:tcPr>
          <w:p w14:paraId="0F8C94C4" w14:textId="77777777" w:rsidR="00977508" w:rsidRPr="00FA755A" w:rsidRDefault="00977508" w:rsidP="00C9199A">
            <w:pPr>
              <w:jc w:val="center"/>
              <w:rPr>
                <w:b/>
              </w:rPr>
            </w:pPr>
            <w:r w:rsidRPr="00FA755A">
              <w:rPr>
                <w:b/>
              </w:rPr>
              <w:t>Reference for Change</w:t>
            </w:r>
          </w:p>
        </w:tc>
      </w:tr>
      <w:tr w:rsidR="00977508" w:rsidRPr="00FA755A" w14:paraId="1776E1E1" w14:textId="77777777" w:rsidTr="00C9199A">
        <w:trPr>
          <w:cantSplit/>
        </w:trPr>
        <w:tc>
          <w:tcPr>
            <w:tcW w:w="983" w:type="dxa"/>
            <w:vAlign w:val="center"/>
          </w:tcPr>
          <w:p w14:paraId="22E50134" w14:textId="77777777" w:rsidR="00977508" w:rsidRPr="00FA755A" w:rsidRDefault="00977508" w:rsidP="00C9199A">
            <w:pPr>
              <w:jc w:val="center"/>
            </w:pPr>
            <w:r w:rsidRPr="00FA755A">
              <w:t>1.0</w:t>
            </w:r>
          </w:p>
        </w:tc>
        <w:tc>
          <w:tcPr>
            <w:tcW w:w="1610" w:type="dxa"/>
            <w:vAlign w:val="center"/>
          </w:tcPr>
          <w:p w14:paraId="466BF212" w14:textId="4A22C110" w:rsidR="00977508" w:rsidRPr="00FA755A" w:rsidRDefault="004403E1" w:rsidP="00C9199A">
            <w:pPr>
              <w:jc w:val="center"/>
            </w:pPr>
            <w:r>
              <w:t>22-Nov</w:t>
            </w:r>
            <w:r w:rsidR="00977508">
              <w:t>-2021</w:t>
            </w:r>
          </w:p>
        </w:tc>
        <w:tc>
          <w:tcPr>
            <w:tcW w:w="2835" w:type="dxa"/>
            <w:vAlign w:val="center"/>
          </w:tcPr>
          <w:p w14:paraId="36326FA3" w14:textId="77777777" w:rsidR="00977508" w:rsidRPr="00FA755A" w:rsidRDefault="00977508" w:rsidP="00C9199A">
            <w:pPr>
              <w:jc w:val="center"/>
            </w:pPr>
            <w:r w:rsidRPr="00FA755A">
              <w:t>First Version</w:t>
            </w:r>
          </w:p>
        </w:tc>
        <w:tc>
          <w:tcPr>
            <w:tcW w:w="3402" w:type="dxa"/>
            <w:vAlign w:val="center"/>
          </w:tcPr>
          <w:p w14:paraId="47F1848D" w14:textId="77777777" w:rsidR="00977508" w:rsidRPr="00FA755A" w:rsidRDefault="00977508" w:rsidP="00C9199A">
            <w:pPr>
              <w:jc w:val="center"/>
            </w:pPr>
            <w:r w:rsidRPr="00FA755A">
              <w:t>N/A</w:t>
            </w:r>
          </w:p>
        </w:tc>
      </w:tr>
    </w:tbl>
    <w:p w14:paraId="46C4213F" w14:textId="77777777" w:rsidR="00977508" w:rsidRDefault="00977508" w:rsidP="00977508">
      <w:pPr>
        <w:rPr>
          <w:rFonts w:asciiTheme="majorHAnsi" w:eastAsiaTheme="majorEastAsia" w:hAnsiTheme="majorHAnsi" w:cstheme="majorBidi"/>
          <w:color w:val="365F91" w:themeColor="accent1" w:themeShade="BF"/>
          <w:sz w:val="32"/>
          <w:szCs w:val="32"/>
        </w:rPr>
      </w:pPr>
      <w:r>
        <w:br w:type="page"/>
      </w:r>
    </w:p>
    <w:p w14:paraId="6D3C43AD" w14:textId="77777777" w:rsidR="00977508" w:rsidRDefault="00977508" w:rsidP="00977508">
      <w:pPr>
        <w:pStyle w:val="Heading1"/>
        <w:numPr>
          <w:ilvl w:val="0"/>
          <w:numId w:val="5"/>
        </w:numPr>
        <w:spacing w:after="120"/>
      </w:pPr>
      <w:bookmarkStart w:id="2" w:name="_Toc88469370"/>
      <w:r>
        <w:lastRenderedPageBreak/>
        <w:t>Project Summary</w:t>
      </w:r>
      <w:bookmarkEnd w:id="2"/>
    </w:p>
    <w:p w14:paraId="0F5480F8" w14:textId="48CC09F1" w:rsidR="007950D3" w:rsidRDefault="004403E1" w:rsidP="00977508">
      <w:pPr>
        <w:spacing w:after="120"/>
        <w:jc w:val="both"/>
      </w:pPr>
      <w:r>
        <w:t xml:space="preserve">Accenture </w:t>
      </w:r>
      <w:r w:rsidRPr="004403E1">
        <w:t xml:space="preserve">is </w:t>
      </w:r>
      <w:r w:rsidR="006E0514">
        <w:t xml:space="preserve">a </w:t>
      </w:r>
      <w:r w:rsidRPr="004403E1">
        <w:t>multinational professional services company that specialises in IT services and consulting.</w:t>
      </w:r>
      <w:r w:rsidR="00986629">
        <w:t xml:space="preserve"> </w:t>
      </w:r>
      <w:r w:rsidR="008A282C" w:rsidRPr="008A282C">
        <w:t xml:space="preserve">Inclusion and diversity are fundamental to </w:t>
      </w:r>
      <w:r w:rsidR="008A282C">
        <w:t>Accenture’s</w:t>
      </w:r>
      <w:r w:rsidR="008A282C" w:rsidRPr="008A282C">
        <w:t xml:space="preserve"> culture and core values.</w:t>
      </w:r>
      <w:r w:rsidR="008A282C">
        <w:t xml:space="preserve"> </w:t>
      </w:r>
      <w:r w:rsidR="00B77913">
        <w:t>Accenture</w:t>
      </w:r>
      <w:r w:rsidR="00977508">
        <w:t xml:space="preserve"> is looking for a service</w:t>
      </w:r>
      <w:r w:rsidR="006A2C30">
        <w:t xml:space="preserve"> provider who can provide Disability Sensitization </w:t>
      </w:r>
      <w:r w:rsidR="00B77913">
        <w:t xml:space="preserve">sessions </w:t>
      </w:r>
      <w:r w:rsidR="00B77913" w:rsidRPr="00B77913">
        <w:t xml:space="preserve">designed for Accenture </w:t>
      </w:r>
      <w:r w:rsidR="008728D9">
        <w:t>Leaders and associates</w:t>
      </w:r>
      <w:r w:rsidR="008728D9" w:rsidRPr="00B77913">
        <w:t xml:space="preserve"> </w:t>
      </w:r>
      <w:r w:rsidR="00B77913" w:rsidRPr="00B77913">
        <w:t>across all entities</w:t>
      </w:r>
      <w:r w:rsidR="00431DA5">
        <w:t xml:space="preserve">. </w:t>
      </w:r>
    </w:p>
    <w:p w14:paraId="6DB945C5" w14:textId="77777777" w:rsidR="00977508" w:rsidRDefault="00977508" w:rsidP="00EC0790">
      <w:pPr>
        <w:pStyle w:val="Heading1"/>
        <w:spacing w:before="0" w:after="120"/>
        <w:jc w:val="both"/>
      </w:pPr>
      <w:bookmarkStart w:id="3" w:name="_Toc88469371"/>
      <w:r>
        <w:t>Introduction about WinVinaya Foundation</w:t>
      </w:r>
      <w:bookmarkEnd w:id="3"/>
    </w:p>
    <w:p w14:paraId="77B696FE" w14:textId="56A64B60" w:rsidR="00977508" w:rsidRDefault="00977508" w:rsidP="00977508">
      <w:pPr>
        <w:jc w:val="both"/>
      </w:pPr>
      <w:r w:rsidRPr="00FF3CC2">
        <w:t>WinVinaya</w:t>
      </w:r>
      <w:r>
        <w:t xml:space="preserve"> Foundation, a Charitable Trust was registered in Feb 2016 by Shiva </w:t>
      </w:r>
      <w:proofErr w:type="spellStart"/>
      <w:r>
        <w:t>Jayago</w:t>
      </w:r>
      <w:r w:rsidR="003B4932">
        <w:t>pal</w:t>
      </w:r>
      <w:proofErr w:type="spellEnd"/>
      <w:r w:rsidR="003B4932">
        <w:t xml:space="preserve"> who is an IT Veteran with 30</w:t>
      </w:r>
      <w:r>
        <w:t xml:space="preserve">+ years </w:t>
      </w:r>
      <w:r w:rsidR="008728D9">
        <w:t>of industry experience</w:t>
      </w:r>
      <w:r>
        <w:t xml:space="preserve"> and </w:t>
      </w:r>
      <w:proofErr w:type="spellStart"/>
      <w:r w:rsidR="003B4932">
        <w:t>Seethalakshmi</w:t>
      </w:r>
      <w:proofErr w:type="spellEnd"/>
      <w:r w:rsidR="003B4932">
        <w:t xml:space="preserve"> (</w:t>
      </w:r>
      <w:proofErr w:type="spellStart"/>
      <w:r w:rsidR="003B4932">
        <w:t>Akila</w:t>
      </w:r>
      <w:proofErr w:type="spellEnd"/>
      <w:r w:rsidR="003B4932">
        <w:t>) who has 17</w:t>
      </w:r>
      <w:r>
        <w:t xml:space="preserve">+ years of experience working with Persons with Disabilities.  Our primary aim is to empower Persons with Disabilities, economically disadvantaged and women to earn a decent income and lead a life with dignity by providing life skills and resources.  We operate a </w:t>
      </w:r>
      <w:r w:rsidR="00A466B8">
        <w:t>centre</w:t>
      </w:r>
      <w:r>
        <w:t xml:space="preserve"> in Bangalore and a </w:t>
      </w:r>
      <w:r w:rsidR="00A466B8">
        <w:t>centre</w:t>
      </w:r>
      <w:r>
        <w:t xml:space="preserve"> in </w:t>
      </w:r>
      <w:proofErr w:type="spellStart"/>
      <w:r>
        <w:t>Tirupur</w:t>
      </w:r>
      <w:proofErr w:type="spellEnd"/>
      <w:r>
        <w:t xml:space="preserve">.  </w:t>
      </w:r>
    </w:p>
    <w:p w14:paraId="42545C0A" w14:textId="05B5092A" w:rsidR="003B4932" w:rsidRDefault="00FB353E" w:rsidP="003B4932">
      <w:pPr>
        <w:spacing w:after="120"/>
        <w:jc w:val="both"/>
      </w:pPr>
      <w:r>
        <w:t>WinVinaya believes</w:t>
      </w:r>
      <w:r w:rsidR="008728D9">
        <w:t xml:space="preserve"> </w:t>
      </w:r>
      <w:r w:rsidR="004865C6">
        <w:t>D&amp;I initiatives has to be holistic and comprehensive.  We work with companies to increase their D&amp;I Quotient in addition to training our candidates.  This has helped both the companies</w:t>
      </w:r>
      <w:r>
        <w:t xml:space="preserve"> </w:t>
      </w:r>
      <w:r w:rsidR="004865C6">
        <w:t xml:space="preserve">and the candidates to succeed. </w:t>
      </w:r>
      <w:r>
        <w:t xml:space="preserve">WinVinaya conducts </w:t>
      </w:r>
      <w:r w:rsidR="004865C6">
        <w:t xml:space="preserve">Disability Sensitization Orientation, </w:t>
      </w:r>
      <w:r>
        <w:t>Sensitization Workshops</w:t>
      </w:r>
      <w:r w:rsidR="006E0514">
        <w:t>, Sign</w:t>
      </w:r>
      <w:r w:rsidR="00986629">
        <w:t xml:space="preserve"> Language Orientation</w:t>
      </w:r>
      <w:r w:rsidR="004865C6">
        <w:t xml:space="preserve">, Mentoring support </w:t>
      </w:r>
      <w:r>
        <w:t xml:space="preserve">through which we sensitize leaders, managers, team members, </w:t>
      </w:r>
      <w:proofErr w:type="gramStart"/>
      <w:r>
        <w:t>support</w:t>
      </w:r>
      <w:proofErr w:type="gramEnd"/>
      <w:r>
        <w:t xml:space="preserve"> teams on the best practices in integrating PWDs in the workplace.  This has helped companies succeed not only in recruiting the candidates but also be successful in embracing them</w:t>
      </w:r>
      <w:r w:rsidR="004865C6">
        <w:t xml:space="preserve"> and help them grow in their career</w:t>
      </w:r>
      <w:r>
        <w:t>.</w:t>
      </w:r>
    </w:p>
    <w:p w14:paraId="395BB9B5" w14:textId="77777777" w:rsidR="00977508" w:rsidRDefault="00977508" w:rsidP="00EC0790">
      <w:pPr>
        <w:pStyle w:val="Heading1"/>
        <w:spacing w:before="0" w:after="120"/>
        <w:jc w:val="both"/>
      </w:pPr>
      <w:bookmarkStart w:id="4" w:name="_Toc88469372"/>
      <w:r>
        <w:t>Statement of Scope</w:t>
      </w:r>
      <w:bookmarkEnd w:id="4"/>
    </w:p>
    <w:p w14:paraId="39A03531" w14:textId="0ABB8020" w:rsidR="00984318" w:rsidRDefault="00EC0790" w:rsidP="00EC0790">
      <w:pPr>
        <w:spacing w:after="0"/>
        <w:jc w:val="both"/>
        <w:rPr>
          <w:lang w:eastAsia="en-US"/>
        </w:rPr>
      </w:pPr>
      <w:r>
        <w:rPr>
          <w:lang w:eastAsia="en-US"/>
        </w:rPr>
        <w:t>Diversity and Inclusion Journey</w:t>
      </w:r>
      <w:r w:rsidR="00321BDA">
        <w:rPr>
          <w:lang w:eastAsia="en-US"/>
        </w:rPr>
        <w:t xml:space="preserve"> </w:t>
      </w:r>
      <w:r>
        <w:rPr>
          <w:lang w:eastAsia="en-US"/>
        </w:rPr>
        <w:t xml:space="preserve">is like a marathon which takes time to mature and involves culture and mind-set change.  Every journey starts with the first step and we will be happy to partner with </w:t>
      </w:r>
      <w:r w:rsidR="00B77913">
        <w:rPr>
          <w:lang w:eastAsia="en-US"/>
        </w:rPr>
        <w:t>Accenture</w:t>
      </w:r>
      <w:r w:rsidR="00431DA5">
        <w:rPr>
          <w:lang w:eastAsia="en-US"/>
        </w:rPr>
        <w:t xml:space="preserve"> in your D&amp;I journey. </w:t>
      </w:r>
    </w:p>
    <w:p w14:paraId="4C15BA43" w14:textId="5923622C" w:rsidR="001458B2" w:rsidRDefault="007D7DAA" w:rsidP="00287CAC">
      <w:pPr>
        <w:spacing w:before="240" w:line="256" w:lineRule="auto"/>
        <w:jc w:val="center"/>
      </w:pPr>
      <w:r>
        <w:rPr>
          <w:noProof/>
        </w:rPr>
        <w:drawing>
          <wp:inline distT="0" distB="0" distL="0" distR="0" wp14:anchorId="4B54C2DD" wp14:editId="59CC47C0">
            <wp:extent cx="6328259"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1069" cy="4104041"/>
                    </a:xfrm>
                    <a:prstGeom prst="rect">
                      <a:avLst/>
                    </a:prstGeom>
                    <a:noFill/>
                  </pic:spPr>
                </pic:pic>
              </a:graphicData>
            </a:graphic>
          </wp:inline>
        </w:drawing>
      </w:r>
    </w:p>
    <w:p w14:paraId="5E5EC8D0" w14:textId="77777777" w:rsidR="00977508" w:rsidRDefault="00977508" w:rsidP="00977508">
      <w:pPr>
        <w:pStyle w:val="Heading1"/>
        <w:spacing w:after="120"/>
        <w:jc w:val="both"/>
      </w:pPr>
      <w:bookmarkStart w:id="5" w:name="_Toc88469373"/>
      <w:proofErr w:type="spellStart"/>
      <w:r>
        <w:lastRenderedPageBreak/>
        <w:t>WinVinaya’s</w:t>
      </w:r>
      <w:proofErr w:type="spellEnd"/>
      <w:r>
        <w:t xml:space="preserve"> Approach</w:t>
      </w:r>
      <w:bookmarkEnd w:id="5"/>
    </w:p>
    <w:p w14:paraId="754AAA67" w14:textId="73950A0F" w:rsidR="00362488" w:rsidRDefault="00362488" w:rsidP="00820D07">
      <w:pPr>
        <w:jc w:val="both"/>
        <w:rPr>
          <w:lang w:eastAsia="en-US"/>
        </w:rPr>
      </w:pPr>
      <w:r>
        <w:rPr>
          <w:lang w:eastAsia="en-US"/>
        </w:rPr>
        <w:t xml:space="preserve">Our inclusion and sensitization sessions will deliver a social and a cultural storyline to paint a complete picture in favour of creating an inclusive </w:t>
      </w:r>
      <w:r w:rsidR="00080BCF">
        <w:rPr>
          <w:lang w:eastAsia="en-US"/>
        </w:rPr>
        <w:t>and accessible environment at Accenture</w:t>
      </w:r>
      <w:r>
        <w:rPr>
          <w:lang w:eastAsia="en-US"/>
        </w:rPr>
        <w:t>.</w:t>
      </w:r>
    </w:p>
    <w:p w14:paraId="37AFE3FA" w14:textId="72717A53" w:rsidR="00B42A90" w:rsidRDefault="00B42A90" w:rsidP="00820D07">
      <w:pPr>
        <w:jc w:val="both"/>
        <w:rPr>
          <w:lang w:eastAsia="en-US"/>
        </w:rPr>
      </w:pPr>
      <w:r>
        <w:rPr>
          <w:lang w:eastAsia="en-US"/>
        </w:rPr>
        <w:t xml:space="preserve">Our approach is to target </w:t>
      </w:r>
      <w:r w:rsidR="00D572F8">
        <w:rPr>
          <w:lang w:eastAsia="en-US"/>
        </w:rPr>
        <w:t>Accenture</w:t>
      </w:r>
      <w:r>
        <w:rPr>
          <w:lang w:eastAsia="en-US"/>
        </w:rPr>
        <w:t xml:space="preserve"> employees </w:t>
      </w:r>
      <w:r w:rsidR="00FF045F">
        <w:rPr>
          <w:lang w:eastAsia="en-US"/>
        </w:rPr>
        <w:t>in stages as depicted below</w:t>
      </w:r>
      <w:r>
        <w:rPr>
          <w:lang w:eastAsia="en-US"/>
        </w:rPr>
        <w:t xml:space="preserve"> – </w:t>
      </w:r>
    </w:p>
    <w:p w14:paraId="758F8D8B" w14:textId="02714E65" w:rsidR="00B42A90" w:rsidRDefault="00893ED5" w:rsidP="007C240F">
      <w:pPr>
        <w:jc w:val="center"/>
        <w:rPr>
          <w:lang w:eastAsia="en-US"/>
        </w:rPr>
      </w:pPr>
      <w:r>
        <w:rPr>
          <w:noProof/>
        </w:rPr>
        <w:drawing>
          <wp:inline distT="0" distB="0" distL="0" distR="0" wp14:anchorId="01255AFD" wp14:editId="194251CC">
            <wp:extent cx="5200650" cy="208721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0772" cy="2091279"/>
                    </a:xfrm>
                    <a:prstGeom prst="rect">
                      <a:avLst/>
                    </a:prstGeom>
                    <a:noFill/>
                  </pic:spPr>
                </pic:pic>
              </a:graphicData>
            </a:graphic>
          </wp:inline>
        </w:drawing>
      </w:r>
    </w:p>
    <w:tbl>
      <w:tblPr>
        <w:tblStyle w:val="ListTable3-Accent3"/>
        <w:tblW w:w="9773" w:type="dxa"/>
        <w:tblBorders>
          <w:top w:val="single" w:sz="6" w:space="0" w:color="C2D69B" w:themeColor="accent3" w:themeTint="99"/>
          <w:left w:val="single" w:sz="6" w:space="0" w:color="C2D69B" w:themeColor="accent3" w:themeTint="99"/>
          <w:bottom w:val="single" w:sz="6" w:space="0" w:color="C2D69B" w:themeColor="accent3" w:themeTint="99"/>
          <w:right w:val="single" w:sz="6" w:space="0" w:color="C2D69B" w:themeColor="accent3" w:themeTint="99"/>
          <w:insideH w:val="single" w:sz="6" w:space="0" w:color="C2D69B" w:themeColor="accent3" w:themeTint="99"/>
          <w:insideV w:val="single" w:sz="6" w:space="0" w:color="C2D69B" w:themeColor="accent3" w:themeTint="99"/>
        </w:tblBorders>
        <w:tblLook w:val="04A0" w:firstRow="1" w:lastRow="0" w:firstColumn="1" w:lastColumn="0" w:noHBand="0" w:noVBand="1"/>
      </w:tblPr>
      <w:tblGrid>
        <w:gridCol w:w="2260"/>
        <w:gridCol w:w="2552"/>
        <w:gridCol w:w="2554"/>
        <w:gridCol w:w="2407"/>
      </w:tblGrid>
      <w:tr w:rsidR="0025150C" w14:paraId="2CC85202" w14:textId="77777777" w:rsidTr="00FA43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0" w:type="dxa"/>
            <w:vAlign w:val="center"/>
          </w:tcPr>
          <w:p w14:paraId="69829424" w14:textId="74EBD8C0" w:rsidR="008E6098" w:rsidRPr="008E6098" w:rsidRDefault="0025150C" w:rsidP="007F238C">
            <w:pPr>
              <w:jc w:val="center"/>
              <w:rPr>
                <w:lang w:eastAsia="en-US"/>
              </w:rPr>
            </w:pPr>
            <w:r>
              <w:rPr>
                <w:lang w:eastAsia="en-US"/>
              </w:rPr>
              <w:t>STAGES</w:t>
            </w:r>
          </w:p>
        </w:tc>
        <w:tc>
          <w:tcPr>
            <w:tcW w:w="2552" w:type="dxa"/>
            <w:vAlign w:val="center"/>
          </w:tcPr>
          <w:p w14:paraId="517A08C3" w14:textId="36CD7FB5" w:rsidR="008E6098" w:rsidRPr="008E6098" w:rsidRDefault="007F6FDF" w:rsidP="007F238C">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OBJECTIVE</w:t>
            </w:r>
          </w:p>
        </w:tc>
        <w:tc>
          <w:tcPr>
            <w:tcW w:w="2554" w:type="dxa"/>
            <w:vAlign w:val="center"/>
          </w:tcPr>
          <w:p w14:paraId="51AEF8F4" w14:textId="0B436431" w:rsidR="008E6098" w:rsidRPr="008E6098" w:rsidRDefault="008747ED" w:rsidP="007F238C">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DELIVERY</w:t>
            </w:r>
          </w:p>
        </w:tc>
        <w:tc>
          <w:tcPr>
            <w:tcW w:w="2407" w:type="dxa"/>
            <w:vAlign w:val="center"/>
          </w:tcPr>
          <w:p w14:paraId="409199DC" w14:textId="16FE6C43" w:rsidR="008E6098" w:rsidRPr="008E6098" w:rsidRDefault="00F84284" w:rsidP="007F238C">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OUTCOME</w:t>
            </w:r>
          </w:p>
        </w:tc>
      </w:tr>
      <w:tr w:rsidR="00925600" w14:paraId="033DE674" w14:textId="77777777" w:rsidTr="00FA4367">
        <w:trPr>
          <w:cnfStyle w:val="000000100000" w:firstRow="0" w:lastRow="0" w:firstColumn="0" w:lastColumn="0" w:oddVBand="0" w:evenVBand="0" w:oddHBand="1" w:evenHBand="0" w:firstRowFirstColumn="0" w:firstRowLastColumn="0" w:lastRowFirstColumn="0" w:lastRowLastColumn="0"/>
          <w:trHeight w:val="218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26699856" w14:textId="77777777" w:rsidR="00925600" w:rsidRDefault="00925600" w:rsidP="008747ED">
            <w:pPr>
              <w:jc w:val="both"/>
              <w:rPr>
                <w:b w:val="0"/>
                <w:lang w:eastAsia="en-US"/>
              </w:rPr>
            </w:pPr>
            <w:r w:rsidRPr="0025150C">
              <w:rPr>
                <w:b w:val="0"/>
                <w:lang w:eastAsia="en-US"/>
              </w:rPr>
              <w:t>Disability Awareness Orientation</w:t>
            </w:r>
          </w:p>
          <w:p w14:paraId="5854BB3C" w14:textId="77777777" w:rsidR="00925600" w:rsidRDefault="00925600" w:rsidP="00230E9F">
            <w:pPr>
              <w:spacing w:before="240"/>
              <w:jc w:val="both"/>
              <w:rPr>
                <w:b w:val="0"/>
                <w:lang w:eastAsia="en-US"/>
              </w:rPr>
            </w:pPr>
            <w:r w:rsidRPr="00F066E1">
              <w:rPr>
                <w:lang w:eastAsia="en-US"/>
              </w:rPr>
              <w:t>Duration</w:t>
            </w:r>
            <w:r>
              <w:rPr>
                <w:b w:val="0"/>
                <w:lang w:eastAsia="en-US"/>
              </w:rPr>
              <w:t>: 2 hours per session</w:t>
            </w:r>
          </w:p>
          <w:p w14:paraId="1BFEDC56" w14:textId="116FCF39" w:rsidR="00925600" w:rsidRPr="0025150C" w:rsidRDefault="00925600" w:rsidP="00230E9F">
            <w:pPr>
              <w:spacing w:before="240"/>
              <w:jc w:val="both"/>
              <w:rPr>
                <w:b w:val="0"/>
                <w:lang w:eastAsia="en-US"/>
              </w:rPr>
            </w:pPr>
            <w:r w:rsidRPr="00925600">
              <w:rPr>
                <w:lang w:eastAsia="en-US"/>
              </w:rPr>
              <w:t># Participants:</w:t>
            </w:r>
            <w:r>
              <w:rPr>
                <w:b w:val="0"/>
                <w:lang w:eastAsia="en-US"/>
              </w:rPr>
              <w:t xml:space="preserve"> 100 per session</w:t>
            </w:r>
          </w:p>
        </w:tc>
        <w:tc>
          <w:tcPr>
            <w:tcW w:w="2552" w:type="dxa"/>
            <w:vAlign w:val="center"/>
          </w:tcPr>
          <w:p w14:paraId="3A1BEF97" w14:textId="071C34B3" w:rsidR="00925600" w:rsidRDefault="00925600" w:rsidP="008747ED">
            <w:pPr>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To create awareness </w:t>
            </w:r>
            <w:r w:rsidR="004865C6">
              <w:rPr>
                <w:lang w:eastAsia="en-US"/>
              </w:rPr>
              <w:t>and</w:t>
            </w:r>
            <w:r w:rsidR="004B746C">
              <w:rPr>
                <w:lang w:eastAsia="en-US"/>
              </w:rPr>
              <w:t xml:space="preserve"> build</w:t>
            </w:r>
            <w:r>
              <w:rPr>
                <w:lang w:eastAsia="en-US"/>
              </w:rPr>
              <w:t xml:space="preserve"> confidence to work with PWD.</w:t>
            </w:r>
          </w:p>
          <w:p w14:paraId="1B579F45" w14:textId="120619EC" w:rsidR="00925600" w:rsidRPr="0025150C" w:rsidRDefault="00925600" w:rsidP="008747ED">
            <w:pPr>
              <w:spacing w:before="240"/>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To enable all employees to be more mindful of the needs of the people with disabilities.</w:t>
            </w:r>
          </w:p>
        </w:tc>
        <w:tc>
          <w:tcPr>
            <w:tcW w:w="2554" w:type="dxa"/>
            <w:vAlign w:val="center"/>
          </w:tcPr>
          <w:p w14:paraId="0B85CD3F" w14:textId="589880FD" w:rsidR="00925600" w:rsidRPr="0025150C" w:rsidRDefault="008747ED" w:rsidP="008747ED">
            <w:pPr>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The session</w:t>
            </w:r>
            <w:r w:rsidR="00802C25">
              <w:rPr>
                <w:lang w:eastAsia="en-US"/>
              </w:rPr>
              <w:t xml:space="preserve"> define</w:t>
            </w:r>
            <w:r>
              <w:rPr>
                <w:lang w:eastAsia="en-US"/>
              </w:rPr>
              <w:t>s</w:t>
            </w:r>
            <w:r w:rsidR="00802C25">
              <w:rPr>
                <w:lang w:eastAsia="en-US"/>
              </w:rPr>
              <w:t xml:space="preserve">, </w:t>
            </w:r>
            <w:r w:rsidR="004B746C">
              <w:rPr>
                <w:lang w:eastAsia="en-US"/>
              </w:rPr>
              <w:t>describes,</w:t>
            </w:r>
            <w:r>
              <w:rPr>
                <w:lang w:eastAsia="en-US"/>
              </w:rPr>
              <w:t xml:space="preserve"> and details </w:t>
            </w:r>
            <w:r w:rsidR="00802C25">
              <w:rPr>
                <w:lang w:eastAsia="en-US"/>
              </w:rPr>
              <w:t xml:space="preserve">various types </w:t>
            </w:r>
            <w:r>
              <w:rPr>
                <w:lang w:eastAsia="en-US"/>
              </w:rPr>
              <w:t xml:space="preserve">of </w:t>
            </w:r>
            <w:r w:rsidR="00802C25">
              <w:rPr>
                <w:lang w:eastAsia="en-US"/>
              </w:rPr>
              <w:t>disabilities</w:t>
            </w:r>
            <w:r w:rsidR="004B746C">
              <w:rPr>
                <w:lang w:eastAsia="en-US"/>
              </w:rPr>
              <w:t>, disability etiquettes, Intro to Sign Language</w:t>
            </w:r>
            <w:r w:rsidR="00802C25">
              <w:rPr>
                <w:lang w:eastAsia="en-US"/>
              </w:rPr>
              <w:t xml:space="preserve"> followed by Q&amp;A session</w:t>
            </w:r>
            <w:r>
              <w:rPr>
                <w:lang w:eastAsia="en-US"/>
              </w:rPr>
              <w:t>.</w:t>
            </w:r>
          </w:p>
        </w:tc>
        <w:tc>
          <w:tcPr>
            <w:tcW w:w="2407" w:type="dxa"/>
            <w:vAlign w:val="center"/>
          </w:tcPr>
          <w:p w14:paraId="271F9FB0" w14:textId="54CE18CF" w:rsidR="00925600" w:rsidRPr="0025150C" w:rsidRDefault="00925600" w:rsidP="008747ED">
            <w:pPr>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To </w:t>
            </w:r>
            <w:r w:rsidR="004B746C">
              <w:rPr>
                <w:lang w:eastAsia="en-US"/>
              </w:rPr>
              <w:t>enable change in</w:t>
            </w:r>
            <w:r>
              <w:rPr>
                <w:lang w:eastAsia="en-US"/>
              </w:rPr>
              <w:t xml:space="preserve"> </w:t>
            </w:r>
            <w:r w:rsidR="004B746C">
              <w:rPr>
                <w:lang w:eastAsia="en-US"/>
              </w:rPr>
              <w:t xml:space="preserve">mind set </w:t>
            </w:r>
            <w:r>
              <w:rPr>
                <w:lang w:eastAsia="en-US"/>
              </w:rPr>
              <w:t>towards the conducive side of creating an inclusive and accessible workplace environment.</w:t>
            </w:r>
          </w:p>
        </w:tc>
      </w:tr>
      <w:tr w:rsidR="00925600" w14:paraId="310A378D" w14:textId="77777777" w:rsidTr="009149FC">
        <w:trPr>
          <w:trHeight w:val="2462"/>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1FF52D97" w14:textId="77777777" w:rsidR="00925600" w:rsidRDefault="00925600" w:rsidP="008747ED">
            <w:pPr>
              <w:jc w:val="both"/>
              <w:rPr>
                <w:b w:val="0"/>
                <w:lang w:eastAsia="en-US"/>
              </w:rPr>
            </w:pPr>
            <w:r>
              <w:rPr>
                <w:b w:val="0"/>
                <w:lang w:eastAsia="en-US"/>
              </w:rPr>
              <w:t>Disability Sensitization Workshop</w:t>
            </w:r>
          </w:p>
          <w:p w14:paraId="536028AC" w14:textId="77777777" w:rsidR="00925600" w:rsidRDefault="00925600" w:rsidP="00230E9F">
            <w:pPr>
              <w:spacing w:before="240"/>
              <w:jc w:val="both"/>
              <w:rPr>
                <w:b w:val="0"/>
                <w:lang w:eastAsia="en-US"/>
              </w:rPr>
            </w:pPr>
            <w:r w:rsidRPr="00F066E1">
              <w:rPr>
                <w:lang w:eastAsia="en-US"/>
              </w:rPr>
              <w:t>Duration</w:t>
            </w:r>
            <w:r>
              <w:rPr>
                <w:b w:val="0"/>
                <w:lang w:eastAsia="en-US"/>
              </w:rPr>
              <w:t>: 2 hours per workshop</w:t>
            </w:r>
          </w:p>
          <w:p w14:paraId="7FE87DEF" w14:textId="77777777" w:rsidR="00925600" w:rsidRDefault="00925600" w:rsidP="00230E9F">
            <w:pPr>
              <w:spacing w:before="240"/>
              <w:jc w:val="both"/>
              <w:rPr>
                <w:b w:val="0"/>
                <w:lang w:eastAsia="en-US"/>
              </w:rPr>
            </w:pPr>
            <w:r w:rsidRPr="00925600">
              <w:rPr>
                <w:lang w:eastAsia="en-US"/>
              </w:rPr>
              <w:t># Participants:</w:t>
            </w:r>
            <w:r>
              <w:rPr>
                <w:b w:val="0"/>
                <w:lang w:eastAsia="en-US"/>
              </w:rPr>
              <w:t xml:space="preserve"> </w:t>
            </w:r>
          </w:p>
          <w:p w14:paraId="78BE9680" w14:textId="32AF0891" w:rsidR="00925600" w:rsidRPr="0025150C" w:rsidRDefault="00925600" w:rsidP="008747ED">
            <w:pPr>
              <w:jc w:val="both"/>
              <w:rPr>
                <w:b w:val="0"/>
                <w:lang w:eastAsia="en-US"/>
              </w:rPr>
            </w:pPr>
            <w:r>
              <w:rPr>
                <w:b w:val="0"/>
                <w:lang w:eastAsia="en-US"/>
              </w:rPr>
              <w:t>15 per session</w:t>
            </w:r>
          </w:p>
        </w:tc>
        <w:tc>
          <w:tcPr>
            <w:tcW w:w="2552" w:type="dxa"/>
            <w:vAlign w:val="center"/>
          </w:tcPr>
          <w:p w14:paraId="42A0ACB4" w14:textId="4AB5629F" w:rsidR="00925600" w:rsidRPr="0025150C" w:rsidRDefault="00925600" w:rsidP="008747ED">
            <w:pPr>
              <w:jc w:val="both"/>
              <w:cnfStyle w:val="000000000000" w:firstRow="0" w:lastRow="0" w:firstColumn="0" w:lastColumn="0" w:oddVBand="0" w:evenVBand="0" w:oddHBand="0" w:evenHBand="0" w:firstRowFirstColumn="0" w:firstRowLastColumn="0" w:lastRowFirstColumn="0" w:lastRowLastColumn="0"/>
              <w:rPr>
                <w:lang w:eastAsia="en-US"/>
              </w:rPr>
            </w:pPr>
            <w:r>
              <w:t>To emphasize</w:t>
            </w:r>
            <w:r w:rsidRPr="007231E9">
              <w:t xml:space="preserve"> on </w:t>
            </w:r>
            <w:r>
              <w:t xml:space="preserve">the </w:t>
            </w:r>
            <w:r w:rsidRPr="007231E9">
              <w:t xml:space="preserve">joint efforts for </w:t>
            </w:r>
            <w:r>
              <w:t>stimulating</w:t>
            </w:r>
            <w:r w:rsidRPr="007231E9">
              <w:t xml:space="preserve"> inclusion of people with disabilities at all levels</w:t>
            </w:r>
            <w:r>
              <w:t>.</w:t>
            </w:r>
          </w:p>
        </w:tc>
        <w:tc>
          <w:tcPr>
            <w:tcW w:w="2554" w:type="dxa"/>
            <w:vAlign w:val="center"/>
          </w:tcPr>
          <w:p w14:paraId="3AD96DF3" w14:textId="266E7DF0" w:rsidR="008747ED" w:rsidRDefault="008747ED" w:rsidP="008747ED">
            <w:pPr>
              <w:jc w:val="both"/>
              <w:cnfStyle w:val="000000000000" w:firstRow="0" w:lastRow="0" w:firstColumn="0" w:lastColumn="0" w:oddVBand="0" w:evenVBand="0" w:oddHBand="0" w:evenHBand="0" w:firstRowFirstColumn="0" w:firstRowLastColumn="0" w:lastRowFirstColumn="0" w:lastRowLastColumn="0"/>
            </w:pPr>
            <w:r>
              <w:t xml:space="preserve">The workshop encourages employees to discuss their preconceptions and their fears of interacting with people with disabilities. </w:t>
            </w:r>
          </w:p>
          <w:p w14:paraId="290E5E11" w14:textId="43F4DCE6" w:rsidR="008747ED" w:rsidRPr="0025150C" w:rsidRDefault="008747ED" w:rsidP="008747ED">
            <w:pPr>
              <w:spacing w:before="240"/>
              <w:jc w:val="both"/>
              <w:cnfStyle w:val="000000000000" w:firstRow="0" w:lastRow="0" w:firstColumn="0" w:lastColumn="0" w:oddVBand="0" w:evenVBand="0" w:oddHBand="0" w:evenHBand="0" w:firstRowFirstColumn="0" w:firstRowLastColumn="0" w:lastRowFirstColumn="0" w:lastRowLastColumn="0"/>
              <w:rPr>
                <w:lang w:eastAsia="en-US"/>
              </w:rPr>
            </w:pPr>
            <w:r>
              <w:t>They will interact with PWDs from WinVina</w:t>
            </w:r>
            <w:r w:rsidR="00A84DEE">
              <w:t>ya to get a</w:t>
            </w:r>
            <w:r>
              <w:t xml:space="preserve"> </w:t>
            </w:r>
            <w:r w:rsidR="00A84DEE">
              <w:t xml:space="preserve">real time </w:t>
            </w:r>
            <w:r>
              <w:t>exposure.</w:t>
            </w:r>
          </w:p>
        </w:tc>
        <w:tc>
          <w:tcPr>
            <w:tcW w:w="2407" w:type="dxa"/>
            <w:vAlign w:val="center"/>
          </w:tcPr>
          <w:p w14:paraId="273B8280" w14:textId="601E6B7A" w:rsidR="00925600" w:rsidRPr="0025150C" w:rsidRDefault="00925600" w:rsidP="008747ED">
            <w:pPr>
              <w:jc w:val="both"/>
              <w:cnfStyle w:val="000000000000" w:firstRow="0" w:lastRow="0" w:firstColumn="0" w:lastColumn="0" w:oddVBand="0" w:evenVBand="0" w:oddHBand="0" w:evenHBand="0" w:firstRowFirstColumn="0" w:firstRowLastColumn="0" w:lastRowFirstColumn="0" w:lastRowLastColumn="0"/>
              <w:rPr>
                <w:lang w:eastAsia="en-US"/>
              </w:rPr>
            </w:pPr>
            <w:r>
              <w:t xml:space="preserve">To </w:t>
            </w:r>
            <w:r w:rsidR="004B746C">
              <w:t xml:space="preserve">remove misconceptions, </w:t>
            </w:r>
            <w:r>
              <w:t xml:space="preserve">bring </w:t>
            </w:r>
            <w:r w:rsidRPr="0091617D">
              <w:t>a change in the mind</w:t>
            </w:r>
            <w:r>
              <w:t>-</w:t>
            </w:r>
            <w:r w:rsidRPr="0091617D">
              <w:t xml:space="preserve">set of the </w:t>
            </w:r>
            <w:r>
              <w:t>people</w:t>
            </w:r>
            <w:r w:rsidRPr="0091617D">
              <w:t xml:space="preserve"> </w:t>
            </w:r>
            <w:r>
              <w:t>and</w:t>
            </w:r>
            <w:r w:rsidRPr="0091617D">
              <w:t xml:space="preserve"> highligh</w:t>
            </w:r>
            <w:r w:rsidR="004B746C">
              <w:t>t</w:t>
            </w:r>
            <w:r w:rsidRPr="0091617D">
              <w:t xml:space="preserve"> </w:t>
            </w:r>
            <w:r>
              <w:t xml:space="preserve">the </w:t>
            </w:r>
            <w:r w:rsidRPr="0091617D">
              <w:t>abilities of people with disabilities</w:t>
            </w:r>
            <w:r>
              <w:t>.</w:t>
            </w:r>
          </w:p>
        </w:tc>
      </w:tr>
      <w:tr w:rsidR="00925600" w14:paraId="5DE267E9" w14:textId="77777777" w:rsidTr="00B04877">
        <w:trPr>
          <w:cnfStyle w:val="000000100000" w:firstRow="0" w:lastRow="0" w:firstColumn="0" w:lastColumn="0" w:oddVBand="0" w:evenVBand="0" w:oddHBand="1" w:evenHBand="0" w:firstRowFirstColumn="0" w:firstRowLastColumn="0" w:lastRowFirstColumn="0" w:lastRowLastColumn="0"/>
          <w:trHeight w:val="2027"/>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634B78AE" w14:textId="77777777" w:rsidR="00925600" w:rsidRDefault="00925600" w:rsidP="00230E9F">
            <w:pPr>
              <w:jc w:val="both"/>
              <w:rPr>
                <w:b w:val="0"/>
                <w:lang w:eastAsia="en-US"/>
              </w:rPr>
            </w:pPr>
            <w:r>
              <w:rPr>
                <w:b w:val="0"/>
                <w:lang w:eastAsia="en-US"/>
              </w:rPr>
              <w:t>Mentoring PWD &amp; non PWD employees</w:t>
            </w:r>
          </w:p>
          <w:p w14:paraId="09A6B190" w14:textId="1778EA2C" w:rsidR="00230E9F" w:rsidRPr="0025150C" w:rsidRDefault="00230E9F" w:rsidP="00230E9F">
            <w:pPr>
              <w:spacing w:before="240"/>
              <w:jc w:val="both"/>
              <w:rPr>
                <w:b w:val="0"/>
                <w:lang w:eastAsia="en-US"/>
              </w:rPr>
            </w:pPr>
            <w:r w:rsidRPr="00230E9F">
              <w:rPr>
                <w:lang w:eastAsia="en-US"/>
              </w:rPr>
              <w:t>Duration:</w:t>
            </w:r>
            <w:r>
              <w:rPr>
                <w:b w:val="0"/>
                <w:lang w:eastAsia="en-US"/>
              </w:rPr>
              <w:t xml:space="preserve"> For a period of 3 to 6 months</w:t>
            </w:r>
          </w:p>
        </w:tc>
        <w:tc>
          <w:tcPr>
            <w:tcW w:w="2552" w:type="dxa"/>
            <w:vAlign w:val="center"/>
          </w:tcPr>
          <w:p w14:paraId="5AF69709" w14:textId="4EADECA9" w:rsidR="00925600" w:rsidRPr="0025150C" w:rsidRDefault="00421DF6" w:rsidP="00FA4367">
            <w:pPr>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To talk to hiring managers/non PWD team members and PWD team members to provide guidance to issues</w:t>
            </w:r>
            <w:r w:rsidR="00FA4367">
              <w:rPr>
                <w:lang w:eastAsia="en-US"/>
              </w:rPr>
              <w:t>.</w:t>
            </w:r>
          </w:p>
        </w:tc>
        <w:tc>
          <w:tcPr>
            <w:tcW w:w="2554" w:type="dxa"/>
            <w:vAlign w:val="center"/>
          </w:tcPr>
          <w:p w14:paraId="410D22AD" w14:textId="005E6103" w:rsidR="00925600" w:rsidRPr="0025150C" w:rsidRDefault="009F5823" w:rsidP="00FA4367">
            <w:pPr>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WinVinaya mentor expert interacts with PWD and non PWD employees in </w:t>
            </w:r>
            <w:r w:rsidR="00722A36">
              <w:rPr>
                <w:lang w:eastAsia="en-US"/>
              </w:rPr>
              <w:t>a</w:t>
            </w:r>
            <w:r>
              <w:rPr>
                <w:lang w:eastAsia="en-US"/>
              </w:rPr>
              <w:t xml:space="preserve"> 1:1 session and discusses specific queries and provides necessary guidance.</w:t>
            </w:r>
          </w:p>
        </w:tc>
        <w:tc>
          <w:tcPr>
            <w:tcW w:w="2407" w:type="dxa"/>
            <w:vAlign w:val="center"/>
          </w:tcPr>
          <w:p w14:paraId="2FF8264F" w14:textId="4998D47A" w:rsidR="00925600" w:rsidRPr="00FA4367" w:rsidRDefault="00FA4367" w:rsidP="00FA4367">
            <w:pPr>
              <w:pStyle w:val="ListParagraph"/>
              <w:spacing w:after="0" w:line="24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lang w:val="en-AU"/>
              </w:rPr>
            </w:pPr>
            <w:r>
              <w:rPr>
                <w:rFonts w:cstheme="minorHAnsi"/>
                <w:color w:val="000000" w:themeColor="text1"/>
                <w:lang w:val="en-IN"/>
              </w:rPr>
              <w:t>I</w:t>
            </w:r>
            <w:proofErr w:type="spellStart"/>
            <w:r w:rsidR="00F46E08">
              <w:rPr>
                <w:rFonts w:cstheme="minorHAnsi"/>
                <w:color w:val="000000" w:themeColor="text1"/>
                <w:lang w:val="en-AU"/>
              </w:rPr>
              <w:t>ntegrate</w:t>
            </w:r>
            <w:proofErr w:type="spellEnd"/>
            <w:r w:rsidRPr="00765EE2">
              <w:rPr>
                <w:rFonts w:cstheme="minorHAnsi"/>
                <w:color w:val="000000" w:themeColor="text1"/>
                <w:lang w:val="en-AU"/>
              </w:rPr>
              <w:t xml:space="preserve"> </w:t>
            </w:r>
            <w:r>
              <w:rPr>
                <w:rFonts w:cstheme="minorHAnsi"/>
                <w:color w:val="000000" w:themeColor="text1"/>
                <w:lang w:val="en-AU"/>
              </w:rPr>
              <w:t xml:space="preserve">PWD </w:t>
            </w:r>
            <w:r w:rsidRPr="00765EE2">
              <w:rPr>
                <w:rFonts w:cstheme="minorHAnsi"/>
                <w:color w:val="000000" w:themeColor="text1"/>
                <w:lang w:val="en-AU"/>
              </w:rPr>
              <w:t>candi</w:t>
            </w:r>
            <w:r>
              <w:rPr>
                <w:rFonts w:cstheme="minorHAnsi"/>
                <w:color w:val="000000" w:themeColor="text1"/>
                <w:lang w:val="en-AU"/>
              </w:rPr>
              <w:t>dates into the team</w:t>
            </w:r>
            <w:r w:rsidRPr="00765EE2">
              <w:rPr>
                <w:rFonts w:cstheme="minorHAnsi"/>
                <w:color w:val="000000" w:themeColor="text1"/>
                <w:lang w:val="en-AU"/>
              </w:rPr>
              <w:t xml:space="preserve">, </w:t>
            </w:r>
            <w:r w:rsidR="00F46E08">
              <w:rPr>
                <w:rFonts w:cstheme="minorHAnsi"/>
                <w:color w:val="000000" w:themeColor="text1"/>
                <w:lang w:val="en-AU"/>
              </w:rPr>
              <w:t xml:space="preserve">address </w:t>
            </w:r>
            <w:r w:rsidRPr="00765EE2">
              <w:rPr>
                <w:rFonts w:cstheme="minorHAnsi"/>
                <w:color w:val="000000" w:themeColor="text1"/>
                <w:lang w:val="en-AU"/>
              </w:rPr>
              <w:t>any issues</w:t>
            </w:r>
            <w:r>
              <w:rPr>
                <w:rFonts w:cstheme="minorHAnsi"/>
                <w:color w:val="000000" w:themeColor="text1"/>
                <w:lang w:val="en-AU"/>
              </w:rPr>
              <w:t xml:space="preserve"> </w:t>
            </w:r>
            <w:r w:rsidRPr="00765EE2">
              <w:rPr>
                <w:rFonts w:cstheme="minorHAnsi"/>
                <w:color w:val="000000" w:themeColor="text1"/>
                <w:lang w:val="en-AU"/>
              </w:rPr>
              <w:t xml:space="preserve">/ </w:t>
            </w:r>
            <w:r>
              <w:rPr>
                <w:rFonts w:cstheme="minorHAnsi"/>
                <w:color w:val="000000" w:themeColor="text1"/>
                <w:lang w:val="en-AU"/>
              </w:rPr>
              <w:t>potential issues.</w:t>
            </w:r>
          </w:p>
        </w:tc>
      </w:tr>
    </w:tbl>
    <w:p w14:paraId="286DA69A" w14:textId="03D960B6" w:rsidR="00722A36" w:rsidRDefault="00722A36" w:rsidP="002D061F">
      <w:pPr>
        <w:spacing w:before="120" w:after="120"/>
        <w:jc w:val="both"/>
      </w:pPr>
      <w:r>
        <w:t xml:space="preserve">In addition to Disability &amp; Inclusion Orientation, Workshop and Mentoring support, we also provide Indian Sign Language </w:t>
      </w:r>
      <w:r w:rsidR="006E0514">
        <w:t>Orientation</w:t>
      </w:r>
      <w:r>
        <w:t xml:space="preserve"> </w:t>
      </w:r>
      <w:r w:rsidRPr="00CB76C1">
        <w:t xml:space="preserve">to </w:t>
      </w:r>
      <w:r>
        <w:t xml:space="preserve">make the employees </w:t>
      </w:r>
      <w:r w:rsidRPr="00CB76C1">
        <w:t>mindful of the disabilities of people and managing to communicate</w:t>
      </w:r>
      <w:r>
        <w:t xml:space="preserve"> and work with them effectively</w:t>
      </w:r>
      <w:r w:rsidR="002D061F">
        <w:t xml:space="preserve">. Indian </w:t>
      </w:r>
      <w:r w:rsidR="002D061F" w:rsidRPr="000B7A39">
        <w:t xml:space="preserve">Sign language is a </w:t>
      </w:r>
      <w:r w:rsidR="002D061F">
        <w:t xml:space="preserve">beautiful language which is fun, useful and valuable. </w:t>
      </w:r>
      <w:r w:rsidR="002D061F" w:rsidRPr="000B7A39">
        <w:t xml:space="preserve">It can be used anywhere, anytime. Learning sign language could be the best decision </w:t>
      </w:r>
      <w:r w:rsidR="002D061F">
        <w:t>one can</w:t>
      </w:r>
      <w:r w:rsidR="002D061F" w:rsidRPr="000B7A39">
        <w:t xml:space="preserve"> make</w:t>
      </w:r>
      <w:r w:rsidR="002D061F">
        <w:t xml:space="preserve"> in the D&amp;I Journey</w:t>
      </w:r>
      <w:r w:rsidR="002D061F" w:rsidRPr="000B7A39">
        <w:t>.</w:t>
      </w:r>
      <w:r>
        <w:t xml:space="preserve"> </w:t>
      </w:r>
      <w:r w:rsidR="002D061F">
        <w:t xml:space="preserve">We also provide </w:t>
      </w:r>
      <w:r>
        <w:t>sign language interpretation support when required.</w:t>
      </w:r>
    </w:p>
    <w:p w14:paraId="661709DF" w14:textId="45B45947" w:rsidR="00FF2324" w:rsidRDefault="00FF2324" w:rsidP="00FF2324">
      <w:pPr>
        <w:spacing w:before="240"/>
        <w:jc w:val="both"/>
        <w:rPr>
          <w:lang w:eastAsia="en-US"/>
        </w:rPr>
      </w:pPr>
      <w:r w:rsidRPr="006E0514">
        <w:rPr>
          <w:b/>
          <w:bCs/>
          <w:lang w:eastAsia="en-US"/>
        </w:rPr>
        <w:t>The detailed objectives and the key takeaways for each of these offerings is explained in</w:t>
      </w:r>
      <w:r>
        <w:rPr>
          <w:lang w:eastAsia="en-US"/>
        </w:rPr>
        <w:t xml:space="preserve"> </w:t>
      </w:r>
      <w:hyperlink w:anchor="_Appendix" w:history="1">
        <w:r w:rsidRPr="00FF2324">
          <w:rPr>
            <w:rStyle w:val="Hyperlink"/>
            <w:lang w:eastAsia="en-US"/>
          </w:rPr>
          <w:t>Appendix</w:t>
        </w:r>
      </w:hyperlink>
      <w:r>
        <w:rPr>
          <w:lang w:eastAsia="en-US"/>
        </w:rPr>
        <w:t>.</w:t>
      </w:r>
    </w:p>
    <w:p w14:paraId="422A26CF" w14:textId="77777777" w:rsidR="005C6A80" w:rsidRPr="008344D5" w:rsidRDefault="005C6A80" w:rsidP="005C6A80">
      <w:pPr>
        <w:pStyle w:val="Heading1"/>
        <w:jc w:val="both"/>
      </w:pPr>
      <w:bookmarkStart w:id="6" w:name="_Toc88469374"/>
      <w:r>
        <w:lastRenderedPageBreak/>
        <w:t>Guidelines</w:t>
      </w:r>
      <w:bookmarkEnd w:id="6"/>
    </w:p>
    <w:p w14:paraId="661FA22C" w14:textId="77777777" w:rsidR="005C6A80" w:rsidRDefault="005C6A80" w:rsidP="005C6A80">
      <w:pPr>
        <w:spacing w:before="120" w:after="120"/>
        <w:jc w:val="both"/>
        <w:rPr>
          <w:lang w:val="en-US" w:eastAsia="en-US"/>
        </w:rPr>
      </w:pPr>
      <w:r>
        <w:rPr>
          <w:lang w:val="en-US" w:eastAsia="en-US"/>
        </w:rPr>
        <w:t>For all the sessions, there are few guidelines to be adhered to:</w:t>
      </w:r>
    </w:p>
    <w:p w14:paraId="669D5D0E" w14:textId="77777777" w:rsidR="005C6A80" w:rsidRDefault="005C6A80" w:rsidP="005C6A80">
      <w:pPr>
        <w:pStyle w:val="ListParagraph"/>
        <w:numPr>
          <w:ilvl w:val="0"/>
          <w:numId w:val="28"/>
        </w:numPr>
        <w:spacing w:before="120" w:after="120"/>
        <w:ind w:left="284" w:hanging="284"/>
        <w:jc w:val="both"/>
      </w:pPr>
      <w:r>
        <w:t>No online session should be recorded</w:t>
      </w:r>
    </w:p>
    <w:p w14:paraId="3E07D194" w14:textId="77777777" w:rsidR="005C6A80" w:rsidRDefault="005C6A80" w:rsidP="005C6A80">
      <w:pPr>
        <w:pStyle w:val="ListParagraph"/>
        <w:numPr>
          <w:ilvl w:val="0"/>
          <w:numId w:val="28"/>
        </w:numPr>
        <w:spacing w:before="120" w:after="120"/>
        <w:ind w:left="284" w:hanging="284"/>
        <w:jc w:val="both"/>
      </w:pPr>
      <w:r>
        <w:t>The number of participants mentioned in each section is the maximum number permitted. The charges remain the same for the sessions with lesser number of participants as well.</w:t>
      </w:r>
    </w:p>
    <w:p w14:paraId="4CFFFF65" w14:textId="77777777" w:rsidR="005C6A80" w:rsidRPr="00A80B67" w:rsidRDefault="005C6A80" w:rsidP="005C6A80">
      <w:pPr>
        <w:pStyle w:val="ListParagraph"/>
        <w:numPr>
          <w:ilvl w:val="0"/>
          <w:numId w:val="28"/>
        </w:numPr>
        <w:spacing w:before="120" w:after="120"/>
        <w:ind w:left="284" w:hanging="284"/>
        <w:jc w:val="both"/>
      </w:pPr>
      <w:r>
        <w:t>A prior notice should be given for Mentoring Support and Sign Language Interpretation Support.</w:t>
      </w:r>
    </w:p>
    <w:p w14:paraId="13F59D5C" w14:textId="77777777" w:rsidR="005C6A80" w:rsidRDefault="005C6A80" w:rsidP="005C6A80">
      <w:pPr>
        <w:pStyle w:val="Heading1"/>
        <w:jc w:val="both"/>
      </w:pPr>
      <w:bookmarkStart w:id="7" w:name="_Toc88469375"/>
      <w:r>
        <w:t>Assumptions</w:t>
      </w:r>
      <w:bookmarkEnd w:id="7"/>
    </w:p>
    <w:p w14:paraId="50A299D4" w14:textId="77777777" w:rsidR="005C6A80" w:rsidRDefault="005C6A80" w:rsidP="005C6A80">
      <w:pPr>
        <w:spacing w:before="120" w:after="120"/>
        <w:jc w:val="both"/>
        <w:rPr>
          <w:lang w:val="en-US" w:eastAsia="en-US"/>
        </w:rPr>
      </w:pPr>
      <w:r>
        <w:rPr>
          <w:lang w:val="en-US" w:eastAsia="en-US"/>
        </w:rPr>
        <w:t>For all the sessions, the assumptions made are:</w:t>
      </w:r>
    </w:p>
    <w:p w14:paraId="1C0E8361" w14:textId="77777777" w:rsidR="005C6A80" w:rsidRPr="00D572F8" w:rsidRDefault="005C6A80" w:rsidP="005C6A80">
      <w:pPr>
        <w:pStyle w:val="ListParagraph"/>
        <w:numPr>
          <w:ilvl w:val="0"/>
          <w:numId w:val="29"/>
        </w:numPr>
        <w:ind w:left="284" w:hanging="284"/>
        <w:jc w:val="both"/>
        <w:rPr>
          <w:rFonts w:cstheme="minorHAnsi"/>
          <w:color w:val="000000" w:themeColor="text1"/>
          <w:lang w:val="en-GB"/>
        </w:rPr>
      </w:pPr>
      <w:r>
        <w:rPr>
          <w:rFonts w:cstheme="minorHAnsi"/>
          <w:color w:val="000000" w:themeColor="text1"/>
          <w:lang w:val="en-GB"/>
        </w:rPr>
        <w:t xml:space="preserve">All sessions are </w:t>
      </w:r>
      <w:r w:rsidRPr="00702A25">
        <w:rPr>
          <w:rFonts w:cstheme="minorHAnsi"/>
          <w:b/>
          <w:color w:val="000000" w:themeColor="text1"/>
          <w:lang w:val="en-GB"/>
        </w:rPr>
        <w:t>online</w:t>
      </w:r>
      <w:r>
        <w:rPr>
          <w:rFonts w:cstheme="minorHAnsi"/>
          <w:color w:val="000000" w:themeColor="text1"/>
          <w:lang w:val="en-GB"/>
        </w:rPr>
        <w:t xml:space="preserve"> (using Accenture approved online meeting tool)</w:t>
      </w:r>
    </w:p>
    <w:p w14:paraId="73D2DF06" w14:textId="77777777" w:rsidR="005C6A80" w:rsidRDefault="005C6A80" w:rsidP="005C6A80">
      <w:pPr>
        <w:pStyle w:val="ListParagraph"/>
        <w:numPr>
          <w:ilvl w:val="0"/>
          <w:numId w:val="29"/>
        </w:numPr>
        <w:ind w:left="284" w:hanging="284"/>
        <w:jc w:val="both"/>
        <w:rPr>
          <w:rFonts w:cstheme="minorHAnsi"/>
          <w:color w:val="000000" w:themeColor="text1"/>
          <w:lang w:val="en-GB"/>
        </w:rPr>
      </w:pPr>
      <w:r>
        <w:rPr>
          <w:rFonts w:cstheme="minorHAnsi"/>
          <w:color w:val="000000" w:themeColor="text1"/>
          <w:lang w:val="en-GB"/>
        </w:rPr>
        <w:t xml:space="preserve">Accenture will </w:t>
      </w:r>
      <w:r w:rsidRPr="00707CE1">
        <w:rPr>
          <w:rFonts w:cstheme="minorHAnsi"/>
          <w:color w:val="000000" w:themeColor="text1"/>
          <w:lang w:val="en-GB"/>
        </w:rPr>
        <w:t>communicate to employees via sensitization e-mailers on what’s new in this space to look forward to</w:t>
      </w:r>
    </w:p>
    <w:p w14:paraId="7BC2F19F" w14:textId="77777777" w:rsidR="005C6A80" w:rsidRPr="00FD7544" w:rsidRDefault="005C6A80" w:rsidP="005C6A80">
      <w:pPr>
        <w:pStyle w:val="ListParagraph"/>
        <w:numPr>
          <w:ilvl w:val="0"/>
          <w:numId w:val="29"/>
        </w:numPr>
        <w:spacing w:before="120" w:after="120"/>
        <w:ind w:left="284" w:hanging="284"/>
        <w:jc w:val="both"/>
        <w:rPr>
          <w:rFonts w:cstheme="minorHAnsi"/>
          <w:color w:val="000000" w:themeColor="text1"/>
          <w:lang w:val="en-GB"/>
        </w:rPr>
      </w:pPr>
      <w:r>
        <w:rPr>
          <w:rFonts w:cstheme="minorHAnsi"/>
          <w:color w:val="000000" w:themeColor="text1"/>
          <w:lang w:val="en-GB"/>
        </w:rPr>
        <w:t xml:space="preserve">Accenture will </w:t>
      </w:r>
      <w:r w:rsidRPr="00707CE1">
        <w:rPr>
          <w:rFonts w:cstheme="minorHAnsi"/>
          <w:color w:val="000000" w:themeColor="text1"/>
          <w:lang w:val="en-GB"/>
        </w:rPr>
        <w:t>ensure timely payments to the vendor owing to Accenture Payment terms and conditions</w:t>
      </w:r>
    </w:p>
    <w:p w14:paraId="00BC5820" w14:textId="7282B4E9" w:rsidR="005C6A80" w:rsidRDefault="00F96237" w:rsidP="005C6A80">
      <w:pPr>
        <w:pStyle w:val="Heading1"/>
        <w:jc w:val="both"/>
      </w:pPr>
      <w:bookmarkStart w:id="8" w:name="_Toc88469376"/>
      <w:r>
        <w:t xml:space="preserve">Recommended </w:t>
      </w:r>
      <w:r w:rsidR="005C6A80">
        <w:t>Milestones</w:t>
      </w:r>
      <w:bookmarkEnd w:id="8"/>
    </w:p>
    <w:p w14:paraId="548D84BD" w14:textId="2B475D86" w:rsidR="005C6A80" w:rsidRDefault="00900FBA" w:rsidP="005C6A80">
      <w:pPr>
        <w:spacing w:before="120" w:after="120"/>
        <w:jc w:val="both"/>
        <w:rPr>
          <w:lang w:val="en-US" w:eastAsia="en-US"/>
        </w:rPr>
      </w:pPr>
      <w:r>
        <w:rPr>
          <w:lang w:val="en-US" w:eastAsia="en-US"/>
        </w:rPr>
        <w:t>The high level milestones:</w:t>
      </w:r>
    </w:p>
    <w:tbl>
      <w:tblPr>
        <w:tblStyle w:val="ListTable3-Accent5"/>
        <w:tblW w:w="0" w:type="auto"/>
        <w:tbl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insideH w:val="single" w:sz="4" w:space="0" w:color="C6D9F1" w:themeColor="text2" w:themeTint="33"/>
          <w:insideV w:val="single" w:sz="4" w:space="0" w:color="C6D9F1" w:themeColor="text2" w:themeTint="33"/>
        </w:tblBorders>
        <w:tblLook w:val="04A0" w:firstRow="1" w:lastRow="0" w:firstColumn="1" w:lastColumn="0" w:noHBand="0" w:noVBand="1"/>
      </w:tblPr>
      <w:tblGrid>
        <w:gridCol w:w="4106"/>
        <w:gridCol w:w="2977"/>
        <w:gridCol w:w="2551"/>
      </w:tblGrid>
      <w:tr w:rsidR="005C6A80" w14:paraId="116C676E" w14:textId="77777777" w:rsidTr="00007BFF">
        <w:trPr>
          <w:cnfStyle w:val="100000000000" w:firstRow="1" w:lastRow="0" w:firstColumn="0" w:lastColumn="0" w:oddVBand="0" w:evenVBand="0" w:oddHBand="0" w:evenHBand="0" w:firstRowFirstColumn="0" w:firstRowLastColumn="0" w:lastRowFirstColumn="0" w:lastRowLastColumn="0"/>
          <w:trHeight w:val="371"/>
        </w:trPr>
        <w:tc>
          <w:tcPr>
            <w:cnfStyle w:val="001000000100" w:firstRow="0" w:lastRow="0" w:firstColumn="1" w:lastColumn="0" w:oddVBand="0" w:evenVBand="0" w:oddHBand="0" w:evenHBand="0" w:firstRowFirstColumn="1" w:firstRowLastColumn="0" w:lastRowFirstColumn="0" w:lastRowLastColumn="0"/>
            <w:tcW w:w="4106" w:type="dxa"/>
            <w:tcBorders>
              <w:bottom w:val="none" w:sz="0" w:space="0" w:color="auto"/>
              <w:right w:val="none" w:sz="0" w:space="0" w:color="auto"/>
            </w:tcBorders>
          </w:tcPr>
          <w:p w14:paraId="542A1A95" w14:textId="77777777" w:rsidR="005C6A80" w:rsidRPr="009652C2" w:rsidRDefault="005C6A80" w:rsidP="009D2C34">
            <w:pPr>
              <w:spacing w:before="120" w:after="120"/>
              <w:jc w:val="center"/>
              <w:rPr>
                <w:sz w:val="24"/>
                <w:szCs w:val="24"/>
                <w:lang w:val="en-US" w:eastAsia="en-US"/>
              </w:rPr>
            </w:pPr>
            <w:r w:rsidRPr="009652C2">
              <w:rPr>
                <w:sz w:val="24"/>
                <w:szCs w:val="24"/>
              </w:rPr>
              <w:t>ACTIVITY</w:t>
            </w:r>
          </w:p>
        </w:tc>
        <w:tc>
          <w:tcPr>
            <w:tcW w:w="2977" w:type="dxa"/>
          </w:tcPr>
          <w:p w14:paraId="6E4A95DA" w14:textId="77777777" w:rsidR="005C6A80" w:rsidRPr="009652C2" w:rsidRDefault="005C6A80" w:rsidP="009D2C34">
            <w:pPr>
              <w:spacing w:before="120" w:after="120"/>
              <w:jc w:val="center"/>
              <w:cnfStyle w:val="100000000000" w:firstRow="1" w:lastRow="0" w:firstColumn="0" w:lastColumn="0" w:oddVBand="0" w:evenVBand="0" w:oddHBand="0" w:evenHBand="0" w:firstRowFirstColumn="0" w:firstRowLastColumn="0" w:lastRowFirstColumn="0" w:lastRowLastColumn="0"/>
              <w:rPr>
                <w:sz w:val="24"/>
                <w:szCs w:val="24"/>
                <w:lang w:val="en-US" w:eastAsia="en-US"/>
              </w:rPr>
            </w:pPr>
            <w:r w:rsidRPr="009652C2">
              <w:rPr>
                <w:sz w:val="24"/>
                <w:szCs w:val="24"/>
              </w:rPr>
              <w:t>FREQUENCY</w:t>
            </w:r>
          </w:p>
        </w:tc>
        <w:tc>
          <w:tcPr>
            <w:tcW w:w="2551" w:type="dxa"/>
          </w:tcPr>
          <w:p w14:paraId="3E63B03A" w14:textId="77777777" w:rsidR="005C6A80" w:rsidRPr="009652C2" w:rsidRDefault="005C6A80" w:rsidP="009D2C34">
            <w:pPr>
              <w:spacing w:before="120" w:after="120"/>
              <w:jc w:val="center"/>
              <w:cnfStyle w:val="100000000000" w:firstRow="1" w:lastRow="0" w:firstColumn="0" w:lastColumn="0" w:oddVBand="0" w:evenVBand="0" w:oddHBand="0" w:evenHBand="0" w:firstRowFirstColumn="0" w:firstRowLastColumn="0" w:lastRowFirstColumn="0" w:lastRowLastColumn="0"/>
              <w:rPr>
                <w:sz w:val="24"/>
                <w:szCs w:val="24"/>
                <w:lang w:val="en-US" w:eastAsia="en-US"/>
              </w:rPr>
            </w:pPr>
            <w:r w:rsidRPr="009652C2">
              <w:rPr>
                <w:sz w:val="24"/>
                <w:szCs w:val="24"/>
              </w:rPr>
              <w:t>IN A QUARTER</w:t>
            </w:r>
          </w:p>
        </w:tc>
      </w:tr>
      <w:tr w:rsidR="005C6A80" w14:paraId="6D9DA9FB" w14:textId="77777777"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06C8AFF2" w14:textId="77777777" w:rsidR="005C6A80" w:rsidRPr="009652C2" w:rsidRDefault="005C6A80" w:rsidP="009D2C34">
            <w:pPr>
              <w:spacing w:before="120" w:after="120"/>
              <w:jc w:val="both"/>
              <w:rPr>
                <w:b w:val="0"/>
                <w:lang w:val="en-US" w:eastAsia="en-US"/>
              </w:rPr>
            </w:pPr>
            <w:r w:rsidRPr="009652C2">
              <w:rPr>
                <w:b w:val="0"/>
                <w:lang w:val="en-US" w:eastAsia="en-US"/>
              </w:rPr>
              <w:t xml:space="preserve">Disability </w:t>
            </w:r>
            <w:r>
              <w:rPr>
                <w:b w:val="0"/>
                <w:lang w:val="en-US" w:eastAsia="en-US"/>
              </w:rPr>
              <w:t>Awareness Orientation Session</w:t>
            </w:r>
          </w:p>
        </w:tc>
        <w:tc>
          <w:tcPr>
            <w:tcW w:w="2977" w:type="dxa"/>
            <w:tcBorders>
              <w:top w:val="none" w:sz="0" w:space="0" w:color="auto"/>
              <w:bottom w:val="none" w:sz="0" w:space="0" w:color="auto"/>
            </w:tcBorders>
          </w:tcPr>
          <w:p w14:paraId="5C12873E" w14:textId="77777777" w:rsidR="005C6A80" w:rsidRPr="009652C2" w:rsidRDefault="005C6A80" w:rsidP="009D2C34">
            <w:pPr>
              <w:spacing w:before="120" w:after="120"/>
              <w:jc w:val="cente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Once a month</w:t>
            </w:r>
          </w:p>
        </w:tc>
        <w:tc>
          <w:tcPr>
            <w:tcW w:w="2551" w:type="dxa"/>
            <w:tcBorders>
              <w:top w:val="none" w:sz="0" w:space="0" w:color="auto"/>
              <w:bottom w:val="none" w:sz="0" w:space="0" w:color="auto"/>
            </w:tcBorders>
          </w:tcPr>
          <w:p w14:paraId="4DDB356E" w14:textId="77777777" w:rsidR="005C6A80" w:rsidRPr="009652C2" w:rsidRDefault="005C6A80" w:rsidP="009D2C34">
            <w:pPr>
              <w:spacing w:before="120" w:after="120"/>
              <w:jc w:val="cente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3 sessions</w:t>
            </w:r>
          </w:p>
        </w:tc>
      </w:tr>
      <w:tr w:rsidR="005C6A80" w14:paraId="7B2D194D" w14:textId="77777777" w:rsidTr="00007BFF">
        <w:tc>
          <w:tcPr>
            <w:cnfStyle w:val="001000000000" w:firstRow="0" w:lastRow="0" w:firstColumn="1" w:lastColumn="0" w:oddVBand="0" w:evenVBand="0" w:oddHBand="0" w:evenHBand="0" w:firstRowFirstColumn="0" w:firstRowLastColumn="0" w:lastRowFirstColumn="0" w:lastRowLastColumn="0"/>
            <w:tcW w:w="4106" w:type="dxa"/>
            <w:tcBorders>
              <w:right w:val="none" w:sz="0" w:space="0" w:color="auto"/>
            </w:tcBorders>
          </w:tcPr>
          <w:p w14:paraId="548EE709" w14:textId="77777777" w:rsidR="005C6A80" w:rsidRPr="009652C2" w:rsidRDefault="005C6A80" w:rsidP="009D2C34">
            <w:pPr>
              <w:spacing w:before="120" w:after="120"/>
              <w:jc w:val="both"/>
              <w:rPr>
                <w:b w:val="0"/>
                <w:lang w:val="en-US" w:eastAsia="en-US"/>
              </w:rPr>
            </w:pPr>
            <w:r>
              <w:rPr>
                <w:b w:val="0"/>
                <w:lang w:val="en-US" w:eastAsia="en-US"/>
              </w:rPr>
              <w:t>Disability Sensitization Workshop</w:t>
            </w:r>
          </w:p>
        </w:tc>
        <w:tc>
          <w:tcPr>
            <w:tcW w:w="2977" w:type="dxa"/>
          </w:tcPr>
          <w:p w14:paraId="094230FF" w14:textId="77777777" w:rsidR="005C6A80" w:rsidRPr="009652C2" w:rsidRDefault="005C6A80" w:rsidP="009D2C34">
            <w:pPr>
              <w:spacing w:before="120" w:after="12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Twice a month</w:t>
            </w:r>
          </w:p>
        </w:tc>
        <w:tc>
          <w:tcPr>
            <w:tcW w:w="2551" w:type="dxa"/>
          </w:tcPr>
          <w:p w14:paraId="4B5E4941" w14:textId="77777777" w:rsidR="005C6A80" w:rsidRPr="009652C2" w:rsidRDefault="005C6A80" w:rsidP="009D2C34">
            <w:pPr>
              <w:spacing w:before="120" w:after="12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6 sessions</w:t>
            </w:r>
          </w:p>
        </w:tc>
      </w:tr>
      <w:tr w:rsidR="005C6A80" w14:paraId="68B7DFE7" w14:textId="77777777"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0C30A53F" w14:textId="77777777" w:rsidR="005C6A80" w:rsidRPr="009652C2" w:rsidRDefault="005C6A80" w:rsidP="009D2C34">
            <w:pPr>
              <w:spacing w:before="120" w:after="120"/>
              <w:jc w:val="both"/>
              <w:rPr>
                <w:b w:val="0"/>
                <w:lang w:val="en-US" w:eastAsia="en-US"/>
              </w:rPr>
            </w:pPr>
            <w:r>
              <w:rPr>
                <w:b w:val="0"/>
                <w:lang w:val="en-US" w:eastAsia="en-US"/>
              </w:rPr>
              <w:t>Mentoring Support</w:t>
            </w:r>
          </w:p>
        </w:tc>
        <w:tc>
          <w:tcPr>
            <w:tcW w:w="2977" w:type="dxa"/>
            <w:tcBorders>
              <w:top w:val="none" w:sz="0" w:space="0" w:color="auto"/>
              <w:bottom w:val="none" w:sz="0" w:space="0" w:color="auto"/>
            </w:tcBorders>
          </w:tcPr>
          <w:p w14:paraId="4140288B" w14:textId="77777777" w:rsidR="005C6A80" w:rsidRPr="009652C2" w:rsidRDefault="005C6A80" w:rsidP="009D2C34">
            <w:pPr>
              <w:spacing w:before="120" w:after="120"/>
              <w:jc w:val="cente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Weekly</w:t>
            </w:r>
          </w:p>
        </w:tc>
        <w:tc>
          <w:tcPr>
            <w:tcW w:w="2551" w:type="dxa"/>
            <w:tcBorders>
              <w:top w:val="none" w:sz="0" w:space="0" w:color="auto"/>
              <w:bottom w:val="none" w:sz="0" w:space="0" w:color="auto"/>
            </w:tcBorders>
          </w:tcPr>
          <w:p w14:paraId="55604159" w14:textId="77777777" w:rsidR="005C6A80" w:rsidRPr="009652C2" w:rsidRDefault="005C6A80" w:rsidP="009D2C34">
            <w:pPr>
              <w:spacing w:before="120" w:after="120"/>
              <w:jc w:val="cente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10 to 12 sessions</w:t>
            </w:r>
          </w:p>
        </w:tc>
      </w:tr>
      <w:tr w:rsidR="005C6A80" w14:paraId="6684B5BD" w14:textId="77777777" w:rsidTr="00007BFF">
        <w:tc>
          <w:tcPr>
            <w:cnfStyle w:val="001000000000" w:firstRow="0" w:lastRow="0" w:firstColumn="1" w:lastColumn="0" w:oddVBand="0" w:evenVBand="0" w:oddHBand="0" w:evenHBand="0" w:firstRowFirstColumn="0" w:firstRowLastColumn="0" w:lastRowFirstColumn="0" w:lastRowLastColumn="0"/>
            <w:tcW w:w="4106" w:type="dxa"/>
            <w:tcBorders>
              <w:right w:val="none" w:sz="0" w:space="0" w:color="auto"/>
            </w:tcBorders>
          </w:tcPr>
          <w:p w14:paraId="71158252" w14:textId="7C6A542B" w:rsidR="00983942" w:rsidRPr="009652C2" w:rsidRDefault="005C6A80" w:rsidP="00983942">
            <w:pPr>
              <w:spacing w:before="120" w:after="120"/>
              <w:jc w:val="both"/>
              <w:rPr>
                <w:b w:val="0"/>
                <w:lang w:val="en-US" w:eastAsia="en-US"/>
              </w:rPr>
            </w:pPr>
            <w:r>
              <w:rPr>
                <w:b w:val="0"/>
                <w:lang w:val="en-US" w:eastAsia="en-US"/>
              </w:rPr>
              <w:t xml:space="preserve">Indian Sign Language </w:t>
            </w:r>
            <w:r w:rsidR="00983942">
              <w:rPr>
                <w:b w:val="0"/>
                <w:lang w:val="en-US" w:eastAsia="en-US"/>
              </w:rPr>
              <w:t>Orientation</w:t>
            </w:r>
          </w:p>
        </w:tc>
        <w:tc>
          <w:tcPr>
            <w:tcW w:w="2977" w:type="dxa"/>
          </w:tcPr>
          <w:p w14:paraId="61358916" w14:textId="77777777" w:rsidR="005C6A80" w:rsidRPr="009652C2" w:rsidRDefault="005C6A80" w:rsidP="009D2C34">
            <w:pPr>
              <w:spacing w:before="120" w:after="12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2 sessions a week for 5 weeks</w:t>
            </w:r>
          </w:p>
        </w:tc>
        <w:tc>
          <w:tcPr>
            <w:tcW w:w="2551" w:type="dxa"/>
          </w:tcPr>
          <w:p w14:paraId="5DD8F039" w14:textId="77777777" w:rsidR="005C6A80" w:rsidRPr="009652C2" w:rsidRDefault="005C6A80" w:rsidP="009D2C34">
            <w:pPr>
              <w:spacing w:before="120" w:after="120"/>
              <w:jc w:val="cente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2 batches</w:t>
            </w:r>
          </w:p>
        </w:tc>
      </w:tr>
      <w:tr w:rsidR="005C6A80" w14:paraId="1A2A9976" w14:textId="77777777"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0C3CF73E" w14:textId="77777777" w:rsidR="005C6A80" w:rsidRPr="009652C2" w:rsidRDefault="005C6A80" w:rsidP="009D2C34">
            <w:pPr>
              <w:spacing w:before="120" w:after="120"/>
              <w:jc w:val="both"/>
              <w:rPr>
                <w:b w:val="0"/>
                <w:lang w:val="en-US" w:eastAsia="en-US"/>
              </w:rPr>
            </w:pPr>
            <w:r>
              <w:rPr>
                <w:b w:val="0"/>
                <w:lang w:val="en-US" w:eastAsia="en-US"/>
              </w:rPr>
              <w:t>Sign Language Interpretation Support</w:t>
            </w:r>
          </w:p>
        </w:tc>
        <w:tc>
          <w:tcPr>
            <w:tcW w:w="2977" w:type="dxa"/>
            <w:tcBorders>
              <w:top w:val="none" w:sz="0" w:space="0" w:color="auto"/>
              <w:bottom w:val="none" w:sz="0" w:space="0" w:color="auto"/>
            </w:tcBorders>
          </w:tcPr>
          <w:p w14:paraId="19E5C85D" w14:textId="77777777" w:rsidR="005C6A80" w:rsidRPr="009652C2" w:rsidRDefault="005C6A80" w:rsidP="009D2C34">
            <w:pPr>
              <w:spacing w:before="120" w:after="120"/>
              <w:jc w:val="cente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On need basis</w:t>
            </w:r>
          </w:p>
        </w:tc>
        <w:tc>
          <w:tcPr>
            <w:tcW w:w="2551" w:type="dxa"/>
            <w:tcBorders>
              <w:top w:val="none" w:sz="0" w:space="0" w:color="auto"/>
              <w:bottom w:val="none" w:sz="0" w:space="0" w:color="auto"/>
            </w:tcBorders>
          </w:tcPr>
          <w:p w14:paraId="1F444C2A" w14:textId="77777777" w:rsidR="005C6A80" w:rsidRPr="009652C2" w:rsidRDefault="005C6A80" w:rsidP="009D2C34">
            <w:pPr>
              <w:spacing w:before="120" w:after="120"/>
              <w:jc w:val="cente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On need basis</w:t>
            </w:r>
          </w:p>
        </w:tc>
      </w:tr>
    </w:tbl>
    <w:p w14:paraId="6D0856E1" w14:textId="77777777" w:rsidR="00B04877" w:rsidRDefault="00B04877" w:rsidP="00B04877">
      <w:pPr>
        <w:pStyle w:val="Heading1"/>
        <w:spacing w:after="240"/>
        <w:jc w:val="both"/>
      </w:pPr>
      <w:bookmarkStart w:id="9" w:name="_Toc88469377"/>
      <w:r>
        <w:t>Commercials</w:t>
      </w:r>
      <w:bookmarkEnd w:id="9"/>
    </w:p>
    <w:tbl>
      <w:tblPr>
        <w:tblStyle w:val="ListTable3-Accent5"/>
        <w:tblW w:w="9634" w:type="dxa"/>
        <w:tbl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insideH w:val="single" w:sz="6" w:space="0" w:color="92CDDC" w:themeColor="accent5" w:themeTint="99"/>
          <w:insideV w:val="single" w:sz="6" w:space="0" w:color="92CDDC" w:themeColor="accent5" w:themeTint="99"/>
        </w:tblBorders>
        <w:tblLook w:val="04A0" w:firstRow="1" w:lastRow="0" w:firstColumn="1" w:lastColumn="0" w:noHBand="0" w:noVBand="1"/>
      </w:tblPr>
      <w:tblGrid>
        <w:gridCol w:w="4812"/>
        <w:gridCol w:w="2271"/>
        <w:gridCol w:w="2551"/>
      </w:tblGrid>
      <w:tr w:rsidR="00007BFF" w:rsidRPr="001A3C14" w14:paraId="2E7860BF" w14:textId="77777777" w:rsidTr="006E0514">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4812" w:type="dxa"/>
            <w:tcBorders>
              <w:bottom w:val="none" w:sz="0" w:space="0" w:color="auto"/>
              <w:right w:val="none" w:sz="0" w:space="0" w:color="auto"/>
            </w:tcBorders>
            <w:vAlign w:val="center"/>
            <w:hideMark/>
          </w:tcPr>
          <w:p w14:paraId="73F9F809" w14:textId="60BB66BE" w:rsidR="00B04877" w:rsidRPr="001A3C14" w:rsidRDefault="00702A25" w:rsidP="00AD6F75">
            <w:pPr>
              <w:spacing w:before="120" w:after="120"/>
              <w:jc w:val="center"/>
              <w:rPr>
                <w:rFonts w:cstheme="minorHAnsi"/>
                <w:b w:val="0"/>
                <w:bCs w:val="0"/>
              </w:rPr>
            </w:pPr>
            <w:r>
              <w:rPr>
                <w:sz w:val="24"/>
                <w:szCs w:val="24"/>
              </w:rPr>
              <w:t>ACTIVITY</w:t>
            </w:r>
          </w:p>
        </w:tc>
        <w:tc>
          <w:tcPr>
            <w:tcW w:w="2271" w:type="dxa"/>
            <w:vAlign w:val="center"/>
            <w:hideMark/>
          </w:tcPr>
          <w:p w14:paraId="57AD6CAD" w14:textId="1FCCA231" w:rsidR="00B04877" w:rsidRPr="00AD6F75" w:rsidRDefault="00AD6F75" w:rsidP="00AD6F75">
            <w:pPr>
              <w:spacing w:before="120" w:after="12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PARTICIPANTS</w:t>
            </w:r>
          </w:p>
        </w:tc>
        <w:tc>
          <w:tcPr>
            <w:tcW w:w="2551" w:type="dxa"/>
            <w:vAlign w:val="center"/>
            <w:hideMark/>
          </w:tcPr>
          <w:p w14:paraId="332F08FB" w14:textId="2380E357" w:rsidR="00B04877" w:rsidRPr="00AD6F75" w:rsidRDefault="00AD6F75" w:rsidP="00AD6F75">
            <w:pPr>
              <w:spacing w:before="120" w:after="12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TOTAL</w:t>
            </w:r>
          </w:p>
        </w:tc>
      </w:tr>
      <w:tr w:rsidR="00007BFF" w:rsidRPr="001A3C14" w14:paraId="0B08A616" w14:textId="77777777" w:rsidTr="006E0514">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2" w:type="dxa"/>
            <w:tcBorders>
              <w:top w:val="none" w:sz="0" w:space="0" w:color="auto"/>
              <w:bottom w:val="none" w:sz="0" w:space="0" w:color="auto"/>
              <w:right w:val="none" w:sz="0" w:space="0" w:color="auto"/>
            </w:tcBorders>
            <w:vAlign w:val="center"/>
            <w:hideMark/>
          </w:tcPr>
          <w:p w14:paraId="5B2457E0" w14:textId="1020EA50" w:rsidR="00B04877" w:rsidRPr="001A3C14" w:rsidRDefault="00B04877" w:rsidP="00702A25">
            <w:pPr>
              <w:rPr>
                <w:rFonts w:cstheme="minorHAnsi"/>
                <w:b w:val="0"/>
                <w:color w:val="000000"/>
              </w:rPr>
            </w:pPr>
            <w:r w:rsidRPr="001A3C14">
              <w:rPr>
                <w:rFonts w:cstheme="minorHAnsi"/>
                <w:b w:val="0"/>
                <w:color w:val="000000"/>
              </w:rPr>
              <w:t>Disability Awaren</w:t>
            </w:r>
            <w:r w:rsidR="00983942">
              <w:rPr>
                <w:rFonts w:cstheme="minorHAnsi"/>
                <w:b w:val="0"/>
                <w:color w:val="000000"/>
              </w:rPr>
              <w:t>ess Orientation S</w:t>
            </w:r>
            <w:r w:rsidR="00702A25">
              <w:rPr>
                <w:rFonts w:cstheme="minorHAnsi"/>
                <w:b w:val="0"/>
                <w:color w:val="000000"/>
              </w:rPr>
              <w:t>ession</w:t>
            </w:r>
          </w:p>
        </w:tc>
        <w:tc>
          <w:tcPr>
            <w:tcW w:w="2271" w:type="dxa"/>
            <w:tcBorders>
              <w:top w:val="none" w:sz="0" w:space="0" w:color="auto"/>
              <w:bottom w:val="none" w:sz="0" w:space="0" w:color="auto"/>
            </w:tcBorders>
            <w:vAlign w:val="center"/>
            <w:hideMark/>
          </w:tcPr>
          <w:p w14:paraId="1C4C1A13" w14:textId="77777777" w:rsidR="00B04877" w:rsidRPr="001A3C14" w:rsidRDefault="00B04877" w:rsidP="00007BFF">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A3C14">
              <w:rPr>
                <w:rFonts w:cstheme="minorHAnsi"/>
                <w:color w:val="000000"/>
              </w:rPr>
              <w:t>100 per session (max)</w:t>
            </w:r>
          </w:p>
        </w:tc>
        <w:tc>
          <w:tcPr>
            <w:tcW w:w="2551" w:type="dxa"/>
            <w:tcBorders>
              <w:top w:val="none" w:sz="0" w:space="0" w:color="auto"/>
              <w:bottom w:val="none" w:sz="0" w:space="0" w:color="auto"/>
            </w:tcBorders>
            <w:vAlign w:val="center"/>
          </w:tcPr>
          <w:p w14:paraId="2E90FB62" w14:textId="77777777" w:rsidR="00B04877" w:rsidRPr="001A3C14" w:rsidRDefault="00B04877" w:rsidP="00007BFF">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A3C14">
              <w:rPr>
                <w:rFonts w:cstheme="minorHAnsi"/>
                <w:color w:val="000000"/>
              </w:rPr>
              <w:t>₹ 25,000 per session</w:t>
            </w:r>
          </w:p>
        </w:tc>
      </w:tr>
      <w:tr w:rsidR="00702A25" w:rsidRPr="001A3C14" w14:paraId="2B5A3C8D" w14:textId="77777777" w:rsidTr="006E0514">
        <w:trPr>
          <w:trHeight w:val="420"/>
        </w:trPr>
        <w:tc>
          <w:tcPr>
            <w:cnfStyle w:val="001000000000" w:firstRow="0" w:lastRow="0" w:firstColumn="1" w:lastColumn="0" w:oddVBand="0" w:evenVBand="0" w:oddHBand="0" w:evenHBand="0" w:firstRowFirstColumn="0" w:firstRowLastColumn="0" w:lastRowFirstColumn="0" w:lastRowLastColumn="0"/>
            <w:tcW w:w="4812" w:type="dxa"/>
            <w:vAlign w:val="center"/>
          </w:tcPr>
          <w:p w14:paraId="65D85868" w14:textId="05F79614" w:rsidR="00B04877" w:rsidRPr="001A3C14" w:rsidRDefault="00702A25" w:rsidP="00702A25">
            <w:pPr>
              <w:rPr>
                <w:rFonts w:cstheme="minorHAnsi"/>
                <w:color w:val="000000"/>
              </w:rPr>
            </w:pPr>
            <w:r>
              <w:rPr>
                <w:rFonts w:cstheme="minorHAnsi"/>
                <w:b w:val="0"/>
                <w:color w:val="000000"/>
              </w:rPr>
              <w:t>Disability Sensitivity Workshop</w:t>
            </w:r>
          </w:p>
        </w:tc>
        <w:tc>
          <w:tcPr>
            <w:tcW w:w="2271" w:type="dxa"/>
            <w:vAlign w:val="center"/>
          </w:tcPr>
          <w:p w14:paraId="37C47363" w14:textId="77777777" w:rsidR="00B04877" w:rsidRPr="001A3C14" w:rsidRDefault="00B04877" w:rsidP="00007BFF">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3072F6">
              <w:rPr>
                <w:rFonts w:cstheme="minorHAnsi"/>
                <w:color w:val="000000"/>
              </w:rPr>
              <w:t>15 per session (max)</w:t>
            </w:r>
          </w:p>
        </w:tc>
        <w:tc>
          <w:tcPr>
            <w:tcW w:w="2551" w:type="dxa"/>
            <w:vAlign w:val="center"/>
          </w:tcPr>
          <w:p w14:paraId="068B5C22" w14:textId="77777777" w:rsidR="00B04877" w:rsidRPr="001A3C14" w:rsidRDefault="00B04877" w:rsidP="00007BFF">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3072F6">
              <w:rPr>
                <w:rFonts w:cstheme="minorHAnsi"/>
                <w:color w:val="000000"/>
              </w:rPr>
              <w:t>₹ 25,000 per session</w:t>
            </w:r>
          </w:p>
        </w:tc>
      </w:tr>
      <w:tr w:rsidR="00702A25" w:rsidRPr="001A3C14" w14:paraId="37872F06" w14:textId="77777777" w:rsidTr="006E0514">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812" w:type="dxa"/>
            <w:vAlign w:val="center"/>
          </w:tcPr>
          <w:p w14:paraId="3FD1A98A" w14:textId="77777777" w:rsidR="00B04877" w:rsidRPr="003072F6" w:rsidRDefault="00B04877" w:rsidP="00702A25">
            <w:pPr>
              <w:rPr>
                <w:rFonts w:cstheme="minorHAnsi"/>
                <w:color w:val="000000"/>
              </w:rPr>
            </w:pPr>
            <w:r w:rsidRPr="00466CF0">
              <w:rPr>
                <w:rFonts w:cstheme="minorHAnsi"/>
                <w:b w:val="0"/>
                <w:color w:val="000000"/>
              </w:rPr>
              <w:t>Mentoring Support</w:t>
            </w:r>
          </w:p>
        </w:tc>
        <w:tc>
          <w:tcPr>
            <w:tcW w:w="2271" w:type="dxa"/>
            <w:vAlign w:val="center"/>
          </w:tcPr>
          <w:p w14:paraId="6961F570" w14:textId="77777777" w:rsidR="00B04877" w:rsidRPr="003072F6" w:rsidRDefault="00B04877" w:rsidP="00007BFF">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w:t>
            </w:r>
          </w:p>
        </w:tc>
        <w:tc>
          <w:tcPr>
            <w:tcW w:w="2551" w:type="dxa"/>
            <w:vAlign w:val="center"/>
          </w:tcPr>
          <w:p w14:paraId="670B12E7" w14:textId="77777777" w:rsidR="00F96237" w:rsidRDefault="00B04877" w:rsidP="00007BFF">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66CF0">
              <w:rPr>
                <w:rFonts w:cstheme="minorHAnsi"/>
                <w:color w:val="000000"/>
              </w:rPr>
              <w:t xml:space="preserve">₹ 1,000 / </w:t>
            </w:r>
            <w:r>
              <w:rPr>
                <w:rFonts w:cstheme="minorHAnsi"/>
                <w:color w:val="000000"/>
              </w:rPr>
              <w:t>Session</w:t>
            </w:r>
          </w:p>
          <w:p w14:paraId="6E11AF83" w14:textId="2F7CEFDF" w:rsidR="00B04877" w:rsidRPr="003072F6" w:rsidRDefault="00B04877" w:rsidP="00007BFF">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 (Max 1 Hour per Session)</w:t>
            </w:r>
          </w:p>
        </w:tc>
      </w:tr>
      <w:tr w:rsidR="00B04877" w:rsidRPr="001A3C14" w14:paraId="6B0BEE7E" w14:textId="77777777" w:rsidTr="006E0514">
        <w:trPr>
          <w:trHeight w:val="422"/>
        </w:trPr>
        <w:tc>
          <w:tcPr>
            <w:cnfStyle w:val="001000000000" w:firstRow="0" w:lastRow="0" w:firstColumn="1" w:lastColumn="0" w:oddVBand="0" w:evenVBand="0" w:oddHBand="0" w:evenHBand="0" w:firstRowFirstColumn="0" w:firstRowLastColumn="0" w:lastRowFirstColumn="0" w:lastRowLastColumn="0"/>
            <w:tcW w:w="4812" w:type="dxa"/>
            <w:tcBorders>
              <w:right w:val="none" w:sz="0" w:space="0" w:color="auto"/>
            </w:tcBorders>
            <w:vAlign w:val="center"/>
          </w:tcPr>
          <w:p w14:paraId="5823CB86" w14:textId="0C55ACDE" w:rsidR="00B04877" w:rsidRPr="00466CF0" w:rsidRDefault="00B04877" w:rsidP="00983942">
            <w:pPr>
              <w:rPr>
                <w:rFonts w:cstheme="minorHAnsi"/>
                <w:color w:val="000000"/>
              </w:rPr>
            </w:pPr>
            <w:r w:rsidRPr="00093E89">
              <w:rPr>
                <w:rFonts w:cstheme="minorHAnsi"/>
                <w:b w:val="0"/>
                <w:color w:val="000000"/>
              </w:rPr>
              <w:t xml:space="preserve">Indian </w:t>
            </w:r>
            <w:r w:rsidR="00702A25">
              <w:rPr>
                <w:rFonts w:cstheme="minorHAnsi"/>
                <w:b w:val="0"/>
                <w:color w:val="000000"/>
              </w:rPr>
              <w:t xml:space="preserve">Sign Language </w:t>
            </w:r>
            <w:r w:rsidR="00983942">
              <w:rPr>
                <w:rFonts w:cstheme="minorHAnsi"/>
                <w:b w:val="0"/>
                <w:color w:val="000000"/>
              </w:rPr>
              <w:t>Orientation</w:t>
            </w:r>
          </w:p>
        </w:tc>
        <w:tc>
          <w:tcPr>
            <w:tcW w:w="2271" w:type="dxa"/>
            <w:vAlign w:val="center"/>
          </w:tcPr>
          <w:p w14:paraId="7043C56B" w14:textId="77777777" w:rsidR="00B04877" w:rsidRPr="003072F6" w:rsidRDefault="00B04877" w:rsidP="00007BFF">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93E89">
              <w:rPr>
                <w:rFonts w:cstheme="minorHAnsi"/>
                <w:color w:val="000000"/>
              </w:rPr>
              <w:t>10-15 per batch (max)</w:t>
            </w:r>
          </w:p>
        </w:tc>
        <w:tc>
          <w:tcPr>
            <w:tcW w:w="2551" w:type="dxa"/>
            <w:vAlign w:val="center"/>
          </w:tcPr>
          <w:p w14:paraId="72F98FBB" w14:textId="77777777" w:rsidR="00B04877" w:rsidRPr="00466CF0" w:rsidRDefault="00B04877" w:rsidP="00007BFF">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093E89">
              <w:rPr>
                <w:rFonts w:cstheme="minorHAnsi"/>
                <w:color w:val="000000"/>
              </w:rPr>
              <w:t>₹ 25,000 per batch</w:t>
            </w:r>
          </w:p>
        </w:tc>
      </w:tr>
      <w:tr w:rsidR="00B04877" w:rsidRPr="001A3C14" w14:paraId="18930CF9" w14:textId="77777777" w:rsidTr="006E051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812" w:type="dxa"/>
            <w:tcBorders>
              <w:top w:val="none" w:sz="0" w:space="0" w:color="auto"/>
              <w:bottom w:val="none" w:sz="0" w:space="0" w:color="auto"/>
              <w:right w:val="none" w:sz="0" w:space="0" w:color="auto"/>
            </w:tcBorders>
            <w:vAlign w:val="center"/>
          </w:tcPr>
          <w:p w14:paraId="43C957D3" w14:textId="77777777" w:rsidR="00B04877" w:rsidRPr="00466CF0" w:rsidRDefault="00B04877" w:rsidP="00702A25">
            <w:pPr>
              <w:rPr>
                <w:rFonts w:cstheme="minorHAnsi"/>
                <w:color w:val="000000"/>
              </w:rPr>
            </w:pPr>
            <w:r w:rsidRPr="0084287A">
              <w:rPr>
                <w:rFonts w:cstheme="minorHAnsi"/>
                <w:b w:val="0"/>
                <w:color w:val="000000"/>
              </w:rPr>
              <w:t>Sign Language Interpretation Support</w:t>
            </w:r>
          </w:p>
        </w:tc>
        <w:tc>
          <w:tcPr>
            <w:tcW w:w="2271" w:type="dxa"/>
            <w:tcBorders>
              <w:top w:val="none" w:sz="0" w:space="0" w:color="auto"/>
              <w:bottom w:val="none" w:sz="0" w:space="0" w:color="auto"/>
            </w:tcBorders>
            <w:vAlign w:val="center"/>
          </w:tcPr>
          <w:p w14:paraId="1E3B23D4" w14:textId="77777777" w:rsidR="00B04877" w:rsidRPr="003072F6" w:rsidRDefault="00B04877" w:rsidP="00007BFF">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w:t>
            </w:r>
          </w:p>
        </w:tc>
        <w:tc>
          <w:tcPr>
            <w:tcW w:w="2551" w:type="dxa"/>
            <w:tcBorders>
              <w:top w:val="none" w:sz="0" w:space="0" w:color="auto"/>
              <w:bottom w:val="none" w:sz="0" w:space="0" w:color="auto"/>
            </w:tcBorders>
            <w:vAlign w:val="center"/>
          </w:tcPr>
          <w:p w14:paraId="49E5B2BE" w14:textId="77777777" w:rsidR="00F96237" w:rsidRDefault="00B04877" w:rsidP="00007BFF">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287A">
              <w:rPr>
                <w:rFonts w:cstheme="minorHAnsi"/>
                <w:color w:val="000000"/>
              </w:rPr>
              <w:t xml:space="preserve">₹ 1,000 / </w:t>
            </w:r>
            <w:r>
              <w:rPr>
                <w:rFonts w:cstheme="minorHAnsi"/>
                <w:color w:val="000000"/>
              </w:rPr>
              <w:t>Session</w:t>
            </w:r>
          </w:p>
          <w:p w14:paraId="5DDA3E40" w14:textId="00FB75E0" w:rsidR="00B04877" w:rsidRPr="00466CF0" w:rsidRDefault="00B04877" w:rsidP="00007BFF">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 (Max 1 Hour per Session)</w:t>
            </w:r>
          </w:p>
        </w:tc>
      </w:tr>
    </w:tbl>
    <w:p w14:paraId="5C655943" w14:textId="0FD5EA10" w:rsidR="00B04877" w:rsidRDefault="00B04877" w:rsidP="00B04877">
      <w:pPr>
        <w:spacing w:before="240"/>
        <w:jc w:val="both"/>
      </w:pPr>
      <w:r>
        <w:t xml:space="preserve">For the Orientation Session and the Workshop, the invoice will be raised at the end of the session. For Mentoring Support and Sign Language Interpretation Support, the invoice will be raised at the end of every month. For the ISL </w:t>
      </w:r>
      <w:r w:rsidR="006E0514">
        <w:t>Orientation</w:t>
      </w:r>
      <w:r>
        <w:t xml:space="preserve">, the invoice will be raised at the end of the </w:t>
      </w:r>
      <w:r w:rsidR="00181DF0">
        <w:t>orientation</w:t>
      </w:r>
      <w:r>
        <w:t xml:space="preserve"> for each batch.</w:t>
      </w:r>
    </w:p>
    <w:p w14:paraId="371E5102" w14:textId="77777777" w:rsidR="00B04877" w:rsidRDefault="00B04877" w:rsidP="00B04877">
      <w:pPr>
        <w:spacing w:before="240"/>
        <w:jc w:val="both"/>
      </w:pPr>
      <w:r>
        <w:t xml:space="preserve">Payment is to be done within 30 days from the invoice date. Payment is to be made by electronic transfer. </w:t>
      </w:r>
    </w:p>
    <w:p w14:paraId="6F4E122A" w14:textId="77777777" w:rsidR="005C6A80" w:rsidRDefault="005C6A80" w:rsidP="005C6A80">
      <w:pPr>
        <w:pStyle w:val="Heading1"/>
        <w:jc w:val="both"/>
      </w:pPr>
      <w:bookmarkStart w:id="10" w:name="_Toc88469378"/>
      <w:r>
        <w:lastRenderedPageBreak/>
        <w:t>Thanks for the Opportunity</w:t>
      </w:r>
      <w:bookmarkEnd w:id="10"/>
    </w:p>
    <w:p w14:paraId="211BCE58" w14:textId="38A00042" w:rsidR="005C6A80" w:rsidRDefault="005C6A80" w:rsidP="005C6A80">
      <w:pPr>
        <w:pStyle w:val="CommentText"/>
        <w:spacing w:before="120" w:after="120" w:line="276" w:lineRule="auto"/>
        <w:jc w:val="both"/>
        <w:rPr>
          <w:sz w:val="22"/>
          <w:szCs w:val="22"/>
        </w:rPr>
      </w:pPr>
      <w:r>
        <w:rPr>
          <w:sz w:val="22"/>
          <w:szCs w:val="22"/>
        </w:rPr>
        <w:t xml:space="preserve">We thank Accenture for giving us this opportunity to create awareness, sensitize the Accenture employees and </w:t>
      </w:r>
      <w:r w:rsidR="00F96237">
        <w:rPr>
          <w:sz w:val="22"/>
          <w:szCs w:val="22"/>
        </w:rPr>
        <w:t xml:space="preserve">orient </w:t>
      </w:r>
      <w:r>
        <w:rPr>
          <w:sz w:val="22"/>
          <w:szCs w:val="22"/>
        </w:rPr>
        <w:t xml:space="preserve">them in the basics of Indian Sign Language. </w:t>
      </w:r>
    </w:p>
    <w:p w14:paraId="42C7CDD3" w14:textId="77777777" w:rsidR="005C6A80" w:rsidRDefault="005C6A80" w:rsidP="005C6A80">
      <w:pPr>
        <w:pStyle w:val="CommentText"/>
        <w:spacing w:before="120" w:after="120" w:line="276" w:lineRule="auto"/>
        <w:jc w:val="both"/>
        <w:rPr>
          <w:sz w:val="22"/>
          <w:szCs w:val="22"/>
        </w:rPr>
      </w:pPr>
      <w:r>
        <w:rPr>
          <w:sz w:val="22"/>
          <w:szCs w:val="22"/>
        </w:rPr>
        <w:t xml:space="preserve">We are confident that we will be able to deliver as per the expectations of Accenture – to positively influence and </w:t>
      </w:r>
      <w:r w:rsidRPr="00A5723D">
        <w:rPr>
          <w:sz w:val="22"/>
          <w:szCs w:val="22"/>
        </w:rPr>
        <w:t xml:space="preserve">impact the attitudes and </w:t>
      </w:r>
      <w:r>
        <w:rPr>
          <w:sz w:val="22"/>
          <w:szCs w:val="22"/>
        </w:rPr>
        <w:t>behavior of the participants towards the persons with disabilities who they will work along.</w:t>
      </w:r>
      <w:bookmarkStart w:id="11" w:name="_Appendix_–_1_1"/>
      <w:bookmarkEnd w:id="11"/>
    </w:p>
    <w:p w14:paraId="5BF0ACCD" w14:textId="77777777" w:rsidR="00A53975" w:rsidRDefault="00A53975">
      <w:pPr>
        <w:rPr>
          <w:rFonts w:asciiTheme="majorHAnsi" w:eastAsiaTheme="majorEastAsia" w:hAnsiTheme="majorHAnsi" w:cstheme="majorBidi"/>
          <w:color w:val="365F91" w:themeColor="accent1" w:themeShade="BF"/>
          <w:sz w:val="32"/>
          <w:szCs w:val="32"/>
          <w:lang w:val="en-US" w:eastAsia="en-US"/>
        </w:rPr>
      </w:pPr>
      <w:bookmarkStart w:id="12" w:name="_Appendix"/>
      <w:bookmarkEnd w:id="12"/>
      <w:r>
        <w:br w:type="page"/>
      </w:r>
    </w:p>
    <w:p w14:paraId="276EF3D9" w14:textId="6C217E21" w:rsidR="005C6A80" w:rsidRDefault="005C6A80" w:rsidP="005C6A80">
      <w:pPr>
        <w:pStyle w:val="Heading1"/>
      </w:pPr>
      <w:bookmarkStart w:id="13" w:name="_Toc88469379"/>
      <w:r>
        <w:lastRenderedPageBreak/>
        <w:t>Appendix</w:t>
      </w:r>
      <w:bookmarkEnd w:id="13"/>
    </w:p>
    <w:p w14:paraId="4C781F43" w14:textId="5128DB39" w:rsidR="00977508" w:rsidRDefault="0036590F" w:rsidP="000A0DB4">
      <w:pPr>
        <w:pStyle w:val="Heading2"/>
        <w:spacing w:before="0"/>
        <w:ind w:left="578" w:hanging="578"/>
      </w:pPr>
      <w:bookmarkStart w:id="14" w:name="_Toc88469380"/>
      <w:r>
        <w:t xml:space="preserve">Disability Awareness </w:t>
      </w:r>
      <w:r w:rsidR="00F550F3">
        <w:t>Orientation (D</w:t>
      </w:r>
      <w:r>
        <w:t>A</w:t>
      </w:r>
      <w:r w:rsidR="00F550F3">
        <w:t>O</w:t>
      </w:r>
      <w:r>
        <w:t>)</w:t>
      </w:r>
      <w:bookmarkEnd w:id="14"/>
    </w:p>
    <w:p w14:paraId="04764D83" w14:textId="77777777" w:rsidR="00970C7B" w:rsidRPr="00A53975" w:rsidRDefault="00F550F3" w:rsidP="00B54422">
      <w:pPr>
        <w:spacing w:before="120" w:after="120" w:line="240" w:lineRule="auto"/>
        <w:rPr>
          <w:rFonts w:asciiTheme="majorHAnsi" w:hAnsiTheme="majorHAnsi"/>
          <w:b/>
        </w:rPr>
      </w:pPr>
      <w:r w:rsidRPr="00A53975">
        <w:rPr>
          <w:rFonts w:asciiTheme="majorHAnsi" w:hAnsiTheme="majorHAnsi"/>
          <w:b/>
        </w:rPr>
        <w:t>Objective of D</w:t>
      </w:r>
      <w:r w:rsidR="00970C7B" w:rsidRPr="00A53975">
        <w:rPr>
          <w:rFonts w:asciiTheme="majorHAnsi" w:hAnsiTheme="majorHAnsi"/>
          <w:b/>
        </w:rPr>
        <w:t>A</w:t>
      </w:r>
      <w:r w:rsidRPr="00A53975">
        <w:rPr>
          <w:rFonts w:asciiTheme="majorHAnsi" w:hAnsiTheme="majorHAnsi"/>
          <w:b/>
        </w:rPr>
        <w:t>O</w:t>
      </w:r>
    </w:p>
    <w:p w14:paraId="49884FDD" w14:textId="16AB697E" w:rsidR="00915392" w:rsidRDefault="00915392" w:rsidP="00DA00BB">
      <w:pPr>
        <w:spacing w:before="120"/>
        <w:jc w:val="both"/>
      </w:pPr>
      <w:r>
        <w:t xml:space="preserve">The objective of this awareness session is </w:t>
      </w:r>
      <w:r w:rsidR="00025C83">
        <w:t>to build</w:t>
      </w:r>
      <w:r w:rsidR="00025C83" w:rsidRPr="00025C83">
        <w:t xml:space="preserve"> a disability confident organization</w:t>
      </w:r>
      <w:r w:rsidR="00025C83">
        <w:t>.</w:t>
      </w:r>
      <w:r w:rsidR="00882245">
        <w:t xml:space="preserve"> The session will cover the following topics</w:t>
      </w:r>
      <w:r w:rsidR="00321BDA">
        <w:t xml:space="preserve"> with a brief introduction to various disabilities and special focus on hearing impairment and other co-morbidities</w:t>
      </w:r>
      <w:r w:rsidR="00882245">
        <w:t>.</w:t>
      </w:r>
    </w:p>
    <w:p w14:paraId="0D6CB0BF" w14:textId="77777777" w:rsidR="001F3E55" w:rsidRDefault="001F3E55" w:rsidP="00814CB4">
      <w:pPr>
        <w:pStyle w:val="ListParagraph"/>
        <w:numPr>
          <w:ilvl w:val="0"/>
          <w:numId w:val="15"/>
        </w:numPr>
        <w:spacing w:line="276" w:lineRule="auto"/>
        <w:ind w:left="284" w:hanging="284"/>
        <w:jc w:val="both"/>
      </w:pPr>
      <w:r>
        <w:t>Defining Disability</w:t>
      </w:r>
    </w:p>
    <w:p w14:paraId="1DC5529A" w14:textId="77777777" w:rsidR="005D7D8E" w:rsidRDefault="005D7D8E" w:rsidP="00814CB4">
      <w:pPr>
        <w:pStyle w:val="ListParagraph"/>
        <w:numPr>
          <w:ilvl w:val="0"/>
          <w:numId w:val="15"/>
        </w:numPr>
        <w:spacing w:line="276" w:lineRule="auto"/>
        <w:ind w:left="284" w:hanging="284"/>
        <w:jc w:val="both"/>
      </w:pPr>
      <w:r>
        <w:t>Facts &amp; Statistics</w:t>
      </w:r>
    </w:p>
    <w:p w14:paraId="35FE8ECD" w14:textId="77777777" w:rsidR="001F3E55" w:rsidRDefault="001F3E55" w:rsidP="00814CB4">
      <w:pPr>
        <w:pStyle w:val="ListParagraph"/>
        <w:numPr>
          <w:ilvl w:val="0"/>
          <w:numId w:val="15"/>
        </w:numPr>
        <w:spacing w:line="276" w:lineRule="auto"/>
        <w:ind w:left="284" w:hanging="284"/>
        <w:jc w:val="both"/>
      </w:pPr>
      <w:r>
        <w:t>Types of Disabilities</w:t>
      </w:r>
      <w:r w:rsidR="0091617D">
        <w:t xml:space="preserve"> (Visible &amp; Non-visible) </w:t>
      </w:r>
    </w:p>
    <w:p w14:paraId="01B91270" w14:textId="77777777" w:rsidR="004E7A37" w:rsidRDefault="004E7A37" w:rsidP="00814CB4">
      <w:pPr>
        <w:pStyle w:val="ListParagraph"/>
        <w:numPr>
          <w:ilvl w:val="0"/>
          <w:numId w:val="15"/>
        </w:numPr>
        <w:spacing w:line="276" w:lineRule="auto"/>
        <w:ind w:left="284" w:hanging="284"/>
        <w:jc w:val="both"/>
      </w:pPr>
      <w:r>
        <w:t>Inventions meant for PWDs that helped all</w:t>
      </w:r>
    </w:p>
    <w:p w14:paraId="3404FC80" w14:textId="77777777" w:rsidR="00915392" w:rsidRDefault="00915392" w:rsidP="00814CB4">
      <w:pPr>
        <w:pStyle w:val="ListParagraph"/>
        <w:numPr>
          <w:ilvl w:val="0"/>
          <w:numId w:val="15"/>
        </w:numPr>
        <w:spacing w:line="276" w:lineRule="auto"/>
        <w:ind w:left="284" w:hanging="284"/>
        <w:jc w:val="both"/>
      </w:pPr>
      <w:r>
        <w:t>Disability – A Business Case</w:t>
      </w:r>
    </w:p>
    <w:p w14:paraId="3E577B9E" w14:textId="77777777" w:rsidR="00025C83" w:rsidRDefault="00F550F3" w:rsidP="00814CB4">
      <w:pPr>
        <w:pStyle w:val="ListParagraph"/>
        <w:numPr>
          <w:ilvl w:val="0"/>
          <w:numId w:val="15"/>
        </w:numPr>
        <w:spacing w:line="276" w:lineRule="auto"/>
        <w:ind w:left="284" w:hanging="284"/>
        <w:jc w:val="both"/>
      </w:pPr>
      <w:r>
        <w:t xml:space="preserve">Diversity &amp; </w:t>
      </w:r>
      <w:r w:rsidR="00025C83">
        <w:t>Inclusion Framework</w:t>
      </w:r>
    </w:p>
    <w:p w14:paraId="3D2E20F5" w14:textId="77777777" w:rsidR="00915392" w:rsidRDefault="00915392" w:rsidP="00814CB4">
      <w:pPr>
        <w:pStyle w:val="ListParagraph"/>
        <w:numPr>
          <w:ilvl w:val="0"/>
          <w:numId w:val="15"/>
        </w:numPr>
        <w:spacing w:line="276" w:lineRule="auto"/>
        <w:ind w:left="284" w:hanging="284"/>
        <w:jc w:val="both"/>
      </w:pPr>
      <w:r>
        <w:t>Disability Etiquettes</w:t>
      </w:r>
    </w:p>
    <w:p w14:paraId="2DB33890" w14:textId="77777777" w:rsidR="00915392" w:rsidRDefault="00915392" w:rsidP="00814CB4">
      <w:pPr>
        <w:pStyle w:val="ListParagraph"/>
        <w:numPr>
          <w:ilvl w:val="0"/>
          <w:numId w:val="15"/>
        </w:numPr>
        <w:spacing w:line="276" w:lineRule="auto"/>
        <w:ind w:left="284" w:hanging="284"/>
      </w:pPr>
      <w:r w:rsidRPr="00915392">
        <w:t>Some do’s and don'ts when interacting with people with disability</w:t>
      </w:r>
    </w:p>
    <w:p w14:paraId="4F8DB2D2" w14:textId="77777777" w:rsidR="00F550F3" w:rsidRDefault="00F550F3" w:rsidP="00F550F3">
      <w:pPr>
        <w:pStyle w:val="ListParagraph"/>
        <w:numPr>
          <w:ilvl w:val="0"/>
          <w:numId w:val="15"/>
        </w:numPr>
        <w:spacing w:line="276" w:lineRule="auto"/>
        <w:ind w:left="284" w:hanging="284"/>
      </w:pPr>
      <w:r>
        <w:t>Introduction to Indian Sign Language</w:t>
      </w:r>
    </w:p>
    <w:p w14:paraId="0A11F936" w14:textId="77777777" w:rsidR="004E7A37" w:rsidRDefault="004E7A37" w:rsidP="00814CB4">
      <w:pPr>
        <w:pStyle w:val="ListParagraph"/>
        <w:numPr>
          <w:ilvl w:val="0"/>
          <w:numId w:val="15"/>
        </w:numPr>
        <w:spacing w:line="276" w:lineRule="auto"/>
        <w:ind w:left="284" w:hanging="284"/>
      </w:pPr>
      <w:r>
        <w:t>Tips for interacting with persons with disabilities</w:t>
      </w:r>
    </w:p>
    <w:p w14:paraId="6E9234B4" w14:textId="77777777" w:rsidR="00025C83" w:rsidRPr="00D91DD9" w:rsidRDefault="00F550F3" w:rsidP="00814CB4">
      <w:pPr>
        <w:pStyle w:val="ListParagraph"/>
        <w:numPr>
          <w:ilvl w:val="0"/>
          <w:numId w:val="15"/>
        </w:numPr>
        <w:spacing w:line="276" w:lineRule="auto"/>
        <w:ind w:left="284" w:hanging="284"/>
      </w:pPr>
      <w:r>
        <w:t>Success Stories of PWDs in Corporates</w:t>
      </w:r>
    </w:p>
    <w:p w14:paraId="79FCBE0C" w14:textId="77777777" w:rsidR="00977508" w:rsidRPr="00A53975" w:rsidRDefault="00F550F3" w:rsidP="00B54422">
      <w:pPr>
        <w:spacing w:before="120" w:after="120" w:line="240" w:lineRule="auto"/>
        <w:rPr>
          <w:rFonts w:asciiTheme="majorHAnsi" w:hAnsiTheme="majorHAnsi"/>
          <w:b/>
        </w:rPr>
      </w:pPr>
      <w:r w:rsidRPr="00A53975">
        <w:rPr>
          <w:rFonts w:asciiTheme="majorHAnsi" w:hAnsiTheme="majorHAnsi"/>
          <w:b/>
        </w:rPr>
        <w:t>Key Takeaways of D</w:t>
      </w:r>
      <w:r w:rsidR="00970C7B" w:rsidRPr="00A53975">
        <w:rPr>
          <w:rFonts w:asciiTheme="majorHAnsi" w:hAnsiTheme="majorHAnsi"/>
          <w:b/>
        </w:rPr>
        <w:t>A</w:t>
      </w:r>
      <w:r w:rsidRPr="00A53975">
        <w:rPr>
          <w:rFonts w:asciiTheme="majorHAnsi" w:hAnsiTheme="majorHAnsi"/>
          <w:b/>
        </w:rPr>
        <w:t>O</w:t>
      </w:r>
    </w:p>
    <w:p w14:paraId="7013B87C" w14:textId="002E2DCE" w:rsidR="00977508" w:rsidRDefault="00444303" w:rsidP="00DA00BB">
      <w:pPr>
        <w:spacing w:before="120"/>
        <w:jc w:val="both"/>
      </w:pPr>
      <w:r>
        <w:t>The session</w:t>
      </w:r>
      <w:r w:rsidR="007C240F">
        <w:t xml:space="preserve"> will make Accenture</w:t>
      </w:r>
      <w:r w:rsidRPr="00444303">
        <w:t xml:space="preserve"> a disability confident workplace</w:t>
      </w:r>
      <w:r w:rsidR="00DF0C1C">
        <w:t>, while</w:t>
      </w:r>
      <w:r w:rsidRPr="00444303">
        <w:t xml:space="preserve"> making </w:t>
      </w:r>
      <w:r w:rsidR="007C240F">
        <w:t xml:space="preserve">Accenture </w:t>
      </w:r>
      <w:r w:rsidRPr="00444303">
        <w:t>a more enlightened place to work, and helping to change attitudes and behaviours for the better on a macro level.</w:t>
      </w:r>
      <w:r w:rsidR="007C240F">
        <w:t xml:space="preserve"> It aids in making Accenture</w:t>
      </w:r>
      <w:r w:rsidR="002812CA">
        <w:t xml:space="preserve"> a</w:t>
      </w:r>
      <w:r w:rsidR="002812CA" w:rsidRPr="002812CA">
        <w:t xml:space="preserve"> collaborative and non-discriminatory</w:t>
      </w:r>
      <w:r w:rsidR="002812CA">
        <w:t xml:space="preserve"> organization.</w:t>
      </w:r>
    </w:p>
    <w:p w14:paraId="60909E52" w14:textId="77777777" w:rsidR="00977508" w:rsidRDefault="0059535C" w:rsidP="00977508">
      <w:pPr>
        <w:pStyle w:val="Heading2"/>
      </w:pPr>
      <w:bookmarkStart w:id="15" w:name="_Toc88469381"/>
      <w:r>
        <w:t>Disability Sensitization Workshop</w:t>
      </w:r>
      <w:r w:rsidR="00882245">
        <w:t xml:space="preserve"> (DSW)</w:t>
      </w:r>
      <w:r w:rsidR="00F550F3">
        <w:t xml:space="preserve"> for Hiring Managers</w:t>
      </w:r>
      <w:bookmarkEnd w:id="15"/>
    </w:p>
    <w:p w14:paraId="52B64862" w14:textId="77777777" w:rsidR="008D77E9" w:rsidRPr="00A53975" w:rsidRDefault="008D77E9" w:rsidP="00B54422">
      <w:pPr>
        <w:spacing w:before="120" w:after="120" w:line="240" w:lineRule="auto"/>
        <w:rPr>
          <w:rFonts w:asciiTheme="majorHAnsi" w:hAnsiTheme="majorHAnsi"/>
          <w:b/>
        </w:rPr>
      </w:pPr>
      <w:r w:rsidRPr="00A53975">
        <w:rPr>
          <w:rFonts w:asciiTheme="majorHAnsi" w:hAnsiTheme="majorHAnsi"/>
          <w:b/>
        </w:rPr>
        <w:t>Objective of D</w:t>
      </w:r>
      <w:r w:rsidR="00882245" w:rsidRPr="00A53975">
        <w:rPr>
          <w:rFonts w:asciiTheme="majorHAnsi" w:hAnsiTheme="majorHAnsi"/>
          <w:b/>
        </w:rPr>
        <w:t>SW</w:t>
      </w:r>
    </w:p>
    <w:p w14:paraId="3603ABAC" w14:textId="77777777" w:rsidR="008D77E9" w:rsidRDefault="008D77E9" w:rsidP="00DA00BB">
      <w:pPr>
        <w:spacing w:before="120"/>
        <w:jc w:val="both"/>
      </w:pPr>
      <w:r>
        <w:t>The objective of the workshop is to alter mind</w:t>
      </w:r>
      <w:r w:rsidR="00915392">
        <w:t>-</w:t>
      </w:r>
      <w:r>
        <w:t>sets, address fears, confusion, break stereotypes, and bust myths about people with disability. What the workshop will cover:</w:t>
      </w:r>
    </w:p>
    <w:p w14:paraId="45DDB7AE" w14:textId="77777777" w:rsidR="00562222" w:rsidRPr="00562222" w:rsidRDefault="00562222" w:rsidP="00562222">
      <w:pPr>
        <w:pStyle w:val="ListParagraph"/>
        <w:numPr>
          <w:ilvl w:val="0"/>
          <w:numId w:val="16"/>
        </w:numPr>
        <w:ind w:left="284" w:hanging="284"/>
      </w:pPr>
      <w:r w:rsidRPr="00562222">
        <w:t>Recap of Disability Sensitization Awareness Session (Defining Disability</w:t>
      </w:r>
      <w:r>
        <w:t>, Facts, Myths &amp; Misconceptions)</w:t>
      </w:r>
    </w:p>
    <w:p w14:paraId="65DC7203" w14:textId="77777777" w:rsidR="00562222" w:rsidRDefault="00562222" w:rsidP="00562222">
      <w:pPr>
        <w:pStyle w:val="ListParagraph"/>
        <w:numPr>
          <w:ilvl w:val="0"/>
          <w:numId w:val="16"/>
        </w:numPr>
        <w:spacing w:line="276" w:lineRule="auto"/>
        <w:ind w:left="284" w:hanging="284"/>
      </w:pPr>
      <w:r>
        <w:t>Best Practices followed by Inclusive Companies in Recruiting PWDs</w:t>
      </w:r>
    </w:p>
    <w:p w14:paraId="6BF73B33" w14:textId="77777777" w:rsidR="00321BDA" w:rsidRDefault="00321BDA" w:rsidP="00321BDA">
      <w:pPr>
        <w:pStyle w:val="ListParagraph"/>
        <w:numPr>
          <w:ilvl w:val="0"/>
          <w:numId w:val="16"/>
        </w:numPr>
        <w:spacing w:line="276" w:lineRule="auto"/>
        <w:ind w:left="284" w:hanging="284"/>
        <w:jc w:val="both"/>
      </w:pPr>
      <w:r>
        <w:t>Introduction to Deaf Culture</w:t>
      </w:r>
    </w:p>
    <w:p w14:paraId="06A6F84F" w14:textId="77777777" w:rsidR="00321BDA" w:rsidRDefault="00321BDA" w:rsidP="00321BDA">
      <w:pPr>
        <w:pStyle w:val="ListParagraph"/>
        <w:numPr>
          <w:ilvl w:val="0"/>
          <w:numId w:val="16"/>
        </w:numPr>
        <w:spacing w:line="276" w:lineRule="auto"/>
        <w:ind w:left="284" w:hanging="284"/>
        <w:jc w:val="both"/>
      </w:pPr>
      <w:r>
        <w:t>Introduction to Indian Sign Language (alphabets, key phrases)</w:t>
      </w:r>
    </w:p>
    <w:p w14:paraId="550EDB31" w14:textId="77777777" w:rsidR="004E7A37" w:rsidRPr="001F3E55" w:rsidRDefault="004E7A37" w:rsidP="00814CB4">
      <w:pPr>
        <w:pStyle w:val="ListParagraph"/>
        <w:numPr>
          <w:ilvl w:val="0"/>
          <w:numId w:val="16"/>
        </w:numPr>
        <w:spacing w:line="276" w:lineRule="auto"/>
        <w:ind w:left="284" w:hanging="284"/>
      </w:pPr>
      <w:r>
        <w:t>Tips for interviewing persons with disabilities</w:t>
      </w:r>
      <w:r w:rsidR="00562222">
        <w:t xml:space="preserve"> – across disabilities</w:t>
      </w:r>
    </w:p>
    <w:p w14:paraId="35FBDB8A" w14:textId="77777777" w:rsidR="00562222" w:rsidRDefault="00562222" w:rsidP="00562222">
      <w:pPr>
        <w:pStyle w:val="ListParagraph"/>
        <w:numPr>
          <w:ilvl w:val="0"/>
          <w:numId w:val="16"/>
        </w:numPr>
        <w:spacing w:line="276" w:lineRule="auto"/>
        <w:ind w:left="284" w:hanging="284"/>
      </w:pPr>
      <w:r>
        <w:t>Introduction to Workplace Solutions/ Reasonable Accommodation</w:t>
      </w:r>
    </w:p>
    <w:p w14:paraId="29C89799" w14:textId="77777777" w:rsidR="00562222" w:rsidRDefault="00562222" w:rsidP="00562222">
      <w:pPr>
        <w:pStyle w:val="ListParagraph"/>
        <w:numPr>
          <w:ilvl w:val="0"/>
          <w:numId w:val="16"/>
        </w:numPr>
        <w:spacing w:line="276" w:lineRule="auto"/>
        <w:ind w:left="284" w:hanging="284"/>
      </w:pPr>
      <w:r>
        <w:t>Interaction with Employees of WinVinaya who are Persons with Disabilities</w:t>
      </w:r>
    </w:p>
    <w:p w14:paraId="0F6C9610" w14:textId="77777777" w:rsidR="005D7D8E" w:rsidRDefault="005D7D8E" w:rsidP="00814CB4">
      <w:pPr>
        <w:pStyle w:val="ListParagraph"/>
        <w:numPr>
          <w:ilvl w:val="0"/>
          <w:numId w:val="16"/>
        </w:numPr>
        <w:spacing w:line="276" w:lineRule="auto"/>
        <w:ind w:left="284" w:hanging="284"/>
        <w:jc w:val="both"/>
      </w:pPr>
      <w:proofErr w:type="spellStart"/>
      <w:r>
        <w:t>RPwD</w:t>
      </w:r>
      <w:proofErr w:type="spellEnd"/>
      <w:r>
        <w:t xml:space="preserve"> Act - Overview of the disability law</w:t>
      </w:r>
    </w:p>
    <w:p w14:paraId="53C5903E" w14:textId="7B47762C" w:rsidR="001F3E55" w:rsidRDefault="005543DD" w:rsidP="00814CB4">
      <w:pPr>
        <w:pStyle w:val="ListParagraph"/>
        <w:numPr>
          <w:ilvl w:val="0"/>
          <w:numId w:val="16"/>
        </w:numPr>
        <w:spacing w:line="276" w:lineRule="auto"/>
        <w:ind w:left="284" w:hanging="284"/>
        <w:jc w:val="both"/>
      </w:pPr>
      <w:r>
        <w:t>Some Ideas on “</w:t>
      </w:r>
      <w:r w:rsidR="001F3E55">
        <w:t>What Can You Do?</w:t>
      </w:r>
      <w:r>
        <w:t>”</w:t>
      </w:r>
    </w:p>
    <w:p w14:paraId="51051641" w14:textId="77777777" w:rsidR="00882245" w:rsidRPr="005543DD" w:rsidRDefault="00882245" w:rsidP="00814CB4">
      <w:pPr>
        <w:jc w:val="both"/>
        <w:rPr>
          <w:b/>
          <w:bCs/>
        </w:rPr>
      </w:pPr>
      <w:r w:rsidRPr="005543DD">
        <w:rPr>
          <w:b/>
          <w:bCs/>
        </w:rPr>
        <w:t xml:space="preserve">The participants of this workshop should have attended the Disability Awareness </w:t>
      </w:r>
      <w:r w:rsidR="00472837" w:rsidRPr="005543DD">
        <w:rPr>
          <w:b/>
          <w:bCs/>
        </w:rPr>
        <w:t xml:space="preserve">Orientation </w:t>
      </w:r>
      <w:r w:rsidRPr="005543DD">
        <w:rPr>
          <w:b/>
          <w:bCs/>
        </w:rPr>
        <w:t>session.</w:t>
      </w:r>
    </w:p>
    <w:p w14:paraId="4B338CFC" w14:textId="77777777" w:rsidR="008D77E9" w:rsidRDefault="008D77E9" w:rsidP="00B54422">
      <w:pPr>
        <w:spacing w:before="120" w:after="120" w:line="240" w:lineRule="auto"/>
      </w:pPr>
      <w:r w:rsidRPr="00A53975">
        <w:rPr>
          <w:rFonts w:asciiTheme="majorHAnsi" w:hAnsiTheme="majorHAnsi"/>
          <w:b/>
        </w:rPr>
        <w:t>Key Takeaways of D</w:t>
      </w:r>
      <w:r w:rsidR="00E64273" w:rsidRPr="00A53975">
        <w:rPr>
          <w:rFonts w:asciiTheme="majorHAnsi" w:hAnsiTheme="majorHAnsi"/>
          <w:b/>
        </w:rPr>
        <w:t>SW</w:t>
      </w:r>
    </w:p>
    <w:p w14:paraId="0F22CB4F" w14:textId="77777777" w:rsidR="008D77E9" w:rsidRDefault="008A5CE2" w:rsidP="008A5CE2">
      <w:pPr>
        <w:spacing w:before="240"/>
        <w:jc w:val="both"/>
      </w:pPr>
      <w:r>
        <w:t>This workshop closes the gap between those employees without disabilities and those with disabilities, it is about removing barriers and embedding best practice so that everyone feels comfortable and empowered to be themselves within the workplace, to flourish and to achieve their full potential.</w:t>
      </w:r>
      <w:r w:rsidR="002907C9">
        <w:t xml:space="preserve"> It leads a </w:t>
      </w:r>
      <w:r w:rsidR="002907C9" w:rsidRPr="002907C9">
        <w:t>way</w:t>
      </w:r>
      <w:r w:rsidR="002907C9">
        <w:t xml:space="preserve"> toward promoting a harmonious and </w:t>
      </w:r>
      <w:r w:rsidR="002907C9" w:rsidRPr="002907C9">
        <w:t>productive workplace environment</w:t>
      </w:r>
      <w:r w:rsidR="002907C9">
        <w:t>.</w:t>
      </w:r>
    </w:p>
    <w:p w14:paraId="4943075D" w14:textId="77777777" w:rsidR="00C45FE6" w:rsidRDefault="00C45FE6" w:rsidP="008D77E9">
      <w:pPr>
        <w:pStyle w:val="Heading2"/>
      </w:pPr>
      <w:bookmarkStart w:id="16" w:name="_Toc88469382"/>
      <w:r>
        <w:lastRenderedPageBreak/>
        <w:t>Mentoring Support for Hiring Managers, Delivery Teams</w:t>
      </w:r>
      <w:bookmarkEnd w:id="16"/>
    </w:p>
    <w:p w14:paraId="2B7E55AD" w14:textId="194576D2" w:rsidR="00C45FE6" w:rsidRDefault="00C45FE6" w:rsidP="00C9612C">
      <w:pPr>
        <w:spacing w:before="120" w:after="120"/>
        <w:jc w:val="both"/>
      </w:pPr>
      <w:r>
        <w:t xml:space="preserve">While trainings are very useful to increase the awareness and D&amp;I maturity levels of employees, it is NOT adequate for a successful integration of Persons with Disabilities into the organization.  Once the candidates join the team, </w:t>
      </w:r>
      <w:r w:rsidR="00D50105">
        <w:t xml:space="preserve">Accenture </w:t>
      </w:r>
      <w:r>
        <w:t xml:space="preserve">employees might have questions that need clarification/ guidance.  Even the new candidates might have doubts/ questions that they might be uncomfortable asking the </w:t>
      </w:r>
      <w:r w:rsidR="00D50105">
        <w:t xml:space="preserve">Accenture </w:t>
      </w:r>
      <w:r>
        <w:t>Team.</w:t>
      </w:r>
    </w:p>
    <w:p w14:paraId="28A98DFD" w14:textId="1E7E4675" w:rsidR="00C45FE6" w:rsidRDefault="00C45FE6" w:rsidP="00782187">
      <w:pPr>
        <w:spacing w:before="120" w:after="120"/>
        <w:jc w:val="both"/>
      </w:pPr>
      <w:r>
        <w:t>WinVinaya suggests a 3 to 6 month mentoring support for the hiring managers and delivery teams, after the candidates are hired.  During these online sessions, WinVinaya meets with Hiring Mana</w:t>
      </w:r>
      <w:r w:rsidR="00FD7544">
        <w:t xml:space="preserve">gers, </w:t>
      </w:r>
      <w:r w:rsidR="00D50105">
        <w:t>Delivery Teams</w:t>
      </w:r>
      <w:r w:rsidR="00FD7544">
        <w:t xml:space="preserve"> and PWD employees</w:t>
      </w:r>
      <w:r>
        <w:t xml:space="preserve"> to check how well the integration of the </w:t>
      </w:r>
      <w:r w:rsidR="00FD7544">
        <w:t>latter</w:t>
      </w:r>
      <w:r>
        <w:t xml:space="preserve"> into the team is happening, any issues/ potential issues that need to be addressed, provide ideas/ guidance where required.</w:t>
      </w:r>
    </w:p>
    <w:p w14:paraId="2007BAFC" w14:textId="77777777" w:rsidR="008D77E9" w:rsidRDefault="008D77E9" w:rsidP="008D77E9">
      <w:pPr>
        <w:pStyle w:val="Heading2"/>
      </w:pPr>
      <w:bookmarkStart w:id="17" w:name="_Toc88469383"/>
      <w:r>
        <w:t>Indian Sign Languag</w:t>
      </w:r>
      <w:r w:rsidR="00457AD0">
        <w:t xml:space="preserve">e </w:t>
      </w:r>
      <w:r w:rsidR="00C45FE6">
        <w:t>Orientation (ISLO</w:t>
      </w:r>
      <w:r w:rsidR="00457AD0">
        <w:t>)</w:t>
      </w:r>
      <w:bookmarkEnd w:id="17"/>
    </w:p>
    <w:p w14:paraId="1D14EE66" w14:textId="2C24DE98" w:rsidR="008D77E9" w:rsidRDefault="00C45FE6" w:rsidP="00B54422">
      <w:pPr>
        <w:spacing w:before="120" w:after="120"/>
        <w:jc w:val="both"/>
      </w:pPr>
      <w:r>
        <w:t xml:space="preserve">There are 100+ sign languages available across the globe.  Like spoken language, Sign Language also takes time and practice to learn and get better.  </w:t>
      </w:r>
      <w:r w:rsidR="008D77E9">
        <w:t xml:space="preserve">WinVinaya </w:t>
      </w:r>
      <w:r w:rsidR="00F51D23">
        <w:t xml:space="preserve">conducts </w:t>
      </w:r>
      <w:r w:rsidR="00983942">
        <w:t>orientation</w:t>
      </w:r>
      <w:r w:rsidR="00F51D23">
        <w:t xml:space="preserve"> in basics of Indian Sign Language to help create a better culture of inclusivity. </w:t>
      </w:r>
      <w:r w:rsidR="00F51D23" w:rsidRPr="00F51D23">
        <w:t xml:space="preserve">Learning sign language can </w:t>
      </w:r>
      <w:r w:rsidR="00F51D23">
        <w:t xml:space="preserve">be a fun experience and help the </w:t>
      </w:r>
      <w:r w:rsidR="00D50105">
        <w:t xml:space="preserve">Accenture </w:t>
      </w:r>
      <w:r w:rsidR="00F51D23">
        <w:t>employees to</w:t>
      </w:r>
      <w:r w:rsidR="00F51D23" w:rsidRPr="00F51D23">
        <w:t xml:space="preserve"> communicate with people in the deaf and hard of hearing community.</w:t>
      </w:r>
      <w:r w:rsidR="00F51D23">
        <w:t xml:space="preserve"> It will bridge the gap between hearing and deaf employees in </w:t>
      </w:r>
      <w:r w:rsidR="00D50105">
        <w:t>Accenture</w:t>
      </w:r>
      <w:r w:rsidR="00F51D23">
        <w:t>.</w:t>
      </w:r>
    </w:p>
    <w:p w14:paraId="17A3F209" w14:textId="217DCBC9" w:rsidR="004738CB" w:rsidRDefault="004738CB" w:rsidP="004738CB">
      <w:pPr>
        <w:spacing w:after="120"/>
        <w:jc w:val="both"/>
      </w:pPr>
      <w:r>
        <w:t xml:space="preserve">The key differentiators of our orientation classes are </w:t>
      </w:r>
      <w:r w:rsidR="00782187">
        <w:t>that the curriculum is tailor made to include visual gestural communication, practice assignments, comprehension with increasing complexity, live conversation practice with deaf person, lessons on deaf culture apart from the regular course curriculum.</w:t>
      </w:r>
    </w:p>
    <w:p w14:paraId="470A79CC" w14:textId="6D36BE0A" w:rsidR="007E43B5" w:rsidRDefault="00472837" w:rsidP="00E62515">
      <w:pPr>
        <w:spacing w:before="120"/>
        <w:jc w:val="both"/>
      </w:pPr>
      <w:r w:rsidRPr="005543DD">
        <w:rPr>
          <w:b/>
          <w:bCs/>
        </w:rPr>
        <w:t xml:space="preserve">The duration of this </w:t>
      </w:r>
      <w:r w:rsidR="00F96237">
        <w:rPr>
          <w:b/>
          <w:bCs/>
        </w:rPr>
        <w:t>orientation</w:t>
      </w:r>
      <w:r w:rsidR="00F96237" w:rsidRPr="005543DD">
        <w:rPr>
          <w:b/>
          <w:bCs/>
        </w:rPr>
        <w:t xml:space="preserve"> </w:t>
      </w:r>
      <w:r w:rsidRPr="005543DD">
        <w:rPr>
          <w:b/>
          <w:bCs/>
        </w:rPr>
        <w:t>for each batch is 10 hours</w:t>
      </w:r>
      <w:r>
        <w:t>. Since learning a language involves practice, we have designed the orientation session that such that each</w:t>
      </w:r>
      <w:r w:rsidR="007E43B5">
        <w:t xml:space="preserve"> session is one hour long and there will be two sessions in a week</w:t>
      </w:r>
      <w:r>
        <w:t xml:space="preserve"> and</w:t>
      </w:r>
      <w:r w:rsidR="007E43B5">
        <w:t xml:space="preserve"> 5 weeks to complete</w:t>
      </w:r>
      <w:r>
        <w:t xml:space="preserve"> the course</w:t>
      </w:r>
      <w:r w:rsidR="007E43B5">
        <w:t>.</w:t>
      </w:r>
    </w:p>
    <w:p w14:paraId="77EF7088" w14:textId="77777777" w:rsidR="008D77E9" w:rsidRPr="00A53975" w:rsidRDefault="008D77E9" w:rsidP="00B54422">
      <w:pPr>
        <w:spacing w:before="120" w:after="120" w:line="240" w:lineRule="auto"/>
        <w:rPr>
          <w:rFonts w:asciiTheme="majorHAnsi" w:hAnsiTheme="majorHAnsi"/>
          <w:b/>
        </w:rPr>
      </w:pPr>
      <w:r w:rsidRPr="00A53975">
        <w:rPr>
          <w:rFonts w:asciiTheme="majorHAnsi" w:hAnsiTheme="majorHAnsi"/>
          <w:b/>
        </w:rPr>
        <w:t>Objective of</w:t>
      </w:r>
      <w:r w:rsidR="00457AD0" w:rsidRPr="00A53975">
        <w:rPr>
          <w:rFonts w:asciiTheme="majorHAnsi" w:hAnsiTheme="majorHAnsi"/>
          <w:b/>
        </w:rPr>
        <w:t xml:space="preserve"> ISL</w:t>
      </w:r>
      <w:r w:rsidR="00E62515" w:rsidRPr="00A53975">
        <w:rPr>
          <w:rFonts w:asciiTheme="majorHAnsi" w:hAnsiTheme="majorHAnsi"/>
          <w:b/>
        </w:rPr>
        <w:t>O</w:t>
      </w:r>
    </w:p>
    <w:p w14:paraId="37BD010D" w14:textId="162BF693" w:rsidR="008D77E9" w:rsidRDefault="008D77E9" w:rsidP="00E62515">
      <w:pPr>
        <w:spacing w:after="0"/>
        <w:jc w:val="both"/>
      </w:pPr>
      <w:r>
        <w:t xml:space="preserve">The objective of the </w:t>
      </w:r>
      <w:r w:rsidR="00F96237">
        <w:t xml:space="preserve">orientation </w:t>
      </w:r>
      <w:r w:rsidR="00990983">
        <w:t>is t</w:t>
      </w:r>
      <w:r w:rsidR="00990983" w:rsidRPr="00990983">
        <w:t>o learn the basics of sign lang</w:t>
      </w:r>
      <w:r w:rsidR="00990983">
        <w:t>uage which include the alphabets</w:t>
      </w:r>
      <w:r w:rsidR="00990983" w:rsidRPr="00990983">
        <w:t>, everyday phrases and ways to communicate with deaf persons</w:t>
      </w:r>
      <w:r w:rsidR="00990983">
        <w:t xml:space="preserve">. The topics </w:t>
      </w:r>
      <w:r w:rsidR="00D50105">
        <w:t>covered</w:t>
      </w:r>
      <w:r w:rsidR="00990983">
        <w:t>:</w:t>
      </w:r>
    </w:p>
    <w:p w14:paraId="68DE1C13" w14:textId="10219841" w:rsidR="00990983" w:rsidRDefault="00B54422" w:rsidP="00814CB4">
      <w:pPr>
        <w:pStyle w:val="ListParagraph"/>
        <w:numPr>
          <w:ilvl w:val="0"/>
          <w:numId w:val="15"/>
        </w:numPr>
        <w:spacing w:line="276" w:lineRule="auto"/>
        <w:ind w:left="284" w:hanging="284"/>
        <w:jc w:val="both"/>
      </w:pPr>
      <w:r>
        <w:t>Deaf C</w:t>
      </w:r>
      <w:r w:rsidR="00990983">
        <w:t>ulture</w:t>
      </w:r>
    </w:p>
    <w:p w14:paraId="2BE7E244" w14:textId="77777777" w:rsidR="00990983" w:rsidRDefault="00990983" w:rsidP="00814CB4">
      <w:pPr>
        <w:pStyle w:val="ListParagraph"/>
        <w:numPr>
          <w:ilvl w:val="0"/>
          <w:numId w:val="15"/>
        </w:numPr>
        <w:spacing w:line="276" w:lineRule="auto"/>
        <w:ind w:left="284" w:hanging="284"/>
        <w:jc w:val="both"/>
      </w:pPr>
      <w:r>
        <w:t>Basics of sign language</w:t>
      </w:r>
    </w:p>
    <w:p w14:paraId="79E00A9D" w14:textId="77777777" w:rsidR="00990983" w:rsidRDefault="00990983" w:rsidP="00814CB4">
      <w:pPr>
        <w:pStyle w:val="ListParagraph"/>
        <w:numPr>
          <w:ilvl w:val="0"/>
          <w:numId w:val="15"/>
        </w:numPr>
        <w:spacing w:line="276" w:lineRule="auto"/>
        <w:ind w:left="284" w:hanging="284"/>
        <w:jc w:val="both"/>
      </w:pPr>
      <w:r>
        <w:t>Topic based words in sign language</w:t>
      </w:r>
    </w:p>
    <w:p w14:paraId="230426EB" w14:textId="77777777" w:rsidR="00990983" w:rsidRDefault="00990983" w:rsidP="00814CB4">
      <w:pPr>
        <w:pStyle w:val="ListParagraph"/>
        <w:numPr>
          <w:ilvl w:val="0"/>
          <w:numId w:val="15"/>
        </w:numPr>
        <w:spacing w:line="276" w:lineRule="auto"/>
        <w:ind w:left="284" w:hanging="284"/>
        <w:jc w:val="both"/>
      </w:pPr>
      <w:r>
        <w:t>Ways to train or teach deaf</w:t>
      </w:r>
    </w:p>
    <w:p w14:paraId="7155BED7" w14:textId="77777777" w:rsidR="00990983" w:rsidRDefault="00990983" w:rsidP="00814CB4">
      <w:pPr>
        <w:pStyle w:val="ListParagraph"/>
        <w:numPr>
          <w:ilvl w:val="0"/>
          <w:numId w:val="15"/>
        </w:numPr>
        <w:spacing w:line="276" w:lineRule="auto"/>
        <w:ind w:left="284" w:hanging="284"/>
        <w:jc w:val="both"/>
      </w:pPr>
      <w:r>
        <w:t>How to communicate using basic/natural sign language</w:t>
      </w:r>
    </w:p>
    <w:p w14:paraId="01872429" w14:textId="77777777" w:rsidR="008D77E9" w:rsidRDefault="00990983" w:rsidP="00814CB4">
      <w:pPr>
        <w:pStyle w:val="ListParagraph"/>
        <w:numPr>
          <w:ilvl w:val="0"/>
          <w:numId w:val="15"/>
        </w:numPr>
        <w:spacing w:line="276" w:lineRule="auto"/>
        <w:ind w:left="284" w:hanging="284"/>
        <w:jc w:val="both"/>
      </w:pPr>
      <w:r>
        <w:t>Role of interpreters and how to work with them</w:t>
      </w:r>
    </w:p>
    <w:p w14:paraId="3882FBA8" w14:textId="77777777" w:rsidR="00990983" w:rsidRPr="005543DD" w:rsidRDefault="00990983" w:rsidP="00814CB4">
      <w:pPr>
        <w:jc w:val="both"/>
        <w:rPr>
          <w:b/>
          <w:bCs/>
        </w:rPr>
      </w:pPr>
      <w:r w:rsidRPr="005543DD">
        <w:rPr>
          <w:b/>
          <w:bCs/>
        </w:rPr>
        <w:t xml:space="preserve">The participants of this workshop should have attended the Disability Awareness </w:t>
      </w:r>
      <w:r w:rsidR="00472837" w:rsidRPr="005543DD">
        <w:rPr>
          <w:b/>
          <w:bCs/>
        </w:rPr>
        <w:t xml:space="preserve">Orientation </w:t>
      </w:r>
      <w:r w:rsidRPr="005543DD">
        <w:rPr>
          <w:b/>
          <w:bCs/>
        </w:rPr>
        <w:t>session.</w:t>
      </w:r>
    </w:p>
    <w:p w14:paraId="13FD2FCE" w14:textId="77777777" w:rsidR="008D77E9" w:rsidRPr="00A53975" w:rsidRDefault="008D77E9" w:rsidP="00B54422">
      <w:pPr>
        <w:spacing w:before="120" w:after="120" w:line="240" w:lineRule="auto"/>
        <w:rPr>
          <w:rFonts w:asciiTheme="majorHAnsi" w:hAnsiTheme="majorHAnsi"/>
          <w:b/>
        </w:rPr>
      </w:pPr>
      <w:r w:rsidRPr="00A53975">
        <w:rPr>
          <w:rFonts w:asciiTheme="majorHAnsi" w:hAnsiTheme="majorHAnsi"/>
          <w:b/>
        </w:rPr>
        <w:t xml:space="preserve">Key Takeaways of </w:t>
      </w:r>
      <w:r w:rsidR="00457AD0" w:rsidRPr="00A53975">
        <w:rPr>
          <w:rFonts w:asciiTheme="majorHAnsi" w:hAnsiTheme="majorHAnsi"/>
          <w:b/>
        </w:rPr>
        <w:t>ISL</w:t>
      </w:r>
      <w:r w:rsidR="00E62515" w:rsidRPr="00A53975">
        <w:rPr>
          <w:rFonts w:asciiTheme="majorHAnsi" w:hAnsiTheme="majorHAnsi"/>
          <w:b/>
        </w:rPr>
        <w:t>O</w:t>
      </w:r>
    </w:p>
    <w:p w14:paraId="731FB39F" w14:textId="6FFC9239" w:rsidR="00820D07" w:rsidRDefault="002907C9" w:rsidP="00782187">
      <w:pPr>
        <w:spacing w:before="120" w:after="0"/>
        <w:jc w:val="both"/>
      </w:pPr>
      <w:r>
        <w:t xml:space="preserve">Few of the key takeaways from this </w:t>
      </w:r>
      <w:r w:rsidR="006E0514">
        <w:t xml:space="preserve">orientation </w:t>
      </w:r>
      <w:r>
        <w:t>are:</w:t>
      </w:r>
    </w:p>
    <w:p w14:paraId="223AC709" w14:textId="77103F03" w:rsidR="002907C9" w:rsidRDefault="002907C9" w:rsidP="00814CB4">
      <w:pPr>
        <w:pStyle w:val="ListParagraph"/>
        <w:numPr>
          <w:ilvl w:val="0"/>
          <w:numId w:val="20"/>
        </w:numPr>
        <w:spacing w:after="0" w:line="276" w:lineRule="auto"/>
        <w:ind w:left="284" w:hanging="284"/>
        <w:jc w:val="both"/>
      </w:pPr>
      <w:r>
        <w:t xml:space="preserve">Introduces </w:t>
      </w:r>
      <w:r w:rsidR="005543DD">
        <w:t>the participants</w:t>
      </w:r>
      <w:r w:rsidR="007B62AE">
        <w:t xml:space="preserve"> to the deaf c</w:t>
      </w:r>
      <w:r w:rsidRPr="002907C9">
        <w:t>ulture and community</w:t>
      </w:r>
      <w:r w:rsidR="007B62AE">
        <w:t xml:space="preserve"> - get to know the rich history of deaf culture and deaf community</w:t>
      </w:r>
      <w:r w:rsidR="009E7961">
        <w:t>.</w:t>
      </w:r>
    </w:p>
    <w:p w14:paraId="43F269E1" w14:textId="7EB520B7" w:rsidR="002907C9" w:rsidRDefault="005543DD" w:rsidP="00814CB4">
      <w:pPr>
        <w:pStyle w:val="ListParagraph"/>
        <w:numPr>
          <w:ilvl w:val="0"/>
          <w:numId w:val="19"/>
        </w:numPr>
        <w:spacing w:before="240" w:line="276" w:lineRule="auto"/>
        <w:ind w:left="284" w:hanging="284"/>
        <w:jc w:val="both"/>
      </w:pPr>
      <w:r>
        <w:t>Enables participants to</w:t>
      </w:r>
      <w:r w:rsidR="002907C9">
        <w:t xml:space="preserve"> </w:t>
      </w:r>
      <w:r w:rsidR="002907C9" w:rsidRPr="002907C9">
        <w:t>become more diverse</w:t>
      </w:r>
      <w:r w:rsidR="007B62AE">
        <w:t xml:space="preserve"> </w:t>
      </w:r>
      <w:r w:rsidR="00D92A45">
        <w:t>–</w:t>
      </w:r>
      <w:r w:rsidR="007B62AE">
        <w:t xml:space="preserve"> </w:t>
      </w:r>
      <w:r w:rsidR="00D92A45">
        <w:t xml:space="preserve">With the </w:t>
      </w:r>
      <w:r w:rsidR="00CF1C59">
        <w:t xml:space="preserve">knowledge of sign language, </w:t>
      </w:r>
      <w:r w:rsidR="00D92A45">
        <w:t>participant’s</w:t>
      </w:r>
      <w:r w:rsidR="00AB62AA">
        <w:t xml:space="preserve"> connection will extend to the d</w:t>
      </w:r>
      <w:r w:rsidR="00CF1C59">
        <w:t>e</w:t>
      </w:r>
      <w:r w:rsidR="00AB62AA">
        <w:t xml:space="preserve">af </w:t>
      </w:r>
      <w:r w:rsidR="00F96237">
        <w:t>community,</w:t>
      </w:r>
      <w:r w:rsidR="00AB62AA">
        <w:t xml:space="preserve"> and it prepares her/him to handle</w:t>
      </w:r>
      <w:r w:rsidR="00CF1C59">
        <w:t xml:space="preserve"> the communication barriers. </w:t>
      </w:r>
      <w:r w:rsidR="00AB62AA">
        <w:t xml:space="preserve">The </w:t>
      </w:r>
      <w:r w:rsidR="00CF1C59">
        <w:t xml:space="preserve">sign language can help </w:t>
      </w:r>
      <w:r w:rsidR="00AB62AA">
        <w:t>make the</w:t>
      </w:r>
      <w:r w:rsidR="00CF1C59">
        <w:t xml:space="preserve"> workplac</w:t>
      </w:r>
      <w:r w:rsidR="00AB62AA">
        <w:t xml:space="preserve">e </w:t>
      </w:r>
      <w:r w:rsidR="00CF1C59">
        <w:t>more diverse.</w:t>
      </w:r>
    </w:p>
    <w:p w14:paraId="45D4ACC3" w14:textId="69020156" w:rsidR="007B62AE" w:rsidRDefault="007B62AE" w:rsidP="00814CB4">
      <w:pPr>
        <w:pStyle w:val="ListParagraph"/>
        <w:numPr>
          <w:ilvl w:val="0"/>
          <w:numId w:val="19"/>
        </w:numPr>
        <w:spacing w:before="240" w:line="276" w:lineRule="auto"/>
        <w:ind w:left="284" w:hanging="284"/>
        <w:jc w:val="both"/>
      </w:pPr>
      <w:r>
        <w:t xml:space="preserve">Allows </w:t>
      </w:r>
      <w:r w:rsidR="00D92A45">
        <w:t>participants</w:t>
      </w:r>
      <w:r>
        <w:t xml:space="preserve"> to make new friends </w:t>
      </w:r>
      <w:r w:rsidR="00D92A45">
        <w:t>–</w:t>
      </w:r>
      <w:r>
        <w:t xml:space="preserve"> </w:t>
      </w:r>
      <w:r w:rsidR="008C7C8C">
        <w:t>She/he</w:t>
      </w:r>
      <w:r>
        <w:t xml:space="preserve"> can build relationships and </w:t>
      </w:r>
      <w:r w:rsidR="009E7961">
        <w:t>g</w:t>
      </w:r>
      <w:r w:rsidRPr="007B62AE">
        <w:t>et to know each other, online and offline</w:t>
      </w:r>
      <w:r w:rsidR="009E7961">
        <w:t>.</w:t>
      </w:r>
    </w:p>
    <w:p w14:paraId="0AF48E62" w14:textId="62C61DD4" w:rsidR="001B0AE0" w:rsidRDefault="001B0AE0" w:rsidP="00814CB4">
      <w:pPr>
        <w:pStyle w:val="ListParagraph"/>
        <w:numPr>
          <w:ilvl w:val="0"/>
          <w:numId w:val="19"/>
        </w:numPr>
        <w:spacing w:before="240" w:line="276" w:lineRule="auto"/>
        <w:ind w:left="284" w:hanging="284"/>
        <w:jc w:val="both"/>
      </w:pPr>
      <w:r w:rsidRPr="001B0AE0">
        <w:t>Be able to help when required</w:t>
      </w:r>
      <w:r>
        <w:t xml:space="preserve"> - </w:t>
      </w:r>
      <w:r w:rsidR="00D92A45">
        <w:t>Participants</w:t>
      </w:r>
      <w:r w:rsidRPr="001B0AE0">
        <w:t xml:space="preserve"> can overcome any </w:t>
      </w:r>
      <w:r>
        <w:t>communication barriers with her/his d</w:t>
      </w:r>
      <w:r w:rsidRPr="001B0AE0">
        <w:t xml:space="preserve">eaf </w:t>
      </w:r>
      <w:r>
        <w:t>peers</w:t>
      </w:r>
      <w:r w:rsidRPr="001B0AE0">
        <w:t xml:space="preserve"> by speaking in sign language.</w:t>
      </w:r>
    </w:p>
    <w:p w14:paraId="5FDE7F21" w14:textId="632B4C1D" w:rsidR="00C9612C" w:rsidRDefault="00C9612C" w:rsidP="00C9612C">
      <w:pPr>
        <w:pStyle w:val="Heading2"/>
      </w:pPr>
      <w:bookmarkStart w:id="18" w:name="_Toc88469384"/>
      <w:r>
        <w:lastRenderedPageBreak/>
        <w:t>Sign Language Interpretation Support</w:t>
      </w:r>
      <w:bookmarkEnd w:id="18"/>
    </w:p>
    <w:p w14:paraId="75C00501" w14:textId="4905AC51" w:rsidR="00C9612C" w:rsidRDefault="00CC1072" w:rsidP="00C9612C">
      <w:pPr>
        <w:spacing w:before="120" w:after="120"/>
        <w:jc w:val="both"/>
      </w:pPr>
      <w:r>
        <w:t xml:space="preserve">Effective communication is vital in a team. </w:t>
      </w:r>
      <w:r w:rsidRPr="00CC1072">
        <w:t>To be effective, communication needs to be inclusive and engage everyone.</w:t>
      </w:r>
      <w:r>
        <w:t xml:space="preserve"> While </w:t>
      </w:r>
      <w:r w:rsidR="00D50105">
        <w:t xml:space="preserve">Accenture </w:t>
      </w:r>
      <w:r>
        <w:t>is taking steps to make the workplace environment more inclusive by training the employees to interact with their deaf counterparts, engaging a</w:t>
      </w:r>
      <w:r w:rsidRPr="00CC1072">
        <w:t xml:space="preserve"> professional interpret</w:t>
      </w:r>
      <w:r>
        <w:t>er offers an excellent way for d</w:t>
      </w:r>
      <w:r w:rsidRPr="00CC1072">
        <w:t>eaf and hard of hearing emplo</w:t>
      </w:r>
      <w:r w:rsidR="007660A0">
        <w:t>yees to get more from 1:1 interactions, meetings</w:t>
      </w:r>
      <w:r w:rsidRPr="00CC1072">
        <w:t xml:space="preserve"> and training sessions</w:t>
      </w:r>
      <w:r w:rsidR="00980E73">
        <w:t xml:space="preserve"> that are very important</w:t>
      </w:r>
      <w:r w:rsidRPr="00CC1072">
        <w:t>, by allowing them to feel fully informed and able to contribute their input.</w:t>
      </w:r>
    </w:p>
    <w:p w14:paraId="628CE668" w14:textId="2408B311" w:rsidR="00C9612C" w:rsidRDefault="00C9612C" w:rsidP="00980E73">
      <w:pPr>
        <w:spacing w:before="120" w:after="120"/>
        <w:jc w:val="both"/>
      </w:pPr>
      <w:r>
        <w:t>WinVinaya</w:t>
      </w:r>
      <w:r w:rsidR="00980E73">
        <w:t xml:space="preserve"> offers this support – whenever a crucial meeting or a training is planned by </w:t>
      </w:r>
      <w:r w:rsidR="00D50105">
        <w:t xml:space="preserve">Accenture </w:t>
      </w:r>
      <w:r w:rsidR="00980E73">
        <w:t xml:space="preserve">for the participants including deaf employees, </w:t>
      </w:r>
      <w:r w:rsidR="00D50105">
        <w:t xml:space="preserve">Accenture </w:t>
      </w:r>
      <w:r w:rsidR="00980E73">
        <w:t>can reach out to WinVinaya for sign language interpretation</w:t>
      </w:r>
      <w:r>
        <w:t xml:space="preserve">.  </w:t>
      </w:r>
      <w:r w:rsidR="00980E73">
        <w:t>The pre-requisites for this service are</w:t>
      </w:r>
      <w:r w:rsidR="00A8569A">
        <w:t>:</w:t>
      </w:r>
    </w:p>
    <w:p w14:paraId="2C60E377" w14:textId="5879770C" w:rsidR="00980E73" w:rsidRDefault="00980E73" w:rsidP="00A80B67">
      <w:pPr>
        <w:pStyle w:val="ListParagraph"/>
        <w:numPr>
          <w:ilvl w:val="0"/>
          <w:numId w:val="27"/>
        </w:numPr>
        <w:spacing w:before="120" w:after="120"/>
        <w:ind w:left="284" w:hanging="284"/>
        <w:jc w:val="both"/>
      </w:pPr>
      <w:r>
        <w:t>Sign language interpreters are available on we</w:t>
      </w:r>
      <w:r w:rsidR="005E5F5F">
        <w:t>ekdays (Monday to Friday) from 9</w:t>
      </w:r>
      <w:r>
        <w:t xml:space="preserve"> AM to 5 PM.</w:t>
      </w:r>
    </w:p>
    <w:p w14:paraId="7DE4E605" w14:textId="57B16E25" w:rsidR="00980E73" w:rsidRDefault="00980E73" w:rsidP="00A80B67">
      <w:pPr>
        <w:pStyle w:val="ListParagraph"/>
        <w:numPr>
          <w:ilvl w:val="0"/>
          <w:numId w:val="27"/>
        </w:numPr>
        <w:spacing w:before="240"/>
        <w:ind w:left="284" w:hanging="284"/>
        <w:jc w:val="both"/>
      </w:pPr>
      <w:r>
        <w:t>A prior notice is to be provided to WinVinaya before at least 3 days before the session to arrange for the interpreter.</w:t>
      </w:r>
    </w:p>
    <w:p w14:paraId="4CDB57D5" w14:textId="7E547E1E" w:rsidR="007660A0" w:rsidRDefault="007660A0" w:rsidP="00A80B67">
      <w:pPr>
        <w:pStyle w:val="ListParagraph"/>
        <w:numPr>
          <w:ilvl w:val="0"/>
          <w:numId w:val="27"/>
        </w:numPr>
        <w:spacing w:before="240"/>
        <w:ind w:left="284" w:hanging="284"/>
        <w:jc w:val="both"/>
      </w:pPr>
      <w:r>
        <w:t>For a meeting or a training, the maximum number of deaf participants should be 15.</w:t>
      </w:r>
    </w:p>
    <w:sectPr w:rsidR="007660A0" w:rsidSect="005664F1">
      <w:pgSz w:w="11906" w:h="16838"/>
      <w:pgMar w:top="1134" w:right="1080" w:bottom="993"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atha">
    <w:altName w:val="Leelawadee UI Semilight"/>
    <w:panose1 w:val="02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406"/>
    <w:multiLevelType w:val="hybridMultilevel"/>
    <w:tmpl w:val="221619F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B5A6B"/>
    <w:multiLevelType w:val="hybridMultilevel"/>
    <w:tmpl w:val="A1A82BB0"/>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73405A2"/>
    <w:multiLevelType w:val="hybridMultilevel"/>
    <w:tmpl w:val="A922269A"/>
    <w:lvl w:ilvl="0" w:tplc="92FC64E8">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DDE39D9"/>
    <w:multiLevelType w:val="hybridMultilevel"/>
    <w:tmpl w:val="DF1E0DA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2272526"/>
    <w:multiLevelType w:val="hybridMultilevel"/>
    <w:tmpl w:val="95D20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36EFE"/>
    <w:multiLevelType w:val="hybridMultilevel"/>
    <w:tmpl w:val="C9D2F6B2"/>
    <w:lvl w:ilvl="0" w:tplc="952C3E78">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B12B63"/>
    <w:multiLevelType w:val="hybridMultilevel"/>
    <w:tmpl w:val="42D42BBE"/>
    <w:lvl w:ilvl="0" w:tplc="952C3E78">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E03617"/>
    <w:multiLevelType w:val="hybridMultilevel"/>
    <w:tmpl w:val="AA82CDB6"/>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32D2192"/>
    <w:multiLevelType w:val="hybridMultilevel"/>
    <w:tmpl w:val="ADDE9D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95F5571"/>
    <w:multiLevelType w:val="hybridMultilevel"/>
    <w:tmpl w:val="1F9C1AC6"/>
    <w:lvl w:ilvl="0" w:tplc="CC80E218">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8B319F"/>
    <w:multiLevelType w:val="hybridMultilevel"/>
    <w:tmpl w:val="036EE1AA"/>
    <w:lvl w:ilvl="0" w:tplc="952C3E78">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0807D9"/>
    <w:multiLevelType w:val="multilevel"/>
    <w:tmpl w:val="ECDEBF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257"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22E5E02"/>
    <w:multiLevelType w:val="hybridMultilevel"/>
    <w:tmpl w:val="D86C3164"/>
    <w:lvl w:ilvl="0" w:tplc="B084584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AC2512"/>
    <w:multiLevelType w:val="hybridMultilevel"/>
    <w:tmpl w:val="97F40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A11C75"/>
    <w:multiLevelType w:val="hybridMultilevel"/>
    <w:tmpl w:val="E7C4C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CF7ED7"/>
    <w:multiLevelType w:val="hybridMultilevel"/>
    <w:tmpl w:val="71E28180"/>
    <w:lvl w:ilvl="0" w:tplc="40090001">
      <w:start w:val="1"/>
      <w:numFmt w:val="bullet"/>
      <w:lvlText w:val=""/>
      <w:lvlJc w:val="left"/>
      <w:pPr>
        <w:ind w:left="360" w:hanging="360"/>
      </w:pPr>
      <w:rPr>
        <w:rFonts w:ascii="Symbol" w:hAnsi="Symbol" w:hint="default"/>
      </w:rPr>
    </w:lvl>
    <w:lvl w:ilvl="1" w:tplc="270E8656">
      <w:numFmt w:val="bullet"/>
      <w:lvlText w:val="•"/>
      <w:lvlJc w:val="left"/>
      <w:pPr>
        <w:ind w:left="1440" w:hanging="720"/>
      </w:pPr>
      <w:rPr>
        <w:rFonts w:ascii="Calibri" w:eastAsiaTheme="majorEastAsia"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1311B0E"/>
    <w:multiLevelType w:val="hybridMultilevel"/>
    <w:tmpl w:val="32A414A6"/>
    <w:lvl w:ilvl="0" w:tplc="92FC64E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783998"/>
    <w:multiLevelType w:val="hybridMultilevel"/>
    <w:tmpl w:val="A852D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B3A25"/>
    <w:multiLevelType w:val="hybridMultilevel"/>
    <w:tmpl w:val="A448054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87F4CB8"/>
    <w:multiLevelType w:val="multilevel"/>
    <w:tmpl w:val="05CE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F2B43"/>
    <w:multiLevelType w:val="multilevel"/>
    <w:tmpl w:val="EB60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857B7C"/>
    <w:multiLevelType w:val="hybridMultilevel"/>
    <w:tmpl w:val="4F3657B0"/>
    <w:lvl w:ilvl="0" w:tplc="04090001">
      <w:start w:val="1"/>
      <w:numFmt w:val="bullet"/>
      <w:lvlText w:val=""/>
      <w:lvlJc w:val="left"/>
      <w:pPr>
        <w:ind w:left="360" w:hanging="360"/>
      </w:pPr>
      <w:rPr>
        <w:rFonts w:ascii="Symbol" w:hAnsi="Symbol" w:hint="default"/>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B61270C"/>
    <w:multiLevelType w:val="hybridMultilevel"/>
    <w:tmpl w:val="259E66D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CA0750F"/>
    <w:multiLevelType w:val="hybridMultilevel"/>
    <w:tmpl w:val="33FCD1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0"/>
  </w:num>
  <w:num w:numId="2">
    <w:abstractNumId w:val="19"/>
  </w:num>
  <w:num w:numId="3">
    <w:abstractNumId w:val="14"/>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2"/>
  </w:num>
  <w:num w:numId="8">
    <w:abstractNumId w:val="15"/>
  </w:num>
  <w:num w:numId="9">
    <w:abstractNumId w:val="13"/>
  </w:num>
  <w:num w:numId="10">
    <w:abstractNumId w:val="21"/>
  </w:num>
  <w:num w:numId="11">
    <w:abstractNumId w:val="4"/>
  </w:num>
  <w:num w:numId="12">
    <w:abstractNumId w:val="2"/>
  </w:num>
  <w:num w:numId="13">
    <w:abstractNumId w:val="16"/>
  </w:num>
  <w:num w:numId="14">
    <w:abstractNumId w:val="3"/>
  </w:num>
  <w:num w:numId="15">
    <w:abstractNumId w:val="0"/>
  </w:num>
  <w:num w:numId="16">
    <w:abstractNumId w:val="10"/>
  </w:num>
  <w:num w:numId="17">
    <w:abstractNumId w:val="11"/>
  </w:num>
  <w:num w:numId="18">
    <w:abstractNumId w:val="11"/>
  </w:num>
  <w:num w:numId="19">
    <w:abstractNumId w:val="6"/>
  </w:num>
  <w:num w:numId="20">
    <w:abstractNumId w:val="5"/>
  </w:num>
  <w:num w:numId="2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0"/>
  </w:num>
  <w:num w:numId="24">
    <w:abstractNumId w:val="18"/>
  </w:num>
  <w:num w:numId="25">
    <w:abstractNumId w:val="1"/>
  </w:num>
  <w:num w:numId="26">
    <w:abstractNumId w:val="22"/>
  </w:num>
  <w:num w:numId="27">
    <w:abstractNumId w:val="7"/>
  </w:num>
  <w:num w:numId="28">
    <w:abstractNumId w:val="2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AF"/>
    <w:rsid w:val="000071C2"/>
    <w:rsid w:val="00007BFF"/>
    <w:rsid w:val="00013D77"/>
    <w:rsid w:val="00023403"/>
    <w:rsid w:val="00025C83"/>
    <w:rsid w:val="00054567"/>
    <w:rsid w:val="00080BCF"/>
    <w:rsid w:val="000A0DB4"/>
    <w:rsid w:val="000B7A39"/>
    <w:rsid w:val="000C29FC"/>
    <w:rsid w:val="000C4B59"/>
    <w:rsid w:val="000D69C5"/>
    <w:rsid w:val="00113E29"/>
    <w:rsid w:val="001458B2"/>
    <w:rsid w:val="00152A11"/>
    <w:rsid w:val="00155654"/>
    <w:rsid w:val="001564D6"/>
    <w:rsid w:val="00181DF0"/>
    <w:rsid w:val="001B0AE0"/>
    <w:rsid w:val="001F3E55"/>
    <w:rsid w:val="00223E7F"/>
    <w:rsid w:val="00230E9F"/>
    <w:rsid w:val="00231D46"/>
    <w:rsid w:val="0025150C"/>
    <w:rsid w:val="00260019"/>
    <w:rsid w:val="002812CA"/>
    <w:rsid w:val="00287CAC"/>
    <w:rsid w:val="002907C9"/>
    <w:rsid w:val="002A48E2"/>
    <w:rsid w:val="002C11BD"/>
    <w:rsid w:val="002D061F"/>
    <w:rsid w:val="002D5CFC"/>
    <w:rsid w:val="00310C46"/>
    <w:rsid w:val="00320572"/>
    <w:rsid w:val="00321BDA"/>
    <w:rsid w:val="00362488"/>
    <w:rsid w:val="0036590F"/>
    <w:rsid w:val="00374F17"/>
    <w:rsid w:val="003B4932"/>
    <w:rsid w:val="003C3452"/>
    <w:rsid w:val="003F57EF"/>
    <w:rsid w:val="00410677"/>
    <w:rsid w:val="00415491"/>
    <w:rsid w:val="00421DF6"/>
    <w:rsid w:val="00431DA5"/>
    <w:rsid w:val="004403E1"/>
    <w:rsid w:val="00444303"/>
    <w:rsid w:val="00457AD0"/>
    <w:rsid w:val="00472837"/>
    <w:rsid w:val="004738CB"/>
    <w:rsid w:val="00481914"/>
    <w:rsid w:val="00481F34"/>
    <w:rsid w:val="004845DB"/>
    <w:rsid w:val="004865C6"/>
    <w:rsid w:val="004B746C"/>
    <w:rsid w:val="004E7A37"/>
    <w:rsid w:val="005436D7"/>
    <w:rsid w:val="005543DD"/>
    <w:rsid w:val="00562222"/>
    <w:rsid w:val="005664F1"/>
    <w:rsid w:val="00572119"/>
    <w:rsid w:val="0057621D"/>
    <w:rsid w:val="0059535C"/>
    <w:rsid w:val="00596B34"/>
    <w:rsid w:val="005C6992"/>
    <w:rsid w:val="005C6A80"/>
    <w:rsid w:val="005D7D8E"/>
    <w:rsid w:val="005E5F5F"/>
    <w:rsid w:val="005F2411"/>
    <w:rsid w:val="00646043"/>
    <w:rsid w:val="006A2C30"/>
    <w:rsid w:val="006C1241"/>
    <w:rsid w:val="006C268C"/>
    <w:rsid w:val="006E0514"/>
    <w:rsid w:val="00702A25"/>
    <w:rsid w:val="00722A36"/>
    <w:rsid w:val="007231E9"/>
    <w:rsid w:val="0072519B"/>
    <w:rsid w:val="00727F98"/>
    <w:rsid w:val="007660A0"/>
    <w:rsid w:val="00782187"/>
    <w:rsid w:val="007950D3"/>
    <w:rsid w:val="007A0924"/>
    <w:rsid w:val="007B62AE"/>
    <w:rsid w:val="007C240F"/>
    <w:rsid w:val="007D7DAA"/>
    <w:rsid w:val="007E43B5"/>
    <w:rsid w:val="007F238C"/>
    <w:rsid w:val="007F6FDF"/>
    <w:rsid w:val="008003E5"/>
    <w:rsid w:val="00802C25"/>
    <w:rsid w:val="00814CB4"/>
    <w:rsid w:val="00820D07"/>
    <w:rsid w:val="008344D5"/>
    <w:rsid w:val="00835AC8"/>
    <w:rsid w:val="008728D9"/>
    <w:rsid w:val="008747ED"/>
    <w:rsid w:val="00882245"/>
    <w:rsid w:val="00893ED5"/>
    <w:rsid w:val="008A282C"/>
    <w:rsid w:val="008A5CE2"/>
    <w:rsid w:val="008C3B18"/>
    <w:rsid w:val="008C7C8C"/>
    <w:rsid w:val="008D53F6"/>
    <w:rsid w:val="008D77E9"/>
    <w:rsid w:val="008E6098"/>
    <w:rsid w:val="00900FBA"/>
    <w:rsid w:val="0090627F"/>
    <w:rsid w:val="009149FC"/>
    <w:rsid w:val="00915392"/>
    <w:rsid w:val="0091617D"/>
    <w:rsid w:val="00925600"/>
    <w:rsid w:val="0095595B"/>
    <w:rsid w:val="0095703D"/>
    <w:rsid w:val="009652C2"/>
    <w:rsid w:val="00970C7B"/>
    <w:rsid w:val="00977508"/>
    <w:rsid w:val="00980E73"/>
    <w:rsid w:val="00983942"/>
    <w:rsid w:val="00984318"/>
    <w:rsid w:val="00986629"/>
    <w:rsid w:val="00990983"/>
    <w:rsid w:val="009A0388"/>
    <w:rsid w:val="009C7DCC"/>
    <w:rsid w:val="009D75AB"/>
    <w:rsid w:val="009E7961"/>
    <w:rsid w:val="009F5823"/>
    <w:rsid w:val="00A12B90"/>
    <w:rsid w:val="00A3120E"/>
    <w:rsid w:val="00A41328"/>
    <w:rsid w:val="00A466B8"/>
    <w:rsid w:val="00A53975"/>
    <w:rsid w:val="00A5723D"/>
    <w:rsid w:val="00A80B67"/>
    <w:rsid w:val="00A84DEE"/>
    <w:rsid w:val="00A8569A"/>
    <w:rsid w:val="00AB2EB8"/>
    <w:rsid w:val="00AB62AA"/>
    <w:rsid w:val="00AD6F75"/>
    <w:rsid w:val="00B04877"/>
    <w:rsid w:val="00B31D2E"/>
    <w:rsid w:val="00B42A90"/>
    <w:rsid w:val="00B52A6F"/>
    <w:rsid w:val="00B54422"/>
    <w:rsid w:val="00B77913"/>
    <w:rsid w:val="00B81871"/>
    <w:rsid w:val="00B954C9"/>
    <w:rsid w:val="00BB1F24"/>
    <w:rsid w:val="00BB3DAF"/>
    <w:rsid w:val="00BE0663"/>
    <w:rsid w:val="00C02873"/>
    <w:rsid w:val="00C03FC9"/>
    <w:rsid w:val="00C40822"/>
    <w:rsid w:val="00C45FE6"/>
    <w:rsid w:val="00C61CF2"/>
    <w:rsid w:val="00C9199A"/>
    <w:rsid w:val="00C9491C"/>
    <w:rsid w:val="00C9612C"/>
    <w:rsid w:val="00C9738C"/>
    <w:rsid w:val="00CB76C1"/>
    <w:rsid w:val="00CC07F5"/>
    <w:rsid w:val="00CC1072"/>
    <w:rsid w:val="00CF1C59"/>
    <w:rsid w:val="00CF5EDD"/>
    <w:rsid w:val="00D17088"/>
    <w:rsid w:val="00D50105"/>
    <w:rsid w:val="00D572F8"/>
    <w:rsid w:val="00D72ACB"/>
    <w:rsid w:val="00D92A45"/>
    <w:rsid w:val="00DA00BB"/>
    <w:rsid w:val="00DD1D4B"/>
    <w:rsid w:val="00DD59D6"/>
    <w:rsid w:val="00DF0C1C"/>
    <w:rsid w:val="00E07C35"/>
    <w:rsid w:val="00E14AAF"/>
    <w:rsid w:val="00E62515"/>
    <w:rsid w:val="00E64273"/>
    <w:rsid w:val="00EA3093"/>
    <w:rsid w:val="00EC0790"/>
    <w:rsid w:val="00F00B8E"/>
    <w:rsid w:val="00F066E1"/>
    <w:rsid w:val="00F1600A"/>
    <w:rsid w:val="00F16ED2"/>
    <w:rsid w:val="00F458B4"/>
    <w:rsid w:val="00F46E08"/>
    <w:rsid w:val="00F46EE4"/>
    <w:rsid w:val="00F51D23"/>
    <w:rsid w:val="00F550F3"/>
    <w:rsid w:val="00F84284"/>
    <w:rsid w:val="00F96237"/>
    <w:rsid w:val="00FA4367"/>
    <w:rsid w:val="00FB353E"/>
    <w:rsid w:val="00FC5FB3"/>
    <w:rsid w:val="00FD07FF"/>
    <w:rsid w:val="00FD7544"/>
    <w:rsid w:val="00FD7CE9"/>
    <w:rsid w:val="00FE00F0"/>
    <w:rsid w:val="00FF045F"/>
    <w:rsid w:val="00FF2324"/>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16B6"/>
  <w15:chartTrackingRefBased/>
  <w15:docId w15:val="{F8A48FF7-915F-4811-9800-0E1F4199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508"/>
    <w:pPr>
      <w:keepNext/>
      <w:keepLines/>
      <w:numPr>
        <w:numId w:val="4"/>
      </w:numPr>
      <w:spacing w:before="240" w:after="0" w:line="259"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977508"/>
    <w:pPr>
      <w:keepNext/>
      <w:keepLines/>
      <w:numPr>
        <w:ilvl w:val="1"/>
        <w:numId w:val="4"/>
      </w:numPr>
      <w:spacing w:before="40" w:after="0" w:line="259" w:lineRule="auto"/>
      <w:outlineLvl w:val="1"/>
    </w:pPr>
    <w:rPr>
      <w:rFonts w:asciiTheme="majorHAnsi" w:eastAsiaTheme="majorEastAsia" w:hAnsiTheme="majorHAnsi" w:cstheme="majorBidi"/>
      <w:color w:val="365F91" w:themeColor="accent1" w:themeShade="BF"/>
      <w:sz w:val="26"/>
      <w:szCs w:val="26"/>
      <w:lang w:val="en-US" w:eastAsia="en-US"/>
    </w:rPr>
  </w:style>
  <w:style w:type="paragraph" w:styleId="Heading3">
    <w:name w:val="heading 3"/>
    <w:basedOn w:val="Normal"/>
    <w:next w:val="Normal"/>
    <w:link w:val="Heading3Char"/>
    <w:uiPriority w:val="9"/>
    <w:unhideWhenUsed/>
    <w:qFormat/>
    <w:rsid w:val="00977508"/>
    <w:pPr>
      <w:keepNext/>
      <w:keepLines/>
      <w:numPr>
        <w:ilvl w:val="2"/>
        <w:numId w:val="4"/>
      </w:numPr>
      <w:spacing w:before="40" w:after="0" w:line="259" w:lineRule="auto"/>
      <w:outlineLvl w:val="2"/>
    </w:pPr>
    <w:rPr>
      <w:rFonts w:asciiTheme="majorHAnsi" w:eastAsiaTheme="majorEastAsia" w:hAnsiTheme="majorHAnsi" w:cstheme="majorBidi"/>
      <w:color w:val="243F60" w:themeColor="accent1" w:themeShade="7F"/>
      <w:sz w:val="24"/>
      <w:szCs w:val="24"/>
      <w:lang w:val="en-US" w:eastAsia="en-US"/>
    </w:rPr>
  </w:style>
  <w:style w:type="paragraph" w:styleId="Heading4">
    <w:name w:val="heading 4"/>
    <w:basedOn w:val="Normal"/>
    <w:next w:val="Normal"/>
    <w:link w:val="Heading4Char"/>
    <w:uiPriority w:val="9"/>
    <w:unhideWhenUsed/>
    <w:qFormat/>
    <w:rsid w:val="00977508"/>
    <w:pPr>
      <w:keepNext/>
      <w:keepLines/>
      <w:numPr>
        <w:ilvl w:val="3"/>
        <w:numId w:val="4"/>
      </w:numPr>
      <w:spacing w:before="40" w:after="0" w:line="259" w:lineRule="auto"/>
      <w:outlineLvl w:val="3"/>
    </w:pPr>
    <w:rPr>
      <w:rFonts w:asciiTheme="majorHAnsi" w:eastAsiaTheme="majorEastAsia" w:hAnsiTheme="majorHAnsi" w:cstheme="majorBidi"/>
      <w:i/>
      <w:iCs/>
      <w:color w:val="365F91" w:themeColor="accent1" w:themeShade="BF"/>
      <w:lang w:val="en-US" w:eastAsia="en-US"/>
    </w:rPr>
  </w:style>
  <w:style w:type="paragraph" w:styleId="Heading5">
    <w:name w:val="heading 5"/>
    <w:basedOn w:val="Normal"/>
    <w:next w:val="Normal"/>
    <w:link w:val="Heading5Char"/>
    <w:uiPriority w:val="9"/>
    <w:semiHidden/>
    <w:unhideWhenUsed/>
    <w:qFormat/>
    <w:rsid w:val="00977508"/>
    <w:pPr>
      <w:keepNext/>
      <w:keepLines/>
      <w:numPr>
        <w:ilvl w:val="4"/>
        <w:numId w:val="4"/>
      </w:numPr>
      <w:spacing w:before="40" w:after="0" w:line="259" w:lineRule="auto"/>
      <w:outlineLvl w:val="4"/>
    </w:pPr>
    <w:rPr>
      <w:rFonts w:asciiTheme="majorHAnsi" w:eastAsiaTheme="majorEastAsia" w:hAnsiTheme="majorHAnsi" w:cstheme="majorBidi"/>
      <w:color w:val="365F91" w:themeColor="accent1" w:themeShade="BF"/>
      <w:lang w:val="en-US" w:eastAsia="en-US"/>
    </w:rPr>
  </w:style>
  <w:style w:type="paragraph" w:styleId="Heading6">
    <w:name w:val="heading 6"/>
    <w:basedOn w:val="Normal"/>
    <w:next w:val="Normal"/>
    <w:link w:val="Heading6Char"/>
    <w:uiPriority w:val="9"/>
    <w:semiHidden/>
    <w:unhideWhenUsed/>
    <w:qFormat/>
    <w:rsid w:val="00977508"/>
    <w:pPr>
      <w:keepNext/>
      <w:keepLines/>
      <w:numPr>
        <w:ilvl w:val="5"/>
        <w:numId w:val="4"/>
      </w:numPr>
      <w:spacing w:before="40" w:after="0" w:line="259" w:lineRule="auto"/>
      <w:outlineLvl w:val="5"/>
    </w:pPr>
    <w:rPr>
      <w:rFonts w:asciiTheme="majorHAnsi" w:eastAsiaTheme="majorEastAsia" w:hAnsiTheme="majorHAnsi" w:cstheme="majorBidi"/>
      <w:color w:val="243F60" w:themeColor="accent1" w:themeShade="7F"/>
      <w:lang w:val="en-US" w:eastAsia="en-US"/>
    </w:rPr>
  </w:style>
  <w:style w:type="paragraph" w:styleId="Heading7">
    <w:name w:val="heading 7"/>
    <w:basedOn w:val="Normal"/>
    <w:next w:val="Normal"/>
    <w:link w:val="Heading7Char"/>
    <w:uiPriority w:val="9"/>
    <w:semiHidden/>
    <w:unhideWhenUsed/>
    <w:qFormat/>
    <w:rsid w:val="00977508"/>
    <w:pPr>
      <w:keepNext/>
      <w:keepLines/>
      <w:numPr>
        <w:ilvl w:val="6"/>
        <w:numId w:val="4"/>
      </w:numPr>
      <w:spacing w:before="40" w:after="0" w:line="259" w:lineRule="auto"/>
      <w:outlineLvl w:val="6"/>
    </w:pPr>
    <w:rPr>
      <w:rFonts w:asciiTheme="majorHAnsi" w:eastAsiaTheme="majorEastAsia" w:hAnsiTheme="majorHAnsi" w:cstheme="majorBidi"/>
      <w:i/>
      <w:iCs/>
      <w:color w:val="243F60" w:themeColor="accent1" w:themeShade="7F"/>
      <w:lang w:val="en-US" w:eastAsia="en-US"/>
    </w:rPr>
  </w:style>
  <w:style w:type="paragraph" w:styleId="Heading8">
    <w:name w:val="heading 8"/>
    <w:basedOn w:val="Normal"/>
    <w:next w:val="Normal"/>
    <w:link w:val="Heading8Char"/>
    <w:uiPriority w:val="9"/>
    <w:semiHidden/>
    <w:unhideWhenUsed/>
    <w:qFormat/>
    <w:rsid w:val="00977508"/>
    <w:pPr>
      <w:keepNext/>
      <w:keepLines/>
      <w:numPr>
        <w:ilvl w:val="7"/>
        <w:numId w:val="4"/>
      </w:numPr>
      <w:spacing w:before="40" w:after="0" w:line="259" w:lineRule="auto"/>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977508"/>
    <w:pPr>
      <w:keepNext/>
      <w:keepLines/>
      <w:numPr>
        <w:ilvl w:val="8"/>
        <w:numId w:val="4"/>
      </w:numPr>
      <w:spacing w:before="40" w:after="0" w:line="259" w:lineRule="auto"/>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A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4AAF"/>
    <w:rPr>
      <w:b/>
      <w:bCs/>
    </w:rPr>
  </w:style>
  <w:style w:type="character" w:customStyle="1" w:styleId="Heading1Char">
    <w:name w:val="Heading 1 Char"/>
    <w:basedOn w:val="DefaultParagraphFont"/>
    <w:link w:val="Heading1"/>
    <w:uiPriority w:val="9"/>
    <w:rsid w:val="00977508"/>
    <w:rPr>
      <w:rFonts w:asciiTheme="majorHAnsi" w:eastAsiaTheme="majorEastAsia" w:hAnsiTheme="majorHAnsi" w:cstheme="majorBidi"/>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977508"/>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uiPriority w:val="9"/>
    <w:rsid w:val="00977508"/>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rsid w:val="00977508"/>
    <w:rPr>
      <w:rFonts w:asciiTheme="majorHAnsi" w:eastAsiaTheme="majorEastAsia" w:hAnsiTheme="majorHAnsi" w:cstheme="majorBidi"/>
      <w:i/>
      <w:iCs/>
      <w:color w:val="365F91" w:themeColor="accent1" w:themeShade="BF"/>
      <w:lang w:val="en-US" w:eastAsia="en-US"/>
    </w:rPr>
  </w:style>
  <w:style w:type="character" w:customStyle="1" w:styleId="Heading5Char">
    <w:name w:val="Heading 5 Char"/>
    <w:basedOn w:val="DefaultParagraphFont"/>
    <w:link w:val="Heading5"/>
    <w:uiPriority w:val="9"/>
    <w:semiHidden/>
    <w:rsid w:val="00977508"/>
    <w:rPr>
      <w:rFonts w:asciiTheme="majorHAnsi" w:eastAsiaTheme="majorEastAsia" w:hAnsiTheme="majorHAnsi" w:cstheme="majorBidi"/>
      <w:color w:val="365F91" w:themeColor="accent1" w:themeShade="BF"/>
      <w:lang w:val="en-US" w:eastAsia="en-US"/>
    </w:rPr>
  </w:style>
  <w:style w:type="character" w:customStyle="1" w:styleId="Heading6Char">
    <w:name w:val="Heading 6 Char"/>
    <w:basedOn w:val="DefaultParagraphFont"/>
    <w:link w:val="Heading6"/>
    <w:uiPriority w:val="9"/>
    <w:semiHidden/>
    <w:rsid w:val="00977508"/>
    <w:rPr>
      <w:rFonts w:asciiTheme="majorHAnsi" w:eastAsiaTheme="majorEastAsia" w:hAnsiTheme="majorHAnsi" w:cstheme="majorBidi"/>
      <w:color w:val="243F60" w:themeColor="accent1" w:themeShade="7F"/>
      <w:lang w:val="en-US" w:eastAsia="en-US"/>
    </w:rPr>
  </w:style>
  <w:style w:type="character" w:customStyle="1" w:styleId="Heading7Char">
    <w:name w:val="Heading 7 Char"/>
    <w:basedOn w:val="DefaultParagraphFont"/>
    <w:link w:val="Heading7"/>
    <w:uiPriority w:val="9"/>
    <w:semiHidden/>
    <w:rsid w:val="00977508"/>
    <w:rPr>
      <w:rFonts w:asciiTheme="majorHAnsi" w:eastAsiaTheme="majorEastAsia" w:hAnsiTheme="majorHAnsi" w:cstheme="majorBidi"/>
      <w:i/>
      <w:iCs/>
      <w:color w:val="243F60" w:themeColor="accent1" w:themeShade="7F"/>
      <w:lang w:val="en-US" w:eastAsia="en-US"/>
    </w:rPr>
  </w:style>
  <w:style w:type="character" w:customStyle="1" w:styleId="Heading8Char">
    <w:name w:val="Heading 8 Char"/>
    <w:basedOn w:val="DefaultParagraphFont"/>
    <w:link w:val="Heading8"/>
    <w:uiPriority w:val="9"/>
    <w:semiHidden/>
    <w:rsid w:val="00977508"/>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977508"/>
    <w:rPr>
      <w:rFonts w:asciiTheme="majorHAnsi" w:eastAsiaTheme="majorEastAsia" w:hAnsiTheme="majorHAnsi" w:cstheme="majorBidi"/>
      <w:i/>
      <w:iCs/>
      <w:color w:val="272727" w:themeColor="text1" w:themeTint="D8"/>
      <w:sz w:val="21"/>
      <w:szCs w:val="21"/>
      <w:lang w:val="en-US" w:eastAsia="en-US"/>
    </w:rPr>
  </w:style>
  <w:style w:type="character" w:styleId="Hyperlink">
    <w:name w:val="Hyperlink"/>
    <w:basedOn w:val="DefaultParagraphFont"/>
    <w:uiPriority w:val="99"/>
    <w:unhideWhenUsed/>
    <w:rsid w:val="00977508"/>
    <w:rPr>
      <w:color w:val="0000FF" w:themeColor="hyperlink"/>
      <w:u w:val="single"/>
    </w:rPr>
  </w:style>
  <w:style w:type="character" w:customStyle="1" w:styleId="UnresolvedMention1">
    <w:name w:val="Unresolved Mention1"/>
    <w:basedOn w:val="DefaultParagraphFont"/>
    <w:uiPriority w:val="99"/>
    <w:semiHidden/>
    <w:unhideWhenUsed/>
    <w:rsid w:val="00977508"/>
    <w:rPr>
      <w:color w:val="808080"/>
      <w:shd w:val="clear" w:color="auto" w:fill="E6E6E6"/>
    </w:rPr>
  </w:style>
  <w:style w:type="paragraph" w:styleId="ListParagraph">
    <w:name w:val="List Paragraph"/>
    <w:aliases w:val="Report Para,Heading 2_sj,WinDForce-Letter,Resume Title,List Paragraph1"/>
    <w:basedOn w:val="Normal"/>
    <w:link w:val="ListParagraphChar"/>
    <w:uiPriority w:val="34"/>
    <w:qFormat/>
    <w:rsid w:val="00977508"/>
    <w:pPr>
      <w:spacing w:after="160" w:line="259" w:lineRule="auto"/>
      <w:ind w:left="720"/>
      <w:contextualSpacing/>
    </w:pPr>
    <w:rPr>
      <w:rFonts w:eastAsiaTheme="minorHAnsi"/>
      <w:lang w:val="en-US" w:eastAsia="en-US"/>
    </w:rPr>
  </w:style>
  <w:style w:type="character" w:customStyle="1" w:styleId="ListParagraphChar">
    <w:name w:val="List Paragraph Char"/>
    <w:aliases w:val="Report Para Char,Heading 2_sj Char,WinDForce-Letter Char,Resume Title Char,List Paragraph1 Char"/>
    <w:link w:val="ListParagraph"/>
    <w:uiPriority w:val="34"/>
    <w:locked/>
    <w:rsid w:val="00977508"/>
    <w:rPr>
      <w:rFonts w:eastAsiaTheme="minorHAnsi"/>
      <w:lang w:val="en-US" w:eastAsia="en-US"/>
    </w:rPr>
  </w:style>
  <w:style w:type="table" w:styleId="TableGrid">
    <w:name w:val="Table Grid"/>
    <w:basedOn w:val="TableNormal"/>
    <w:uiPriority w:val="39"/>
    <w:rsid w:val="00977508"/>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7508"/>
    <w:pPr>
      <w:outlineLvl w:val="9"/>
    </w:pPr>
  </w:style>
  <w:style w:type="paragraph" w:styleId="TOC1">
    <w:name w:val="toc 1"/>
    <w:basedOn w:val="Normal"/>
    <w:next w:val="Normal"/>
    <w:autoRedefine/>
    <w:uiPriority w:val="39"/>
    <w:unhideWhenUsed/>
    <w:rsid w:val="00977508"/>
    <w:pPr>
      <w:spacing w:before="40" w:after="40" w:line="259" w:lineRule="auto"/>
    </w:pPr>
    <w:rPr>
      <w:rFonts w:eastAsiaTheme="minorHAnsi"/>
      <w:bCs/>
      <w:lang w:val="en-US" w:eastAsia="en-US"/>
    </w:rPr>
  </w:style>
  <w:style w:type="paragraph" w:styleId="TOC2">
    <w:name w:val="toc 2"/>
    <w:basedOn w:val="Normal"/>
    <w:next w:val="Normal"/>
    <w:autoRedefine/>
    <w:uiPriority w:val="39"/>
    <w:unhideWhenUsed/>
    <w:rsid w:val="00977508"/>
    <w:pPr>
      <w:spacing w:before="60" w:after="60" w:line="259" w:lineRule="auto"/>
    </w:pPr>
    <w:rPr>
      <w:rFonts w:eastAsiaTheme="minorHAnsi"/>
      <w:bCs/>
      <w:sz w:val="21"/>
      <w:lang w:val="en-US" w:eastAsia="en-US"/>
    </w:rPr>
  </w:style>
  <w:style w:type="paragraph" w:styleId="TOC3">
    <w:name w:val="toc 3"/>
    <w:basedOn w:val="Normal"/>
    <w:next w:val="Normal"/>
    <w:autoRedefine/>
    <w:uiPriority w:val="39"/>
    <w:unhideWhenUsed/>
    <w:rsid w:val="00977508"/>
    <w:pPr>
      <w:spacing w:after="0" w:line="259" w:lineRule="auto"/>
    </w:pPr>
    <w:rPr>
      <w:rFonts w:eastAsiaTheme="minorHAnsi"/>
      <w:sz w:val="20"/>
      <w:lang w:val="en-US" w:eastAsia="en-US"/>
    </w:rPr>
  </w:style>
  <w:style w:type="character" w:styleId="CommentReference">
    <w:name w:val="annotation reference"/>
    <w:basedOn w:val="DefaultParagraphFont"/>
    <w:uiPriority w:val="99"/>
    <w:semiHidden/>
    <w:unhideWhenUsed/>
    <w:rsid w:val="00977508"/>
    <w:rPr>
      <w:sz w:val="16"/>
      <w:szCs w:val="16"/>
    </w:rPr>
  </w:style>
  <w:style w:type="paragraph" w:styleId="CommentText">
    <w:name w:val="annotation text"/>
    <w:basedOn w:val="Normal"/>
    <w:link w:val="CommentTextChar"/>
    <w:uiPriority w:val="99"/>
    <w:unhideWhenUsed/>
    <w:rsid w:val="00977508"/>
    <w:pPr>
      <w:spacing w:after="160"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rsid w:val="00977508"/>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977508"/>
    <w:rPr>
      <w:b/>
      <w:bCs/>
    </w:rPr>
  </w:style>
  <w:style w:type="character" w:customStyle="1" w:styleId="CommentSubjectChar">
    <w:name w:val="Comment Subject Char"/>
    <w:basedOn w:val="CommentTextChar"/>
    <w:link w:val="CommentSubject"/>
    <w:uiPriority w:val="99"/>
    <w:semiHidden/>
    <w:rsid w:val="00977508"/>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977508"/>
    <w:pPr>
      <w:spacing w:after="0" w:line="240" w:lineRule="auto"/>
    </w:pPr>
    <w:rPr>
      <w:rFonts w:ascii="Segoe UI" w:eastAsiaTheme="minorHAnsi" w:hAnsi="Segoe UI" w:cs="Segoe UI"/>
      <w:sz w:val="18"/>
      <w:szCs w:val="18"/>
      <w:lang w:val="en-US" w:eastAsia="en-US"/>
    </w:rPr>
  </w:style>
  <w:style w:type="character" w:customStyle="1" w:styleId="BalloonTextChar">
    <w:name w:val="Balloon Text Char"/>
    <w:basedOn w:val="DefaultParagraphFont"/>
    <w:link w:val="BalloonText"/>
    <w:uiPriority w:val="99"/>
    <w:semiHidden/>
    <w:rsid w:val="00977508"/>
    <w:rPr>
      <w:rFonts w:ascii="Segoe UI" w:eastAsiaTheme="minorHAnsi" w:hAnsi="Segoe UI" w:cs="Segoe UI"/>
      <w:sz w:val="18"/>
      <w:szCs w:val="18"/>
      <w:lang w:val="en-US" w:eastAsia="en-US"/>
    </w:rPr>
  </w:style>
  <w:style w:type="paragraph" w:styleId="Header">
    <w:name w:val="header"/>
    <w:basedOn w:val="Normal"/>
    <w:link w:val="HeaderChar"/>
    <w:uiPriority w:val="99"/>
    <w:unhideWhenUsed/>
    <w:rsid w:val="00977508"/>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977508"/>
    <w:rPr>
      <w:rFonts w:eastAsiaTheme="minorHAnsi"/>
      <w:lang w:val="en-US" w:eastAsia="en-US"/>
    </w:rPr>
  </w:style>
  <w:style w:type="paragraph" w:styleId="Footer">
    <w:name w:val="footer"/>
    <w:basedOn w:val="Normal"/>
    <w:link w:val="FooterChar"/>
    <w:uiPriority w:val="99"/>
    <w:unhideWhenUsed/>
    <w:rsid w:val="00977508"/>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977508"/>
    <w:rPr>
      <w:rFonts w:eastAsiaTheme="minorHAnsi"/>
      <w:lang w:val="en-US" w:eastAsia="en-US"/>
    </w:rPr>
  </w:style>
  <w:style w:type="character" w:styleId="FollowedHyperlink">
    <w:name w:val="FollowedHyperlink"/>
    <w:basedOn w:val="DefaultParagraphFont"/>
    <w:uiPriority w:val="99"/>
    <w:semiHidden/>
    <w:unhideWhenUsed/>
    <w:rsid w:val="00977508"/>
    <w:rPr>
      <w:color w:val="800080" w:themeColor="followedHyperlink"/>
      <w:u w:val="single"/>
    </w:rPr>
  </w:style>
  <w:style w:type="paragraph" w:styleId="Revision">
    <w:name w:val="Revision"/>
    <w:hidden/>
    <w:uiPriority w:val="99"/>
    <w:semiHidden/>
    <w:rsid w:val="00977508"/>
    <w:pPr>
      <w:spacing w:after="0" w:line="240" w:lineRule="auto"/>
    </w:pPr>
    <w:rPr>
      <w:rFonts w:eastAsiaTheme="minorHAnsi"/>
      <w:lang w:val="en-US" w:eastAsia="en-US"/>
    </w:rPr>
  </w:style>
  <w:style w:type="paragraph" w:customStyle="1" w:styleId="TableHead">
    <w:name w:val="Table_Head"/>
    <w:autoRedefine/>
    <w:rsid w:val="00977508"/>
    <w:pPr>
      <w:tabs>
        <w:tab w:val="left" w:pos="1080"/>
      </w:tabs>
      <w:spacing w:before="120" w:after="120" w:line="240" w:lineRule="auto"/>
      <w:jc w:val="center"/>
    </w:pPr>
    <w:rPr>
      <w:rFonts w:ascii="Verdana" w:eastAsia="Times New Roman" w:hAnsi="Verdana" w:cs="Times New Roman"/>
      <w:b/>
      <w:sz w:val="18"/>
      <w:szCs w:val="24"/>
      <w:lang w:val="en-US" w:eastAsia="en-US"/>
    </w:rPr>
  </w:style>
  <w:style w:type="paragraph" w:customStyle="1" w:styleId="TableText">
    <w:name w:val="Table_Text"/>
    <w:link w:val="TableTextChar"/>
    <w:rsid w:val="00977508"/>
    <w:pPr>
      <w:tabs>
        <w:tab w:val="left" w:pos="1080"/>
      </w:tabs>
      <w:spacing w:before="60" w:after="60" w:line="240" w:lineRule="auto"/>
    </w:pPr>
    <w:rPr>
      <w:rFonts w:ascii="Verdana" w:eastAsia="Times New Roman" w:hAnsi="Verdana" w:cs="Times New Roman"/>
      <w:sz w:val="16"/>
      <w:szCs w:val="24"/>
      <w:lang w:val="en-US" w:eastAsia="en-US"/>
    </w:rPr>
  </w:style>
  <w:style w:type="character" w:customStyle="1" w:styleId="TableTextChar">
    <w:name w:val="Table_Text Char"/>
    <w:basedOn w:val="DefaultParagraphFont"/>
    <w:link w:val="TableText"/>
    <w:rsid w:val="00977508"/>
    <w:rPr>
      <w:rFonts w:ascii="Verdana" w:eastAsia="Times New Roman" w:hAnsi="Verdana" w:cs="Times New Roman"/>
      <w:sz w:val="16"/>
      <w:szCs w:val="24"/>
      <w:lang w:val="en-US" w:eastAsia="en-US"/>
    </w:rPr>
  </w:style>
  <w:style w:type="table" w:styleId="GridTable4">
    <w:name w:val="Grid Table 4"/>
    <w:basedOn w:val="TableNormal"/>
    <w:uiPriority w:val="49"/>
    <w:rsid w:val="00977508"/>
    <w:pPr>
      <w:spacing w:after="0" w:line="240" w:lineRule="auto"/>
    </w:pPr>
    <w:rPr>
      <w:rFonts w:eastAsiaTheme="minorHAns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77508"/>
    <w:pPr>
      <w:spacing w:after="0" w:line="240" w:lineRule="auto"/>
    </w:pPr>
    <w:rPr>
      <w:rFonts w:eastAsiaTheme="minorHAnsi"/>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977508"/>
    <w:pPr>
      <w:spacing w:after="0" w:line="259" w:lineRule="auto"/>
    </w:pPr>
    <w:rPr>
      <w:rFonts w:eastAsiaTheme="minorHAnsi"/>
      <w:sz w:val="20"/>
      <w:lang w:val="en-US" w:eastAsia="en-US"/>
    </w:rPr>
  </w:style>
  <w:style w:type="paragraph" w:styleId="TOC5">
    <w:name w:val="toc 5"/>
    <w:basedOn w:val="Normal"/>
    <w:next w:val="Normal"/>
    <w:autoRedefine/>
    <w:uiPriority w:val="39"/>
    <w:unhideWhenUsed/>
    <w:rsid w:val="00977508"/>
    <w:pPr>
      <w:spacing w:after="0" w:line="259" w:lineRule="auto"/>
    </w:pPr>
    <w:rPr>
      <w:rFonts w:eastAsiaTheme="minorHAnsi"/>
      <w:lang w:val="en-US" w:eastAsia="en-US"/>
    </w:rPr>
  </w:style>
  <w:style w:type="paragraph" w:styleId="TOC6">
    <w:name w:val="toc 6"/>
    <w:basedOn w:val="Normal"/>
    <w:next w:val="Normal"/>
    <w:autoRedefine/>
    <w:uiPriority w:val="39"/>
    <w:unhideWhenUsed/>
    <w:rsid w:val="00977508"/>
    <w:pPr>
      <w:spacing w:after="0" w:line="259" w:lineRule="auto"/>
    </w:pPr>
    <w:rPr>
      <w:rFonts w:eastAsiaTheme="minorHAnsi"/>
      <w:lang w:val="en-US" w:eastAsia="en-US"/>
    </w:rPr>
  </w:style>
  <w:style w:type="paragraph" w:styleId="TOC7">
    <w:name w:val="toc 7"/>
    <w:basedOn w:val="Normal"/>
    <w:next w:val="Normal"/>
    <w:autoRedefine/>
    <w:uiPriority w:val="39"/>
    <w:unhideWhenUsed/>
    <w:rsid w:val="00977508"/>
    <w:pPr>
      <w:spacing w:after="0" w:line="259" w:lineRule="auto"/>
    </w:pPr>
    <w:rPr>
      <w:rFonts w:eastAsiaTheme="minorHAnsi"/>
      <w:lang w:val="en-US" w:eastAsia="en-US"/>
    </w:rPr>
  </w:style>
  <w:style w:type="paragraph" w:styleId="TOC8">
    <w:name w:val="toc 8"/>
    <w:basedOn w:val="Normal"/>
    <w:next w:val="Normal"/>
    <w:autoRedefine/>
    <w:uiPriority w:val="39"/>
    <w:unhideWhenUsed/>
    <w:rsid w:val="00977508"/>
    <w:pPr>
      <w:spacing w:after="0" w:line="259" w:lineRule="auto"/>
    </w:pPr>
    <w:rPr>
      <w:rFonts w:eastAsiaTheme="minorHAnsi"/>
      <w:lang w:val="en-US" w:eastAsia="en-US"/>
    </w:rPr>
  </w:style>
  <w:style w:type="paragraph" w:styleId="TOC9">
    <w:name w:val="toc 9"/>
    <w:basedOn w:val="Normal"/>
    <w:next w:val="Normal"/>
    <w:autoRedefine/>
    <w:uiPriority w:val="39"/>
    <w:unhideWhenUsed/>
    <w:rsid w:val="00977508"/>
    <w:pPr>
      <w:spacing w:after="0" w:line="259" w:lineRule="auto"/>
    </w:pPr>
    <w:rPr>
      <w:rFonts w:eastAsiaTheme="minorHAnsi"/>
      <w:lang w:val="en-US" w:eastAsia="en-US"/>
    </w:rPr>
  </w:style>
  <w:style w:type="table" w:styleId="ListTable3-Accent1">
    <w:name w:val="List Table 3 Accent 1"/>
    <w:basedOn w:val="TableNormal"/>
    <w:uiPriority w:val="48"/>
    <w:rsid w:val="00977508"/>
    <w:pPr>
      <w:spacing w:after="0" w:line="240" w:lineRule="auto"/>
    </w:pPr>
    <w:rPr>
      <w:rFonts w:eastAsiaTheme="minorHAnsi"/>
      <w:lang w:val="en-US"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5">
    <w:name w:val="List Table 3 Accent 5"/>
    <w:basedOn w:val="TableNormal"/>
    <w:uiPriority w:val="48"/>
    <w:rsid w:val="009652C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3">
    <w:name w:val="List Table 3 Accent 3"/>
    <w:basedOn w:val="TableNormal"/>
    <w:uiPriority w:val="48"/>
    <w:rsid w:val="008E6098"/>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99039">
      <w:bodyDiv w:val="1"/>
      <w:marLeft w:val="0"/>
      <w:marRight w:val="0"/>
      <w:marTop w:val="0"/>
      <w:marBottom w:val="0"/>
      <w:divBdr>
        <w:top w:val="none" w:sz="0" w:space="0" w:color="auto"/>
        <w:left w:val="none" w:sz="0" w:space="0" w:color="auto"/>
        <w:bottom w:val="none" w:sz="0" w:space="0" w:color="auto"/>
        <w:right w:val="none" w:sz="0" w:space="0" w:color="auto"/>
      </w:divBdr>
    </w:div>
    <w:div w:id="405105571">
      <w:bodyDiv w:val="1"/>
      <w:marLeft w:val="0"/>
      <w:marRight w:val="0"/>
      <w:marTop w:val="0"/>
      <w:marBottom w:val="0"/>
      <w:divBdr>
        <w:top w:val="none" w:sz="0" w:space="0" w:color="auto"/>
        <w:left w:val="none" w:sz="0" w:space="0" w:color="auto"/>
        <w:bottom w:val="none" w:sz="0" w:space="0" w:color="auto"/>
        <w:right w:val="none" w:sz="0" w:space="0" w:color="auto"/>
      </w:divBdr>
    </w:div>
    <w:div w:id="414472745">
      <w:bodyDiv w:val="1"/>
      <w:marLeft w:val="0"/>
      <w:marRight w:val="0"/>
      <w:marTop w:val="0"/>
      <w:marBottom w:val="0"/>
      <w:divBdr>
        <w:top w:val="none" w:sz="0" w:space="0" w:color="auto"/>
        <w:left w:val="none" w:sz="0" w:space="0" w:color="auto"/>
        <w:bottom w:val="none" w:sz="0" w:space="0" w:color="auto"/>
        <w:right w:val="none" w:sz="0" w:space="0" w:color="auto"/>
      </w:divBdr>
    </w:div>
    <w:div w:id="486751029">
      <w:bodyDiv w:val="1"/>
      <w:marLeft w:val="0"/>
      <w:marRight w:val="0"/>
      <w:marTop w:val="0"/>
      <w:marBottom w:val="0"/>
      <w:divBdr>
        <w:top w:val="none" w:sz="0" w:space="0" w:color="auto"/>
        <w:left w:val="none" w:sz="0" w:space="0" w:color="auto"/>
        <w:bottom w:val="none" w:sz="0" w:space="0" w:color="auto"/>
        <w:right w:val="none" w:sz="0" w:space="0" w:color="auto"/>
      </w:divBdr>
    </w:div>
    <w:div w:id="498884751">
      <w:bodyDiv w:val="1"/>
      <w:marLeft w:val="0"/>
      <w:marRight w:val="0"/>
      <w:marTop w:val="0"/>
      <w:marBottom w:val="0"/>
      <w:divBdr>
        <w:top w:val="none" w:sz="0" w:space="0" w:color="auto"/>
        <w:left w:val="none" w:sz="0" w:space="0" w:color="auto"/>
        <w:bottom w:val="none" w:sz="0" w:space="0" w:color="auto"/>
        <w:right w:val="none" w:sz="0" w:space="0" w:color="auto"/>
      </w:divBdr>
    </w:div>
    <w:div w:id="662700971">
      <w:bodyDiv w:val="1"/>
      <w:marLeft w:val="0"/>
      <w:marRight w:val="0"/>
      <w:marTop w:val="0"/>
      <w:marBottom w:val="0"/>
      <w:divBdr>
        <w:top w:val="none" w:sz="0" w:space="0" w:color="auto"/>
        <w:left w:val="none" w:sz="0" w:space="0" w:color="auto"/>
        <w:bottom w:val="none" w:sz="0" w:space="0" w:color="auto"/>
        <w:right w:val="none" w:sz="0" w:space="0" w:color="auto"/>
      </w:divBdr>
    </w:div>
    <w:div w:id="665665488">
      <w:bodyDiv w:val="1"/>
      <w:marLeft w:val="0"/>
      <w:marRight w:val="0"/>
      <w:marTop w:val="0"/>
      <w:marBottom w:val="0"/>
      <w:divBdr>
        <w:top w:val="none" w:sz="0" w:space="0" w:color="auto"/>
        <w:left w:val="none" w:sz="0" w:space="0" w:color="auto"/>
        <w:bottom w:val="none" w:sz="0" w:space="0" w:color="auto"/>
        <w:right w:val="none" w:sz="0" w:space="0" w:color="auto"/>
      </w:divBdr>
      <w:divsChild>
        <w:div w:id="2026782468">
          <w:marLeft w:val="0"/>
          <w:marRight w:val="0"/>
          <w:marTop w:val="0"/>
          <w:marBottom w:val="0"/>
          <w:divBdr>
            <w:top w:val="none" w:sz="0" w:space="0" w:color="auto"/>
            <w:left w:val="none" w:sz="0" w:space="0" w:color="auto"/>
            <w:bottom w:val="none" w:sz="0" w:space="0" w:color="auto"/>
            <w:right w:val="none" w:sz="0" w:space="0" w:color="auto"/>
          </w:divBdr>
        </w:div>
        <w:div w:id="181209374">
          <w:marLeft w:val="0"/>
          <w:marRight w:val="0"/>
          <w:marTop w:val="0"/>
          <w:marBottom w:val="0"/>
          <w:divBdr>
            <w:top w:val="none" w:sz="0" w:space="0" w:color="auto"/>
            <w:left w:val="none" w:sz="0" w:space="0" w:color="auto"/>
            <w:bottom w:val="none" w:sz="0" w:space="0" w:color="auto"/>
            <w:right w:val="none" w:sz="0" w:space="0" w:color="auto"/>
          </w:divBdr>
        </w:div>
        <w:div w:id="1540239528">
          <w:marLeft w:val="0"/>
          <w:marRight w:val="0"/>
          <w:marTop w:val="0"/>
          <w:marBottom w:val="0"/>
          <w:divBdr>
            <w:top w:val="none" w:sz="0" w:space="0" w:color="auto"/>
            <w:left w:val="none" w:sz="0" w:space="0" w:color="auto"/>
            <w:bottom w:val="none" w:sz="0" w:space="0" w:color="auto"/>
            <w:right w:val="none" w:sz="0" w:space="0" w:color="auto"/>
          </w:divBdr>
        </w:div>
        <w:div w:id="1101611779">
          <w:marLeft w:val="0"/>
          <w:marRight w:val="0"/>
          <w:marTop w:val="0"/>
          <w:marBottom w:val="0"/>
          <w:divBdr>
            <w:top w:val="none" w:sz="0" w:space="0" w:color="auto"/>
            <w:left w:val="none" w:sz="0" w:space="0" w:color="auto"/>
            <w:bottom w:val="none" w:sz="0" w:space="0" w:color="auto"/>
            <w:right w:val="none" w:sz="0" w:space="0" w:color="auto"/>
          </w:divBdr>
        </w:div>
        <w:div w:id="1518155230">
          <w:marLeft w:val="0"/>
          <w:marRight w:val="0"/>
          <w:marTop w:val="0"/>
          <w:marBottom w:val="0"/>
          <w:divBdr>
            <w:top w:val="none" w:sz="0" w:space="0" w:color="auto"/>
            <w:left w:val="none" w:sz="0" w:space="0" w:color="auto"/>
            <w:bottom w:val="none" w:sz="0" w:space="0" w:color="auto"/>
            <w:right w:val="none" w:sz="0" w:space="0" w:color="auto"/>
          </w:divBdr>
        </w:div>
        <w:div w:id="457995380">
          <w:marLeft w:val="0"/>
          <w:marRight w:val="0"/>
          <w:marTop w:val="0"/>
          <w:marBottom w:val="0"/>
          <w:divBdr>
            <w:top w:val="none" w:sz="0" w:space="0" w:color="auto"/>
            <w:left w:val="none" w:sz="0" w:space="0" w:color="auto"/>
            <w:bottom w:val="none" w:sz="0" w:space="0" w:color="auto"/>
            <w:right w:val="none" w:sz="0" w:space="0" w:color="auto"/>
          </w:divBdr>
        </w:div>
      </w:divsChild>
    </w:div>
    <w:div w:id="968322631">
      <w:bodyDiv w:val="1"/>
      <w:marLeft w:val="0"/>
      <w:marRight w:val="0"/>
      <w:marTop w:val="0"/>
      <w:marBottom w:val="0"/>
      <w:divBdr>
        <w:top w:val="none" w:sz="0" w:space="0" w:color="auto"/>
        <w:left w:val="none" w:sz="0" w:space="0" w:color="auto"/>
        <w:bottom w:val="none" w:sz="0" w:space="0" w:color="auto"/>
        <w:right w:val="none" w:sz="0" w:space="0" w:color="auto"/>
      </w:divBdr>
    </w:div>
    <w:div w:id="1255625766">
      <w:bodyDiv w:val="1"/>
      <w:marLeft w:val="0"/>
      <w:marRight w:val="0"/>
      <w:marTop w:val="0"/>
      <w:marBottom w:val="0"/>
      <w:divBdr>
        <w:top w:val="none" w:sz="0" w:space="0" w:color="auto"/>
        <w:left w:val="none" w:sz="0" w:space="0" w:color="auto"/>
        <w:bottom w:val="none" w:sz="0" w:space="0" w:color="auto"/>
        <w:right w:val="none" w:sz="0" w:space="0" w:color="auto"/>
      </w:divBdr>
    </w:div>
    <w:div w:id="1440760488">
      <w:bodyDiv w:val="1"/>
      <w:marLeft w:val="0"/>
      <w:marRight w:val="0"/>
      <w:marTop w:val="0"/>
      <w:marBottom w:val="0"/>
      <w:divBdr>
        <w:top w:val="none" w:sz="0" w:space="0" w:color="auto"/>
        <w:left w:val="none" w:sz="0" w:space="0" w:color="auto"/>
        <w:bottom w:val="none" w:sz="0" w:space="0" w:color="auto"/>
        <w:right w:val="none" w:sz="0" w:space="0" w:color="auto"/>
      </w:divBdr>
    </w:div>
    <w:div w:id="1502625156">
      <w:bodyDiv w:val="1"/>
      <w:marLeft w:val="0"/>
      <w:marRight w:val="0"/>
      <w:marTop w:val="0"/>
      <w:marBottom w:val="0"/>
      <w:divBdr>
        <w:top w:val="none" w:sz="0" w:space="0" w:color="auto"/>
        <w:left w:val="none" w:sz="0" w:space="0" w:color="auto"/>
        <w:bottom w:val="none" w:sz="0" w:space="0" w:color="auto"/>
        <w:right w:val="none" w:sz="0" w:space="0" w:color="auto"/>
      </w:divBdr>
    </w:div>
    <w:div w:id="1503201196">
      <w:bodyDiv w:val="1"/>
      <w:marLeft w:val="0"/>
      <w:marRight w:val="0"/>
      <w:marTop w:val="0"/>
      <w:marBottom w:val="0"/>
      <w:divBdr>
        <w:top w:val="none" w:sz="0" w:space="0" w:color="auto"/>
        <w:left w:val="none" w:sz="0" w:space="0" w:color="auto"/>
        <w:bottom w:val="none" w:sz="0" w:space="0" w:color="auto"/>
        <w:right w:val="none" w:sz="0" w:space="0" w:color="auto"/>
      </w:divBdr>
    </w:div>
    <w:div w:id="1579291141">
      <w:bodyDiv w:val="1"/>
      <w:marLeft w:val="0"/>
      <w:marRight w:val="0"/>
      <w:marTop w:val="0"/>
      <w:marBottom w:val="0"/>
      <w:divBdr>
        <w:top w:val="none" w:sz="0" w:space="0" w:color="auto"/>
        <w:left w:val="none" w:sz="0" w:space="0" w:color="auto"/>
        <w:bottom w:val="none" w:sz="0" w:space="0" w:color="auto"/>
        <w:right w:val="none" w:sz="0" w:space="0" w:color="auto"/>
      </w:divBdr>
    </w:div>
    <w:div w:id="1756584839">
      <w:bodyDiv w:val="1"/>
      <w:marLeft w:val="0"/>
      <w:marRight w:val="0"/>
      <w:marTop w:val="0"/>
      <w:marBottom w:val="0"/>
      <w:divBdr>
        <w:top w:val="none" w:sz="0" w:space="0" w:color="auto"/>
        <w:left w:val="none" w:sz="0" w:space="0" w:color="auto"/>
        <w:bottom w:val="none" w:sz="0" w:space="0" w:color="auto"/>
        <w:right w:val="none" w:sz="0" w:space="0" w:color="auto"/>
      </w:divBdr>
    </w:div>
    <w:div w:id="1837840396">
      <w:bodyDiv w:val="1"/>
      <w:marLeft w:val="0"/>
      <w:marRight w:val="0"/>
      <w:marTop w:val="0"/>
      <w:marBottom w:val="0"/>
      <w:divBdr>
        <w:top w:val="none" w:sz="0" w:space="0" w:color="auto"/>
        <w:left w:val="none" w:sz="0" w:space="0" w:color="auto"/>
        <w:bottom w:val="none" w:sz="0" w:space="0" w:color="auto"/>
        <w:right w:val="none" w:sz="0" w:space="0" w:color="auto"/>
      </w:divBdr>
    </w:div>
    <w:div w:id="198011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va.Jayagopal@WinVinayaFoundation.or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Disability Sensitization Proposal</vt:lpstr>
    </vt:vector>
  </TitlesOfParts>
  <Manager>Shiva Jayagopal</Manager>
  <Company>WinVinaya Foundation</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Sensitization Proposal</dc:title>
  <dc:subject>Disability Sensitization Proposal</dc:subject>
  <dc:creator>Aarti Arvind</dc:creator>
  <cp:keywords/>
  <dc:description/>
  <cp:lastModifiedBy>Aarti Arvind</cp:lastModifiedBy>
  <cp:revision>4</cp:revision>
  <dcterms:created xsi:type="dcterms:W3CDTF">2021-11-22T04:57:00Z</dcterms:created>
  <dcterms:modified xsi:type="dcterms:W3CDTF">2021-11-22T04:59:00Z</dcterms:modified>
</cp:coreProperties>
</file>