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rapport-r500-robotic-caterpillar"/>
    <w:p>
      <w:pPr>
        <w:pStyle w:val="Heading1"/>
      </w:pPr>
      <w:r>
        <w:t xml:space="preserve">Rapport R500 robotic caterpillar</w:t>
      </w:r>
    </w:p>
    <w:bookmarkStart w:id="9" w:name="introduction"/>
    <w:p>
      <w:pPr>
        <w:pStyle w:val="Heading2"/>
      </w:pPr>
      <w:r>
        <w:t xml:space="preserve">Introduction</w:t>
      </w:r>
    </w:p>
    <w:p>
      <w:pPr>
        <w:pStyle w:val="FirstParagraph"/>
      </w:pPr>
      <w:r>
        <w:t xml:space="preserve">Aujourd’hui, nous allons vous présenter le robot chenille. Il s’agit d’un robot mobile qui se déplace grâce à des chenilles, comme celles des chars ou des engins de chantier. Ce type de robot est particulièrement adapté aux terrains difficiles, car il peut avancer sur le sable, la boue, les gravats ou les pentes. Le robot chenille est utilisé dans plusieurs domaines, notamment l’exploration, le sauvetage, l’industrie et même le domaine militaire. Dans cet exposé, nous allons vous expliquer de quoi est composé ce robot, de sa programmation et son utilisation.</w:t>
      </w:r>
    </w:p>
    <w:bookmarkEnd w:id="9"/>
    <w:bookmarkStart w:id="10" w:name="specification-de-robot"/>
    <w:p>
      <w:pPr>
        <w:pStyle w:val="Heading2"/>
      </w:pPr>
      <w:r>
        <w:t xml:space="preserve">Specification de robot</w:t>
      </w:r>
    </w:p>
    <w:p>
      <w:pPr>
        <w:pStyle w:val="Compact"/>
        <w:numPr>
          <w:ilvl w:val="0"/>
          <w:numId w:val="1001"/>
        </w:numPr>
      </w:pPr>
      <w:r>
        <w:t xml:space="preserve">DOF (degrés de liberté): 8</w:t>
      </w:r>
    </w:p>
    <w:p>
      <w:pPr>
        <w:pStyle w:val="Compact"/>
        <w:numPr>
          <w:ilvl w:val="0"/>
          <w:numId w:val="1001"/>
        </w:numPr>
      </w:pPr>
      <w:r>
        <w:t xml:space="preserve">programmable</w:t>
      </w:r>
    </w:p>
    <w:p>
      <w:pPr>
        <w:pStyle w:val="Compact"/>
        <w:numPr>
          <w:ilvl w:val="0"/>
          <w:numId w:val="1001"/>
        </w:numPr>
      </w:pPr>
      <w:r>
        <w:t xml:space="preserve">plusieurs portes d’entrée pour les capteurs supplémentaires</w:t>
      </w:r>
    </w:p>
    <w:tbl>
      <w:tblPr>
        <w:tblStyle w:val="Table"/>
        <w:tblW w:type="pct" w:w="5000"/>
        <w:tblLayout w:type="fixed"/>
        <w:tblLook w:firstRow="1" w:lastRow="0" w:firstColumn="0" w:lastColumn="0" w:noHBand="0" w:noVBand="0" w:val="0020"/>
      </w:tblPr>
      <w:tblGrid>
        <w:gridCol w:w="1458"/>
        <w:gridCol w:w="6461"/>
      </w:tblGrid>
      <w:tr>
        <w:trPr>
          <w:tblHeader w:val="on"/>
        </w:trPr>
        <w:tc>
          <w:tcPr/>
          <w:p>
            <w:pPr>
              <w:pStyle w:val="Compact"/>
            </w:pPr>
            <w:r>
              <w:t xml:space="preserve">Élément</w:t>
            </w:r>
          </w:p>
        </w:tc>
        <w:tc>
          <w:tcPr/>
          <w:p>
            <w:pPr>
              <w:pStyle w:val="Compact"/>
            </w:pPr>
            <w:r>
              <w:t xml:space="preserve">Valeur</w:t>
            </w:r>
          </w:p>
        </w:tc>
      </w:tr>
      <w:tr>
        <w:tc>
          <w:tcPr/>
          <w:p>
            <w:pPr>
              <w:pStyle w:val="Compact"/>
            </w:pPr>
            <w:r>
              <w:t xml:space="preserve">Alimentation</w:t>
            </w:r>
          </w:p>
        </w:tc>
        <w:tc>
          <w:tcPr/>
          <w:p>
            <w:pPr>
              <w:pStyle w:val="Compact"/>
            </w:pPr>
            <w:r>
              <w:t xml:space="preserve">5,2 V à 6 V (4 piles AAA, non incluses)</w:t>
            </w:r>
          </w:p>
        </w:tc>
      </w:tr>
      <w:tr>
        <w:tc>
          <w:tcPr/>
          <w:p>
            <w:pPr>
              <w:pStyle w:val="Compact"/>
            </w:pPr>
            <w:r>
              <w:t xml:space="preserve">Processeur</w:t>
            </w:r>
          </w:p>
        </w:tc>
        <w:tc>
          <w:tcPr/>
          <w:p>
            <w:pPr>
              <w:pStyle w:val="Compact"/>
            </w:pPr>
            <w:r>
              <w:t xml:space="preserve">ATMEGA16</w:t>
            </w:r>
          </w:p>
        </w:tc>
      </w:tr>
      <w:tr>
        <w:tc>
          <w:tcPr/>
          <w:p>
            <w:pPr>
              <w:pStyle w:val="Compact"/>
            </w:pPr>
            <w:r>
              <w:t xml:space="preserve">Servomoteurs</w:t>
            </w:r>
          </w:p>
        </w:tc>
        <w:tc>
          <w:tcPr/>
          <w:p>
            <w:pPr>
              <w:pStyle w:val="Compact"/>
            </w:pPr>
            <w:r>
              <w:t xml:space="preserve">8 mini‑servomoteurs</w:t>
            </w:r>
          </w:p>
        </w:tc>
      </w:tr>
      <w:tr>
        <w:tc>
          <w:tcPr/>
          <w:p>
            <w:pPr>
              <w:pStyle w:val="Compact"/>
            </w:pPr>
            <w:r>
              <w:t xml:space="preserve">Consommation</w:t>
            </w:r>
          </w:p>
        </w:tc>
        <w:tc>
          <w:tcPr/>
          <w:p>
            <w:pPr>
              <w:pStyle w:val="Compact"/>
            </w:pPr>
            <w:r>
              <w:t xml:space="preserve">~100 mA au repos, jusqu’à 3 A avec tous les servos en action</w:t>
            </w:r>
          </w:p>
        </w:tc>
      </w:tr>
      <w:tr>
        <w:tc>
          <w:tcPr/>
          <w:p>
            <w:pPr>
              <w:pStyle w:val="Compact"/>
            </w:pPr>
            <w:r>
              <w:t xml:space="preserve">Hauteur</w:t>
            </w:r>
          </w:p>
        </w:tc>
        <w:tc>
          <w:tcPr/>
          <w:p>
            <w:pPr>
              <w:pStyle w:val="Compact"/>
            </w:pPr>
            <w:r>
              <w:t xml:space="preserve">90 mm</w:t>
            </w:r>
          </w:p>
        </w:tc>
      </w:tr>
      <w:tr>
        <w:tc>
          <w:tcPr/>
          <w:p>
            <w:pPr>
              <w:pStyle w:val="Compact"/>
            </w:pPr>
            <w:r>
              <w:t xml:space="preserve">Longueur</w:t>
            </w:r>
          </w:p>
        </w:tc>
        <w:tc>
          <w:tcPr/>
          <w:p>
            <w:pPr>
              <w:pStyle w:val="Compact"/>
            </w:pPr>
            <w:r>
              <w:t xml:space="preserve">500 mm</w:t>
            </w:r>
          </w:p>
        </w:tc>
      </w:tr>
      <w:tr>
        <w:tc>
          <w:tcPr/>
          <w:p>
            <w:pPr>
              <w:pStyle w:val="Compact"/>
            </w:pPr>
            <w:r>
              <w:t xml:space="preserve">Largeur</w:t>
            </w:r>
          </w:p>
        </w:tc>
        <w:tc>
          <w:tcPr/>
          <w:p>
            <w:pPr>
              <w:pStyle w:val="Compact"/>
            </w:pPr>
            <w:r>
              <w:t xml:space="preserve">85 mm</w:t>
            </w:r>
          </w:p>
        </w:tc>
      </w:tr>
    </w:tbl>
    <w:bookmarkEnd w:id="10"/>
    <w:bookmarkStart w:id="12" w:name="liste-de-components"/>
    <w:p>
      <w:pPr>
        <w:pStyle w:val="Heading2"/>
      </w:pPr>
      <w:r>
        <w:t xml:space="preserve">Liste de components</w:t>
      </w:r>
    </w:p>
    <w:p>
      <w:pPr>
        <w:pStyle w:val="Compact"/>
        <w:numPr>
          <w:ilvl w:val="0"/>
          <w:numId w:val="1002"/>
        </w:numPr>
      </w:pPr>
      <w:hyperlink r:id="rId11">
        <w:r>
          <w:rPr>
            <w:rStyle w:val="Hyperlink"/>
          </w:rPr>
          <w:t xml:space="preserve">liste de components</w:t>
        </w:r>
      </w:hyperlink>
    </w:p>
    <w:bookmarkEnd w:id="12"/>
    <w:bookmarkStart w:id="14" w:name="assemblage"/>
    <w:p>
      <w:pPr>
        <w:pStyle w:val="Heading2"/>
      </w:pPr>
      <w:r>
        <w:t xml:space="preserve">Assemblage</w:t>
      </w:r>
    </w:p>
    <w:p>
      <w:pPr>
        <w:pStyle w:val="BlockText"/>
      </w:pPr>
      <w:r>
        <w:t xml:space="preserve">Avertissement de fabriquer :</w:t>
      </w:r>
    </w:p>
    <w:p>
      <w:pPr>
        <w:pStyle w:val="Heading2"/>
        <w:numPr>
          <w:ilvl w:val="0"/>
          <w:numId w:val="1003"/>
        </w:numPr>
      </w:pPr>
      <w:bookmarkStart w:id="13" w:name="points-à-retenir"/>
      <w:r>
        <w:t xml:space="preserve">Points à retenir :</w:t>
      </w:r>
      <w:bookmarkEnd w:id="13"/>
    </w:p>
    <w:bookmarkEnd w:id="14"/>
    <w:bookmarkStart w:id="15" w:name="programmation"/>
    <w:p>
      <w:pPr>
        <w:pStyle w:val="Heading2"/>
      </w:pPr>
      <w:r>
        <w:t xml:space="preserve">Programmation</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components-fr.md" TargetMode="External" /></Relationships>
</file>

<file path=word/_rels/footnotes.xml.rels><?xml version="1.0" encoding="UTF-8"?><Relationships xmlns="http://schemas.openxmlformats.org/package/2006/relationships"><Relationship Type="http://schemas.openxmlformats.org/officeDocument/2006/relationships/hyperlink" Id="rId11" Target="components-fr.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2026-01-29T10:25:39Z</dcterms:created>
  <dcterms:modified xsi:type="dcterms:W3CDTF">2026-01-29T10:25:39Z</dcterms:modified>
</cp:coreProperties>
</file>

<file path=docProps/custom.xml><?xml version="1.0" encoding="utf-8"?>
<Properties xmlns="http://schemas.openxmlformats.org/officeDocument/2006/custom-properties" xmlns:vt="http://schemas.openxmlformats.org/officeDocument/2006/docPropsVTypes"/>
</file>