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Cambria" w:hAnsi="Cambria" w:eastAsia="Cambria"/>
          <w:b/>
          <w:caps/>
          <w:color w:val="545454"/>
          <w:sz w:val="20"/>
        </w:rPr>
        <w:t>CHAPTER 4: SYSTEMS OF CONTROL AND STRATEGIC ERASURE</w:t>
      </w:r>
    </w:p>
    <w:p>
      <w:pPr>
        <w:pStyle w:val="Title"/>
        <w:ind w:left="432" w:right="432"/>
      </w:pPr>
      <w:r>
        <w:t>Words of Dr. Martin Luther King Jr. Resonate Today as They Did in the 1960s</w:t>
      </w:r>
    </w:p>
    <w:p>
      <w:pPr>
        <w:spacing w:after="360"/>
        <w:ind w:left="1872" w:right="1872"/>
        <w:pBdr>
          <w:bottom w:val="single" w:sz="12" w:space="1" w:color="000000"/>
        </w:pBdr>
      </w:pPr>
    </w:p>
    <w:p>
      <w:pPr>
        <w:spacing w:after="2160"/>
        <w:ind w:left="936" w:right="936"/>
        <w:jc w:val="center"/>
      </w:pPr>
      <w:r>
        <w:rPr>
          <w:rFonts w:ascii="Cambria" w:hAnsi="Cambria" w:eastAsia="Cambria"/>
          <w:i/>
          <w:color w:val="000000"/>
          <w:sz w:val="28"/>
        </w:rPr>
        <w:t>Institutional Erasure, the Black Freedom Tradition, and the Thermodynamics of Democratic Memory</w:t>
      </w:r>
    </w:p>
    <w:p>
      <w:pPr>
        <w:spacing w:after="120"/>
        <w:jc w:val="center"/>
      </w:pPr>
      <w:r>
        <w:rPr>
          <w:rFonts w:ascii="Cambria" w:hAnsi="Cambria" w:eastAsia="Cambria"/>
          <w:b/>
          <w:color w:val="000000"/>
          <w:sz w:val="24"/>
        </w:rPr>
        <w:t>Ronald J. Botelho</w:t>
      </w:r>
    </w:p>
    <w:p>
      <w:pPr>
        <w:jc w:val="center"/>
      </w:pPr>
      <w:r>
        <w:rPr>
          <w:rFonts w:ascii="Cambria" w:hAnsi="Cambria" w:eastAsia="Cambria"/>
          <w:color w:val="545454"/>
          <w:sz w:val="22"/>
        </w:rPr>
        <w:t>August 14, 2026</w:t>
      </w:r>
    </w:p>
    <w:p>
      <w:pPr>
        <w:sectPr>
          <w:headerReference w:type="default" r:id="rId55"/>
          <w:footerReference w:type="default" r:id="rId56"/>
          <w:pgSz w:w="12240" w:h="15840"/>
          <w:pgMar w:top="1224" w:right="1440" w:bottom="1224" w:left="1440" w:header="504" w:footer="648" w:gutter="0"/>
          <w:cols w:space="720"/>
          <w:docGrid w:linePitch="360"/>
        </w:sectPr>
      </w:pPr>
    </w:p>
    <w:p>
      <w:pPr>
        <w:pStyle w:val="Heading1"/>
      </w:pPr>
      <w:r>
        <w:t>The Country Remembers the Dream and Forgets the Demand</w:t>
      </w:r>
    </w:p>
    <w:p>
      <w:pPr>
        <w:ind w:firstLine="0"/>
      </w:pPr>
      <w:r>
        <w:t>America has made Martin Luther King Jr. easy to remember and difficult to hear. We have preserved the cadence, the holiday, the monument, and a few luminous lines about a dream. We have been less faithful to the diagnosis that gave those lines their force. King spoke about a promissory note that the nation had defaulted on, about delay dressed up as patience, about two Americas occupying the same geography, and about racism joined to materialism and militarism. His subject was not simply prejudice in the human heart. It was the machinery that converts prejudice, inherited advantage, political caution, and economic power into durable outcomes.</w:t>
      </w:r>
      <w:r>
        <w:rPr>
          <w:sz w:val="16"/>
          <w:vertAlign w:val="superscript"/>
        </w:rPr>
        <w:t>1</w:t>
      </w:r>
    </w:p>
    <w:p>
      <w:pPr/>
      <w:r>
        <w:t>That difference matters now. A nation can celebrate King while narrowing the institutions through which his demands became enforceable. It can praise equal opportunity while weakening the use of disparate effects as evidence. It can repeat the language of colorblindness while removing offices, rules, datasets, professional expertise, museum narratives, and legal remedies created to make racial inequality visible. This is the central problem of institutional erasure: not that history vanishes, but that the state reduces its capacity to remember what happened, measure what remains, and act on what it knows.</w:t>
      </w:r>
    </w:p>
    <w:p>
      <w:pPr/>
      <w:r>
        <w:t>In this chapter, I place King in conversation with Malcolm X and Marcus Garvey, not to flatten their differences but to recover a broader Black freedom tradition. King supplied a moral and institutional vocabulary of democratic redemption. Malcolm insisted on leverage, political independence, and the conversion of civil rights claims into human rights claims. Garvey insisted—sometimes productively, sometimes dangerously—that a people without independent institutions remain dependent on the conscience of others. Lyndon B. Johnson then showed what happens when movement pressure is translated into law: rhetoric becomes administrative memory, backed by rules, personnel, records, appropriations, and remedies.</w:t>
      </w:r>
    </w:p>
    <w:p>
      <w:pPr/>
      <w:r>
        <w:t>The second half of the chapter develops a model for what follows when that memory is dismantled. Rolf Landauer’s thermodynamics of information provides a disciplined analogy: deletion is not free. The Doi–Peliti formalism—often misspelled “Doi-Petete”—provides something more technical: a language for representing creation, annihilation, replication, and restoration in classical stochastic systems. Doi–Peliti borrows the operators and path-integral notation of quantum field theory, but it does not require us to pretend that courts or agencies are quantum objects. Used carefully, it lets us model institutional erosion as a probabilistic process with transition rates, feedback, thresholds, and possible recovery.</w:t>
      </w:r>
      <w:r>
        <w:rPr>
          <w:sz w:val="16"/>
          <w:vertAlign w:val="superscript"/>
        </w:rPr>
        <w:t>2</w:t>
      </w:r>
    </w:p>
    <w:p>
      <w:pPr/>
      <w:r>
        <w:t>My argument is straightforward. Today’s rhetoric does more than describe policy. It changes the transition rates of the institutional system. It makes some deletions appear necessary, some memories illegitimate, and some disparities irrelevant. King’s words resonate because the processes he named remain active—and because the institutions built in response to them are neither self-enforcing nor thermodynamically free.</w:t>
      </w:r>
    </w:p>
    <w:p>
      <w:pPr>
        <w:pStyle w:val="Heading1"/>
      </w:pPr>
      <w:r>
        <w:t>The Whole King: Promise, Delay, and Two Americas</w:t>
      </w:r>
    </w:p>
    <w:p>
      <w:pPr>
        <w:ind w:firstLine="0"/>
      </w:pPr>
      <w:r>
        <w:t>The 1963 March on Washington speech is often treated as if it began and ended with a dream. King began with a debt. The Declaration of Independence and the Constitution had functioned, he said, as a “promissory note,” and Black Americans had come to collect. The metaphor joined moral principle to institutional obligation. A promise is not fulfilled because its language is beautiful; it is fulfilled when the institutions that issued it honor the claim.</w:t>
      </w:r>
      <w:r>
        <w:rPr>
          <w:sz w:val="16"/>
          <w:vertAlign w:val="superscript"/>
        </w:rPr>
        <w:t>3</w:t>
      </w:r>
    </w:p>
    <w:p>
      <w:pPr/>
      <w:r>
        <w:t>The same year, writing from the Birmingham jail, King answered white clergy who preferred negotiation, moderation, and time. His most enduring reply was that “Wait” had generally meant “Never.” The target was not only the segregationist. It was the white moderate who prized order over justice and who confused the absence of visible conflict with the presence of peace. King understood delay as a technology of power. Institutions can deny a claim outright, but they can also route it through committees, reviews, jurisdictional disputes, evidentiary burdens, procedural stays, and future promises until the claim expires from exhaustion.</w:t>
      </w:r>
      <w:r>
        <w:rPr>
          <w:sz w:val="16"/>
          <w:vertAlign w:val="superscript"/>
        </w:rPr>
        <w:t>4</w:t>
      </w:r>
    </w:p>
    <w:p>
      <w:pPr/>
      <w:r>
        <w:t>By 1967, King spoke openly of “two Americas.” In one, opportunity and material abundance appeared normal. In the other, deprivation was reproduced through poor housing, inferior schools, unemployment, and daily humiliation. His disputed observation that riots are the language of the unheard was not an endorsement of riot. It was a causal statement: suppress channels of intelligible redress, and destructive signals emerge elsewhere in the system.</w:t>
      </w:r>
      <w:r>
        <w:rPr>
          <w:sz w:val="16"/>
          <w:vertAlign w:val="superscript"/>
        </w:rPr>
        <w:t>5</w:t>
      </w:r>
      <w:r>
        <w:t xml:space="preserve"> The point remains relevant whenever officials condemn the disturbance without asking which legitimate signals were ignored before the disturbance began.</w:t>
      </w:r>
    </w:p>
    <w:p>
      <w:pPr/>
      <w:r>
        <w:t xml:space="preserve">King’s final years make it impossible to reduce him to ceremonial colorblindness. In “Beyond Vietnam,” he linked racism to extreme materialism and militarism. In </w:t>
      </w:r>
      <w:r>
        <w:rPr>
          <w:i/>
        </w:rPr>
        <w:t>Where Do We Go from Here?</w:t>
      </w:r>
      <w:r>
        <w:t>, he argued that Black people had to assert dignity and worth while building political and economic power. In Memphis, the night before his assassination, he praised coordinated economic withdrawal and collective bargaining by people treated as disposable labor.</w:t>
      </w:r>
      <w:r>
        <w:rPr>
          <w:sz w:val="16"/>
          <w:vertAlign w:val="superscript"/>
        </w:rPr>
        <w:t>6</w:t>
      </w:r>
      <w:r>
        <w:t xml:space="preserve"> This was not a retreat from nonviolence. It was a recognition that love without organized power leaves the structure of domination intact.</w:t>
      </w:r>
    </w:p>
    <w:p>
      <w:pPr/>
      <w:r>
        <w:t>King therefore poses a harder question than whether public officials can quote him accurately. The question is whether their institutions preserve the factual distinctions necessary to see injury and the remedies necessary to answer it. “Colorblindness” can name a worthy end-state in which race does not determine opportunity. It can also operate as a rule against observing the mechanisms through which racialized outcomes are produced. King’s work does not permit us to confuse those two meanings.</w:t>
      </w:r>
    </w:p>
    <w:p>
      <w:pPr>
        <w:pStyle w:val="Heading1"/>
      </w:pPr>
      <w:r>
        <w:t>Malcolm X, Garvey, and the Burden of Dependency</w:t>
      </w:r>
    </w:p>
    <w:p>
      <w:pPr>
        <w:ind w:firstLine="0"/>
      </w:pPr>
      <w:r>
        <w:t>Malcolm X approached the American promise from the position of a creditor who no longer trusted the debtor’s timetable. In “The Ballot or the Bullet,” delivered in 1964, he treated the vote neither as civic ritual nor as automatic salvation. It was leverage. Black voters should organize independently, identify what officeholders had actually delivered, and withhold political support when promises were broken. He also sought to move the struggle from a domestic civil-rights frame—where the accused government controlled the forum—to an international human-rights frame.</w:t>
      </w:r>
      <w:r>
        <w:rPr>
          <w:sz w:val="16"/>
          <w:vertAlign w:val="superscript"/>
        </w:rPr>
        <w:t>7</w:t>
      </w:r>
    </w:p>
    <w:p>
      <w:pPr/>
      <w:r>
        <w:t>The popular caricature presents King as nonviolent integration and Malcolm as violent separation. That contrast contains history, but not enough of it. Malcolm repeatedly described self-defense as distinct from aggression, and his political thought evolved after leaving the Nation of Islam and traveling through Africa and the Middle East. King, meanwhile, moved toward a more explicit critique of war, capitalism, Northern segregation, and economic exploitation. Their vocabularies never became identical, but the distance between them narrowed around three propositions: moral appeal requires organized power; formal citizenship without material capacity is incomplete; and a movement must be able to impose political costs.</w:t>
      </w:r>
      <w:r>
        <w:rPr>
          <w:sz w:val="16"/>
          <w:vertAlign w:val="superscript"/>
        </w:rPr>
        <w:t>8</w:t>
      </w:r>
    </w:p>
    <w:p>
      <w:pPr/>
      <w:r>
        <w:t>Marcus Garvey supplies an earlier and more controversial version of the institutional argument. Through the Universal Negro Improvement Association, Garvey promoted race pride, Black enterprise, international organization, and the idea that political dignity required institutional independence. His emphasis on allegiance to self was a protest against a dependency structure in which Black advancement waited on white permission.</w:t>
      </w:r>
      <w:r>
        <w:rPr>
          <w:sz w:val="16"/>
          <w:vertAlign w:val="superscript"/>
        </w:rPr>
        <w:t>9</w:t>
      </w:r>
      <w:r>
        <w:t xml:space="preserve"> That emphasis influenced later currents of Black nationalism, including the intellectual world in which Malcolm developed.</w:t>
      </w:r>
    </w:p>
    <w:p>
      <w:pPr/>
      <w:r>
        <w:t>Garvey cannot be made safe by removing his contradictions. His separatism sometimes hardened into racial essentialism. His meeting with leaders of the Ku Klux Klan, his authoritarian tendencies, and the mismanagement and fraud surrounding the Black Star Line damaged people he claimed to uplift. A theory of institutional memory must retain those facts too. Erasure committed in the name of admiration remains erasure.</w:t>
      </w:r>
    </w:p>
    <w:p>
      <w:pPr/>
      <w:r>
        <w:t>The phrase “the Black man’s burden” should also be handled carefully. It is useful here as an analytic phrase for the cumulative demand placed on Black Americans to prove injury, demonstrate worth, remain patient, educate the uninformed, survive institutional neglect, and repair the institutions that failed them. But the phrase is not a signature Garvey quotation. It belongs to an older anti-imperial conversation, including H. T. Johnson’s 1899 rejoinder to Rudyard Kipling, and later scholarship on race, empire, and manhood.</w:t>
      </w:r>
      <w:r>
        <w:rPr>
          <w:sz w:val="16"/>
          <w:vertAlign w:val="superscript"/>
        </w:rPr>
        <w:t>10</w:t>
      </w:r>
      <w:r>
        <w:t xml:space="preserve"> Nor should “man” erase Black women, whose labor, organizing, and exposure to state and economic violence have always been central to the burden itself.</w:t>
      </w:r>
    </w:p>
    <w:p>
      <w:pPr/>
      <w:r>
        <w:t>Taken together, King, Malcolm, and Garvey identify three dimensions of freedom. King asks whether democratic institutions can be redeemed. Malcolm asks what leverage forces them to respond. Garvey asks what independent capacity a people must possess when those institutions refuse. The productive tension is not integration versus separation in the abstract. It is the practical relationship between moral legitimacy, coercive leverage, and institutional capacity.</w:t>
      </w:r>
    </w:p>
    <w:p>
      <w:pPr>
        <w:pStyle w:val="Heading1"/>
      </w:pPr>
      <w:r>
        <w:t>Johnson and the Conversion of Moral Speech into Institutional Memory</w:t>
      </w:r>
    </w:p>
    <w:p>
      <w:pPr>
        <w:ind w:firstLine="0"/>
      </w:pPr>
      <w:r>
        <w:t>The civil-rights laws of the 1960s were not gifts delivered by an enlightened presidency. They were the result of decades of litigation, organizing, boycotts, voter-registration campaigns, direct action, local leadership, and lives placed at risk. The Kennedy administration proposed civil-rights legislation; the movement created the urgency; President Lyndon B. Johnson used the powers of the presidency and his command of Congress to move the bill through a resistant legislature.</w:t>
      </w:r>
    </w:p>
    <w:p>
      <w:pPr/>
      <w:r>
        <w:t>The Civil Rights Act of 1964 converted moral claims into enforceable institutional distinctions. Title II prohibited discrimination in public accommodations. Title VI barred discrimination under federally assisted programs. Title VII prohibited employment discrimination and created an enforcement architecture that would develop through the Equal Employment Opportunity Commission, courts, regulations, records, and compliance practices.</w:t>
      </w:r>
      <w:r>
        <w:rPr>
          <w:sz w:val="16"/>
          <w:vertAlign w:val="superscript"/>
        </w:rPr>
        <w:t>11</w:t>
      </w:r>
      <w:r>
        <w:t xml:space="preserve"> The law did not end discrimination. It made forms of discrimination legally legible and attached procedures to the promise.</w:t>
      </w:r>
    </w:p>
    <w:p>
      <w:pPr/>
      <w:r>
        <w:t>After the violence at Selma, Johnson addressed Congress on March 15, 1965. By adopting the movement’s words—“We Shall Overcome”—he used presidential rhetoric to authorize a legal transition. The Voting Rights Act, signed on August 6, prohibited literacy tests and established federal supervision and preclearance for covered jurisdictions. Executive Order 11246, signed the following month, required federal contractors to take affirmative action and created another layer of administrative memory connecting public money to nondiscrimination.</w:t>
      </w:r>
      <w:r>
        <w:rPr>
          <w:sz w:val="16"/>
          <w:vertAlign w:val="superscript"/>
        </w:rPr>
        <w:t>12</w:t>
      </w:r>
    </w:p>
    <w:p>
      <w:pPr/>
      <w:r>
        <w:t>Johnson’s Howard University address is even more important for interpreting the period. “Freedom is not enough,” he said. Removing a chain does not restore the person hobbled by it to the starting line of a race. The distinction was between equality as formal permission and equality as experienced result.</w:t>
      </w:r>
      <w:r>
        <w:rPr>
          <w:sz w:val="16"/>
          <w:vertAlign w:val="superscript"/>
        </w:rPr>
        <w:t>13</w:t>
      </w:r>
      <w:r>
        <w:t xml:space="preserve"> In modern language, Johnson was identifying path dependence. Initial conditions matter. A system can remove an explicit barrier at time </w:t>
      </w:r>
      <w:r>
        <w:rPr>
          <w:i/>
        </w:rPr>
        <w:t>t</w:t>
      </w:r>
      <w:r>
        <w:t xml:space="preserve"> while continuing to reproduce the distribution created by that barrier over many prior periods.</w:t>
      </w:r>
    </w:p>
    <w:p>
      <w:pPr/>
      <w:r>
        <w:t>King and Johnson were allies, not interchangeable actors. They needed each other on civil rights and voting rights; they diverged sharply over Vietnam. That conflict is instructive. Institutional creation is coalition work, and coalitions can be issue-specific, unstable, and morally incomplete. The laws survived not because their authors agreed on everything, but because the movement secured rules, agencies, records, causes of action, and constituencies capable of carrying the memory beyond any one relationship.</w:t>
      </w:r>
    </w:p>
    <w:p>
      <w:pPr/>
      <w:r>
        <w:t>This is why institutional erasure is more than changing a slogan. To repeal a rule, close an office, dismiss experienced personnel, suppress a dataset, narrow a cause of action, or rewrite a museum label is to alter the memory architecture through which the promise can be enforced. The country may retain the holiday and lose the operational knowledge.</w:t>
      </w:r>
    </w:p>
    <w:p>
      <w:pPr>
        <w:pStyle w:val="Heading1"/>
      </w:pPr>
      <w:r>
        <w:t>Today’s Rhetoric: Colorblindness, Merit, and Authorized Memory</w:t>
      </w:r>
    </w:p>
    <w:p>
      <w:pPr>
        <w:ind w:firstLine="0"/>
      </w:pPr>
      <w:r>
        <w:t xml:space="preserve">The current federal vocabulary presents itself as restoration. President Donald Trump’s 2025 inaugural address promised a government that is “colorblind and merit-based.” Executive Order 14173, </w:t>
      </w:r>
      <w:r>
        <w:rPr>
          <w:i/>
        </w:rPr>
        <w:t>Ending Illegal Discrimination and Restoring Merit-Based Opportunity</w:t>
      </w:r>
      <w:r>
        <w:t>, revoked Johnson’s Executive Order 11246 and directed federal agencies to end affirmative-action requirements in contracting. Executive Order 14151 ordered the termination of federal diversity, equity, inclusion, and accessibility programs. Executive Order 14281 declared allegiance to “equality of opportunity, not equal outcomes” and directed agencies to deprioritize or eliminate disparate-impact enforcement.</w:t>
      </w:r>
      <w:r>
        <w:rPr>
          <w:sz w:val="16"/>
          <w:vertAlign w:val="superscript"/>
        </w:rPr>
        <w:t>14</w:t>
      </w:r>
    </w:p>
    <w:p>
      <w:pPr/>
      <w:r>
        <w:t>These documents make a coherent argument. They say that race-conscious remedies perpetuate classification, that merit should replace preference, and that intentional discrimination—not group disparity—should be the central object of law. That position deserves to be stated accurately before it is criticized. Its strongest moral claim is that government should not distribute benefits or burdens by race and that civil-rights law protects individuals, including members of historically majority groups.</w:t>
      </w:r>
    </w:p>
    <w:p>
      <w:pPr/>
      <w:r>
        <w:t>The difficulty is that the rhetoric treats measurement as if it were allocation. Disparate-impact analysis does not automatically establish discrimination, and a racial disparity does not prove intent. But effects are evidence about how a system operates. When the government removes the tools for measuring effects, raises the proof threshold for connecting effects to rules, and revokes the administrative routines built around that measurement, it does not become neutral. It becomes less informed.</w:t>
      </w:r>
    </w:p>
    <w:p>
      <w:pPr/>
      <w:r>
        <w:t xml:space="preserve">The same project now extends to public memory. Executive Order 14253, </w:t>
      </w:r>
      <w:r>
        <w:rPr>
          <w:i/>
        </w:rPr>
        <w:t>Restoring Truth and Sanity to American History</w:t>
      </w:r>
      <w:r>
        <w:t xml:space="preserve">, condemned “revisionist” narratives and directed federal historical interpretation toward national greatness and progress. In July 2026, Executive Order 14416, </w:t>
      </w:r>
      <w:r>
        <w:rPr>
          <w:i/>
        </w:rPr>
        <w:t>Restoring Trust in the Smithsonian Institution</w:t>
      </w:r>
      <w:r>
        <w:t>, ordered review, warnings, and correction of exhibitions the administration viewed as ideologically distorted.</w:t>
      </w:r>
      <w:r>
        <w:rPr>
          <w:sz w:val="16"/>
          <w:vertAlign w:val="superscript"/>
        </w:rPr>
        <w:t>15</w:t>
      </w:r>
      <w:r>
        <w:t xml:space="preserve"> Every institution should be accountable for accuracy. But accuracy and consolation are not the same standard. A museum that must foreground national progress while treating the documentation of racial domination as suspect has been given an authorized direction of memory.</w:t>
      </w:r>
    </w:p>
    <w:p>
      <w:pPr/>
      <w:r>
        <w:t>This produces a striking King paradox. The 2026 presidential proclamation for Martin Luther King Jr. Day called Americans back to his dream, while the administration’s operative orders narrowed institutional practices designed to detect and remedy racial effects.</w:t>
      </w:r>
      <w:r>
        <w:rPr>
          <w:sz w:val="16"/>
          <w:vertAlign w:val="superscript"/>
        </w:rPr>
        <w:t>16</w:t>
      </w:r>
      <w:r>
        <w:t xml:space="preserve"> The point is not that one side owns King. It is that quoting the dream while deleting the diagnosis changes the meaning of the dream. King becomes a symbol of completed transcendence rather than a witness against unfinished structure.</w:t>
      </w:r>
    </w:p>
    <w:p>
      <w:pPr/>
      <w:r>
        <w:t>Rhetoric matters here because it lowers the political cost of deletion. “Waste” can redescribe an enforcement office as excess. “Merit” can redescribe an inherited distribution as a neutral baseline. “Sanity” can redescribe contested historical evidence as pathology. “Law and order” can treat the visible disturbance as the primary event and the unheard claim as noise. Words do not mechanically determine policy, but they change which institutional transitions become thinkable, legitimate, and repeatable.</w:t>
      </w:r>
    </w:p>
    <w:p>
      <w:pPr>
        <w:pStyle w:val="Heading1"/>
      </w:pPr>
      <w:r>
        <w:t>The Supreme Court as a Memory Institution</w:t>
      </w:r>
    </w:p>
    <w:p>
      <w:pPr>
        <w:ind w:firstLine="0"/>
      </w:pPr>
      <w:r>
        <w:t>Courts preserve and erase institutional memory through doctrine. A precedent stores distinctions: intent and effect, state and federal power, individual injury and structural burden, formal equality and remedial authority. A new decision may reinforce those distinctions, modify them, or compress them until a formerly actionable injury becomes legally invisible.</w:t>
      </w:r>
    </w:p>
    <w:p>
      <w:pPr/>
      <w:r>
        <w:t xml:space="preserve">The modern voting-rights sequence is the clearest example. In </w:t>
      </w:r>
      <w:r>
        <w:rPr>
          <w:i/>
        </w:rPr>
        <w:t>Shelby County v. Holder</w:t>
      </w:r>
      <w:r>
        <w:t xml:space="preserve"> (2013), the Supreme Court invalidated the coverage formula in Section 4(b) of the Voting Rights Act. Congress had reauthorized the preclearance system after compiling a substantial record, but the Court concluded that the formula relied on outdated conditions. Section 5 remained on the books while its activation mechanism disappeared.</w:t>
      </w:r>
      <w:r>
        <w:rPr>
          <w:sz w:val="16"/>
          <w:vertAlign w:val="superscript"/>
        </w:rPr>
        <w:t>17</w:t>
      </w:r>
      <w:r>
        <w:t xml:space="preserve"> This was institutional erasure by architectural disconnection: the component existed in text but could no longer operate as designed.</w:t>
      </w:r>
    </w:p>
    <w:p>
      <w:pPr/>
      <w:r>
        <w:t xml:space="preserve">In </w:t>
      </w:r>
      <w:r>
        <w:rPr>
          <w:i/>
        </w:rPr>
        <w:t>Brnovich v. Democratic National Committee</w:t>
      </w:r>
      <w:r>
        <w:t xml:space="preserve"> (2021), the Court upheld Arizona voting rules and offered guideposts that made vote-denial claims under Section 2 more difficult. In </w:t>
      </w:r>
      <w:r>
        <w:rPr>
          <w:i/>
        </w:rPr>
        <w:t>Allen v. Milligan</w:t>
      </w:r>
      <w:r>
        <w:t xml:space="preserve"> (2023), however, the Court rejected Alabama’s effort to rewrite the established </w:t>
      </w:r>
      <w:r>
        <w:rPr>
          <w:i/>
        </w:rPr>
        <w:t>Gingles</w:t>
      </w:r>
      <w:r>
        <w:t xml:space="preserve"> framework and held that the state’s congressional map likely violated Section 2. The same term, </w:t>
      </w:r>
      <w:r>
        <w:rPr>
          <w:i/>
        </w:rPr>
        <w:t>Students for Fair Admissions v. Harvard and UNC</w:t>
      </w:r>
      <w:r>
        <w:t xml:space="preserve"> held that university race-conscious admissions programs violated equal protection and Title VI.</w:t>
      </w:r>
      <w:r>
        <w:rPr>
          <w:sz w:val="16"/>
          <w:vertAlign w:val="superscript"/>
        </w:rPr>
        <w:t>18</w:t>
      </w:r>
      <w:r>
        <w:t xml:space="preserve"> These decisions moved in different doctrinal directions: one preserved a statutory results-based voting remedy; the other sharply limited race-conscious decision-making in higher education.</w:t>
      </w:r>
    </w:p>
    <w:p>
      <w:pPr/>
      <w:r>
        <w:t xml:space="preserve">The sequence continued. </w:t>
      </w:r>
      <w:r>
        <w:rPr>
          <w:i/>
        </w:rPr>
        <w:t>Alexander v. South Carolina State Conference of the NAACP</w:t>
      </w:r>
      <w:r>
        <w:t xml:space="preserve"> (2024) reversed a finding of racial gerrymandering and emphasized the presumption of legislative good faith and the need to disentangle race from politics. </w:t>
      </w:r>
      <w:r>
        <w:rPr>
          <w:i/>
        </w:rPr>
        <w:t>Muldrow v. City of St. Louis</w:t>
      </w:r>
      <w:r>
        <w:t xml:space="preserve"> (2024), by contrast, lowered a barrier for Title VII employees challenging discriminatory transfers: a plaintiff must show some harm to employment terms or conditions, not a separately invented requirement of significant harm. In </w:t>
      </w:r>
      <w:r>
        <w:rPr>
          <w:i/>
        </w:rPr>
        <w:t>Ames v. Ohio Department of Youth Services</w:t>
      </w:r>
      <w:r>
        <w:t xml:space="preserve"> (2025), a unanimous Court rejected a heightened prima facie burden imposed on majority-group plaintiffs and emphasized that Title VII protects “any individual.”</w:t>
      </w:r>
      <w:r>
        <w:rPr>
          <w:sz w:val="16"/>
          <w:vertAlign w:val="superscript"/>
        </w:rPr>
        <w:t>19</w:t>
      </w:r>
      <w:r>
        <w:t xml:space="preserve"> The civil-rights system was not simply annihilating protections; it was reallocating and redefining them.</w:t>
      </w:r>
    </w:p>
    <w:p>
      <w:pPr/>
      <w:r>
        <w:t xml:space="preserve">Then came </w:t>
      </w:r>
      <w:r>
        <w:rPr>
          <w:i/>
        </w:rPr>
        <w:t>Louisiana v. Callais</w:t>
      </w:r>
      <w:r>
        <w:t xml:space="preserve"> in April 2026. The Court held that Section 2 compliance can be a compelling interest, but only when Section 2, “properly construed,” actually requires the race-conscious district. It reframed vote-dilution liability around a baseline generated by a state’s permissible districting criteria, including partisan objectives, and required circumstances supporting a strong inference of intentional discrimination. Because Louisiana was not required to create a second majority-Black district, the Court held that the district was an unconstitutional racial gerrymander.</w:t>
      </w:r>
      <w:r>
        <w:rPr>
          <w:sz w:val="16"/>
          <w:vertAlign w:val="superscript"/>
        </w:rPr>
        <w:t>20</w:t>
      </w:r>
    </w:p>
    <w:p>
      <w:pPr/>
      <w:r>
        <w:t xml:space="preserve">Justice Elena Kagan’s dissent argued that Congress amended Section 2 precisely to replace an intent requirement with a results test. Her criticism exposes the institutional-memory issue. The majority did not delete the statutory words “results in.” It changed what evidence those words can carry. A results test survived at the level of text while being drawn toward an intent-centered constitutional baseline. In May, the Court vacated and remanded an Alabama redistricting judgment in </w:t>
      </w:r>
      <w:r>
        <w:rPr>
          <w:i/>
        </w:rPr>
        <w:t>Allen v. Caster</w:t>
      </w:r>
      <w:r>
        <w:t xml:space="preserve"> for reconsideration under </w:t>
      </w:r>
      <w:r>
        <w:rPr>
          <w:i/>
        </w:rPr>
        <w:t>Callais</w:t>
      </w:r>
      <w:r>
        <w:t>, even though Justice Sonia Sotomayor, joined by Justices Elena Kagan and Ketanji Brown Jackson, noted that one lower-court ruling also found intentional discrimination under the Fourteenth Amendment.</w:t>
      </w:r>
      <w:r>
        <w:rPr>
          <w:sz w:val="16"/>
          <w:vertAlign w:val="superscript"/>
        </w:rPr>
        <w:t>21</w:t>
      </w:r>
      <w:r>
        <w:t xml:space="preserve"> The transition propagated quickly from one state to another.</w:t>
      </w:r>
    </w:p>
    <w:p>
      <w:pPr/>
      <w:r>
        <w:t xml:space="preserve">Yet even this term resists a one-direction story. In </w:t>
      </w:r>
      <w:r>
        <w:rPr>
          <w:i/>
        </w:rPr>
        <w:t>Trump v. Barbara</w:t>
      </w:r>
      <w:r>
        <w:t xml:space="preserve"> (June 2026), a 5–4 Court held that children born in the United States to parents unlawfully or temporarily present are citizens at birth under the Fourteenth Amendment. The decision preserved a Reconstruction-era rule against an executive attempt to narrow it.</w:t>
      </w:r>
      <w:r>
        <w:rPr>
          <w:sz w:val="16"/>
          <w:vertAlign w:val="superscript"/>
        </w:rPr>
        <w:t>22</w:t>
      </w:r>
      <w:r>
        <w:t xml:space="preserve"> If institutional erosion were linear, such a restoration would be anomalous. In a stochastic system, it is expected: different coalitions, doctrines, institutional constraints, and factual records generate different transition probabilities.</w:t>
      </w:r>
    </w:p>
    <w:p>
      <w:pPr/>
      <w:r>
        <w:t>The Court’s recent record therefore should not be summarized as a single ideological switch. It is a field of competing operations. Some decisions annihilate enforcement capacity, some replicate an individual-rights conception of equality, some restore a threatened rule, and some shift proof burdens in ways whose long-term effects depend on later cases. The Doi–Peliti model is useful precisely because it represents distributions of possible institutional states rather than a guaranteed march toward either progress or decline.</w:t>
      </w:r>
    </w:p>
    <w:p>
      <w:pPr>
        <w:pStyle w:val="Heading1"/>
      </w:pPr>
      <w:r>
        <w:t>Landauer: Erasure Has a Cost</w:t>
      </w:r>
    </w:p>
    <w:p>
      <w:pPr>
        <w:ind w:firstLine="0"/>
      </w:pPr>
      <w:r>
        <w:t xml:space="preserve">In 1961, IBM physicist Rolf Landauer argued that logically irreversible operations have physical consequences. Resetting a bit maps multiple possible logical states to one state. When that operation is implemented in a system coupled to a thermal environment, it has a minimum heat cost of </w:t>
      </w:r>
      <w:r>
        <w:rPr>
          <w:i/>
        </w:rPr>
        <w:t>k</w:t>
      </w:r>
      <w:r>
        <w:rPr>
          <w:vertAlign w:val="subscript"/>
        </w:rPr>
        <w:t>B</w:t>
      </w:r>
      <w:r>
        <w:rPr>
          <w:i/>
        </w:rPr>
        <w:t>T</w:t>
      </w:r>
      <w:r>
        <w:t xml:space="preserve"> ln 2 per erased bit. Later experiments confirmed the bound in carefully controlled physical systems.</w:t>
      </w:r>
      <w:r>
        <w:rPr>
          <w:sz w:val="16"/>
          <w:vertAlign w:val="superscript"/>
        </w:rPr>
        <w:t>23</w:t>
      </w:r>
    </w:p>
    <w:p>
      <w:pPr/>
      <w:r>
        <w:t>This is a physical result, not a license to assign joules to a canceled regulation. The mistake would be to write down Landauer’s constant and claim that a deleted civil-rights dataset warmed the atmosphere by a calculable social temperature. Institutions have no agreed thermodynamic temperature, and “information” has different meanings across physics, law, and organizations.</w:t>
      </w:r>
    </w:p>
    <w:p>
      <w:pPr/>
      <w:r>
        <w:t>The disciplined analogy begins with the structure of the operation. Institutional erasure also performs a many-to-one mapping. A record may distinguish intentional discrimination, disparate effect, accumulated disadvantage, regional history, enforcement failure, and administrative response. An official narrative may compress these states into a single category: equal law already exists; therefore unequal outcomes are outside the institution’s concern. The distinctions have not ceased to matter in the world. They have ceased to be carried by the authorized state description.</w:t>
      </w:r>
    </w:p>
    <w:p>
      <w:pPr/>
      <w:r>
        <w:t>Deletion also displaces cost. The work saved by closing an office can reappear as litigation, inconsistent local practices, duplicated research, delayed decisions, staff turnover, failed audits, and loss of public trust. I call this displaced burden “social waste heat,” but the phrase must remain visibly metaphorical. It is a vector of measurable administrative and civic costs, not thermal energy:</w:t>
      </w:r>
    </w:p>
    <w:p>
      <w:pPr>
        <w:pStyle w:val="EquationBlock"/>
      </w:pPr>
      <w:r>
        <w:rPr>
          <w:i/>
        </w:rPr>
        <w:t>C</w:t>
      </w:r>
      <w:r>
        <w:t xml:space="preserve"> = (turnover, litigation, delay, duplicated work, lost expertise, policy variance, trust loss).</w:t>
      </w:r>
    </w:p>
    <w:p>
      <w:pPr/>
      <w:r>
        <w:t>Landauer’s deepest contribution to this book is therefore a refusal of the fantasy that forgetting is free. A government may reduce what it records, remembers, or remedies. It cannot guarantee that the unresolved consequences disappear. Organizational research on institutional amnesia reaches a compatible conclusion: forgetting can remove obsolete routines, but unmanaged forgetting also destroys expertise, repeats error, and weakens “snap-back” performance after disruption.</w:t>
      </w:r>
      <w:r>
        <w:rPr>
          <w:sz w:val="16"/>
          <w:vertAlign w:val="superscript"/>
        </w:rPr>
        <w:t>24</w:t>
      </w:r>
    </w:p>
    <w:p>
      <w:pPr>
        <w:pStyle w:val="Heading1"/>
      </w:pPr>
      <w:r>
        <w:t>Doi–Peliti: A Formal Language for Social Erosion</w:t>
      </w:r>
    </w:p>
    <w:p>
      <w:pPr>
        <w:ind w:firstLine="0"/>
      </w:pPr>
      <w:r>
        <w:t>The Doi–Peliti method was developed for classical many-particle and birth-death processes. Masao Doi represented the probability distribution of particle counts with creation and annihilation operators; Luca Peliti developed a path-integral treatment for stochastic processes on a lattice. The notation resembles quantum field theory because both use state spaces, operators, and sums over histories. The underlying probabilities here are classical. No claim about superposition of judicial opinions or quantum consciousness is required.</w:t>
      </w:r>
      <w:r>
        <w:rPr>
          <w:sz w:val="16"/>
          <w:vertAlign w:val="superscript"/>
        </w:rPr>
        <w:t>25</w:t>
      </w:r>
    </w:p>
    <w:p>
      <w:pPr/>
      <w:r>
        <w:t xml:space="preserve">Let </w:t>
      </w:r>
      <w:r>
        <w:rPr>
          <w:i/>
        </w:rPr>
        <w:t>S</w:t>
      </w:r>
      <w:r>
        <w:t xml:space="preserve"> denote an active institutional safeguard: a regulation, enforcement office, trained staff unit, dataset, precedent, archival collection, curriculum requirement, or funded monitoring routine. Let </w:t>
      </w:r>
      <w:r>
        <w:rPr>
          <w:i/>
        </w:rPr>
        <w:t>R</w:t>
      </w:r>
      <w:r>
        <w:t xml:space="preserve"> denote an erasure-amplifying rhetorical signal, and </w:t>
      </w:r>
      <w:r>
        <w:rPr>
          <w:i/>
        </w:rPr>
        <w:t>M</w:t>
      </w:r>
      <w:r>
        <w:t xml:space="preserve"> a counter-memory resource such as movement organizing, independent archives, litigation, professional networks, or legislative restoration. A minimal reaction scheme is:</w:t>
      </w:r>
    </w:p>
    <w:p>
      <w:pPr>
        <w:pStyle w:val="EquationBlock"/>
      </w:pPr>
      <w:r>
        <w:rPr>
          <w:i/>
        </w:rPr>
        <w:t>S</w:t>
      </w:r>
      <w:r>
        <w:t xml:space="preserve"> → ∅ at rate μ(</w:t>
      </w:r>
      <w:r>
        <w:rPr>
          <w:i/>
        </w:rPr>
        <w:t>t</w:t>
      </w:r>
      <w:r>
        <w:t>): repeal, closure, dismissal, removal, or doctrinal nullification.</w:t>
      </w:r>
    </w:p>
    <w:p>
      <w:pPr>
        <w:pStyle w:val="EquationBlock"/>
      </w:pPr>
      <w:r>
        <w:rPr>
          <w:i/>
        </w:rPr>
        <w:t>S</w:t>
      </w:r>
      <w:r>
        <w:t xml:space="preserve"> → 2</w:t>
      </w:r>
      <w:r>
        <w:rPr>
          <w:i/>
        </w:rPr>
        <w:t>S</w:t>
      </w:r>
      <w:r>
        <w:t xml:space="preserve"> at rate λ(</w:t>
      </w:r>
      <w:r>
        <w:rPr>
          <w:i/>
        </w:rPr>
        <w:t>t</w:t>
      </w:r>
      <w:r>
        <w:t>): replication or entrenchment through enforcement, precedent, funding, training, or cross-institution adoption.</w:t>
      </w:r>
    </w:p>
    <w:p>
      <w:pPr>
        <w:pStyle w:val="EquationBlock"/>
      </w:pPr>
      <w:r>
        <w:t xml:space="preserve">∅ → </w:t>
      </w:r>
      <w:r>
        <w:rPr>
          <w:i/>
        </w:rPr>
        <w:t>S</w:t>
      </w:r>
      <w:r>
        <w:t xml:space="preserve"> at rate σ(</w:t>
      </w:r>
      <w:r>
        <w:rPr>
          <w:i/>
        </w:rPr>
        <w:t>t</w:t>
      </w:r>
      <w:r>
        <w:t>): restoration through election, legislation, judicial decision, archival recovery, or administrative rebuilding.</w:t>
      </w:r>
    </w:p>
    <w:p>
      <w:pPr>
        <w:pStyle w:val="EquationBlock"/>
      </w:pPr>
      <w:r>
        <w:rPr>
          <w:i/>
        </w:rPr>
        <w:t>S</w:t>
      </w:r>
      <w:r>
        <w:t xml:space="preserve"> + </w:t>
      </w:r>
      <w:r>
        <w:rPr>
          <w:i/>
        </w:rPr>
        <w:t>R</w:t>
      </w:r>
      <w:r>
        <w:t xml:space="preserve"> → </w:t>
      </w:r>
      <w:r>
        <w:rPr>
          <w:i/>
        </w:rPr>
        <w:t>R</w:t>
      </w:r>
      <w:r>
        <w:t xml:space="preserve"> at rate κ(</w:t>
      </w:r>
      <w:r>
        <w:rPr>
          <w:i/>
        </w:rPr>
        <w:t>t</w:t>
      </w:r>
      <w:r>
        <w:t>): rhetoric catalyzes deletion while remaining available to legitimate further deletions.</w:t>
      </w:r>
    </w:p>
    <w:p>
      <w:pPr>
        <w:pStyle w:val="EquationBlock"/>
      </w:pPr>
      <w:r>
        <w:rPr>
          <w:i/>
        </w:rPr>
        <w:t>S</w:t>
      </w:r>
      <w:r>
        <w:t xml:space="preserve"> + </w:t>
      </w:r>
      <w:r>
        <w:rPr>
          <w:i/>
        </w:rPr>
        <w:t>M</w:t>
      </w:r>
      <w:r>
        <w:t xml:space="preserve"> → 2</w:t>
      </w:r>
      <w:r>
        <w:rPr>
          <w:i/>
        </w:rPr>
        <w:t>S</w:t>
      </w:r>
      <w:r>
        <w:t xml:space="preserve"> at rate ρ(</w:t>
      </w:r>
      <w:r>
        <w:rPr>
          <w:i/>
        </w:rPr>
        <w:t>t</w:t>
      </w:r>
      <w:r>
        <w:t>): organized counter-memory helps a safeguard reproduce.</w:t>
      </w:r>
    </w:p>
    <w:p>
      <w:pPr/>
      <w:r>
        <w:t xml:space="preserve">For institution </w:t>
      </w:r>
      <w:r>
        <w:rPr>
          <w:i/>
        </w:rPr>
        <w:t>i</w:t>
      </w:r>
      <w:r>
        <w:t xml:space="preserve">, let </w:t>
      </w:r>
      <w:r>
        <w:rPr>
          <w:i/>
        </w:rPr>
        <w:t>n</w:t>
      </w:r>
      <w:r>
        <w:rPr>
          <w:vertAlign w:val="subscript"/>
        </w:rPr>
        <w:t>i</w:t>
      </w:r>
      <w:r>
        <w:t>(</w:t>
      </w:r>
      <w:r>
        <w:rPr>
          <w:i/>
        </w:rPr>
        <w:t>t</w:t>
      </w:r>
      <w:r>
        <w:t xml:space="preserve">) be the count of functioning safeguards. Creation and annihilation operators change </w:t>
      </w:r>
      <w:r>
        <w:rPr>
          <w:i/>
        </w:rPr>
        <w:t>n</w:t>
      </w:r>
      <w:r>
        <w:rPr>
          <w:vertAlign w:val="subscript"/>
        </w:rPr>
        <w:t>i</w:t>
      </w:r>
      <w:r>
        <w:t xml:space="preserve"> by one; a master equation tracks the probability of every configuration over time. A path integral then assigns weights to possible institutional histories. In plain language, the model asks not only what happened, but how likely different sequences became under changing conditions.</w:t>
      </w:r>
    </w:p>
    <w:p>
      <w:pPr/>
      <w:r>
        <w:t>The rates are not metaphors. They can be estimated if the states and events are defined. μ may depend on executive orders, appropriations, staff turnover, court decisions, and the frequency of delegitimizing rhetoric. λ may depend on statutory redundancy, professional training, enforcement budgets, and adoption across state and federal levels. σ may depend on elections, successful litigation, archival redundancy, whistleblowing, and movement capacity. κ asks whether rhetoric precedes and predicts deletion after controlling for political authority and institutional vulnerability.</w:t>
      </w:r>
    </w:p>
    <w:p>
      <w:pPr/>
      <w:r>
        <w:t xml:space="preserve">The civil-rights sequence can be represented without reducing its moral meaning. The Civil Rights Act, Voting Rights Act, and Executive Order 11246 created and replicated safeguards. </w:t>
      </w:r>
      <w:r>
        <w:rPr>
          <w:i/>
        </w:rPr>
        <w:t>Shelby County</w:t>
      </w:r>
      <w:r>
        <w:t xml:space="preserve"> annihilated the preclearance activation mechanism. </w:t>
      </w:r>
      <w:r>
        <w:rPr>
          <w:i/>
        </w:rPr>
        <w:t>Allen</w:t>
      </w:r>
      <w:r>
        <w:t xml:space="preserve"> preserved a Section 2 pathway. </w:t>
      </w:r>
      <w:r>
        <w:rPr>
          <w:i/>
        </w:rPr>
        <w:t>Callais</w:t>
      </w:r>
      <w:r>
        <w:t xml:space="preserve"> raised the conditions under which that pathway can reproduce. Executive Order 14173 removed the federal-contractor affirmative-action framework created under Johnson. The history and Smithsonian orders act on archival and interpretive safeguards. </w:t>
      </w:r>
      <w:r>
        <w:rPr>
          <w:i/>
        </w:rPr>
        <w:t>Muldrow</w:t>
      </w:r>
      <w:r>
        <w:t xml:space="preserve"> and </w:t>
      </w:r>
      <w:r>
        <w:rPr>
          <w:i/>
        </w:rPr>
        <w:t>Trump v. Barbara</w:t>
      </w:r>
      <w:r>
        <w:t xml:space="preserve"> are counter-transitions that preserve or restore capacity.</w:t>
      </w:r>
    </w:p>
    <w:p>
      <w:pPr/>
      <w:r>
        <w:t>This framework also captures correlation. The closure of an office can cause staff exits; staff exits can reduce data quality; poor data can weaken litigation; failed litigation can legitimate further closure. These are not independent events. Doi–Peliti field methods are designed for interacting processes in which fluctuations, spatial differences, and feedback matter. That makes the framework more appropriate than a straight-line metaphor of progress followed by backlash.</w:t>
      </w:r>
    </w:p>
    <w:p>
      <w:pPr>
        <w:pStyle w:val="Heading1"/>
      </w:pPr>
      <w:r>
        <w:t>Measuring the Other America as State Variables</w:t>
      </w:r>
    </w:p>
    <w:p>
      <w:pPr>
        <w:ind w:firstLine="0"/>
      </w:pPr>
      <w:r>
        <w:t>A model of institutional erasure requires observables. King’s “two Americas” should not remain only a moral image. It can be measured, with the caution that disparity alone does not establish cause or intent.</w:t>
      </w:r>
    </w:p>
    <w:p>
      <w:pPr/>
      <w:r>
        <w:t>The Federal Reserve’s 2022 Survey of Consumer Finances found that the median wealth gap between White and Black families exceeded $220,000. The Centers for Disease Control and Prevention reported that in 2024 the maternal mortality rate for non-Hispanic Black women was 44.8 deaths per 100,000 live births, compared with 14.2 for non-Hispanic White women. The U.S. Sentencing Commission found that, in the federal cases and period it studied, Black males received sentences 13.4 percent longer than White males after controlling for several legally relevant factors.</w:t>
      </w:r>
      <w:r>
        <w:rPr>
          <w:sz w:val="16"/>
          <w:vertAlign w:val="superscript"/>
        </w:rPr>
        <w:t>26</w:t>
      </w:r>
      <w:r>
        <w:t xml:space="preserve"> These are not interchangeable outcomes, and no single mechanism explains them. Together they show why a government needs rather than fears causal measurement.</w:t>
      </w:r>
    </w:p>
    <w:p>
      <w:pPr/>
      <w:r>
        <w:t>In the model, such measures are state variables and outputs. They tell us whether formal rule changes alter distributions, whether removal of oversight increases variance across jurisdictions, and whether institutional restoration produces measurable recovery. If the law recognizes only intentional discrimination but the available institutions cease to collect the evidence from which intent and effect might be inferred, then the system has created a coupled erasure: it narrows the legal question and degrades the data needed to answer it.</w:t>
      </w:r>
    </w:p>
    <w:p>
      <w:pPr/>
      <w:r>
        <w:t>The empirical work should track at least six classes of events: rules revoked or narrowed; offices closed or reconstituted; personnel exits and losses of specialized expertise; datasets or public pages removed, altered, or restored; enforcement actions and remedies; and archival or curricular changes. Costs should include litigation hours, implementation delay, duplicated work, contract disruption, policy variance, employee turnover, and trust indicators. Every coding decision should be transparent enough for another researcher to challenge.</w:t>
      </w:r>
    </w:p>
    <w:p>
      <w:pPr>
        <w:pStyle w:val="Heading1"/>
      </w:pPr>
      <w:r>
        <w:t>A Testable Research Program</w:t>
      </w:r>
    </w:p>
    <w:p>
      <w:pPr>
        <w:ind w:firstLine="0"/>
      </w:pPr>
      <w:r>
        <w:t>The value of this framework will depend on whether it produces falsifiable expectations. I propose five initial hypotheses.</w:t>
      </w:r>
    </w:p>
    <w:p>
      <w:pPr/>
      <w:r>
        <w:t>First, coordinated erasure rhetoric should predict an increase in μ, the rate of safeguard removal, even after controlling for partisan control and statutory authority. If rhetoric is only decorative, it will add no predictive value.</w:t>
      </w:r>
    </w:p>
    <w:p>
      <w:pPr/>
      <w:r>
        <w:t>Second, redundancy should reduce effective deletion. A safeguard stored simultaneously in statute, regulation, professional practice, independent archives, state law, and settled precedent should be harder to erase than one stored in a single executive office. This is the institutional equivalent of error correction.</w:t>
      </w:r>
    </w:p>
    <w:p>
      <w:pPr/>
      <w:r>
        <w:t xml:space="preserve">Third, apparent efficiency gains from deletion should be partly displaced into the social-cost vector </w:t>
      </w:r>
      <w:r>
        <w:rPr>
          <w:i/>
        </w:rPr>
        <w:t>C</w:t>
      </w:r>
      <w:r>
        <w:t>. If an office closure saves budgeted dollars but increases litigation, delay, rework, and turnover, the net burden has moved rather than vanished.</w:t>
      </w:r>
    </w:p>
    <w:p>
      <w:pPr/>
      <w:r>
        <w:t>Fourth, organized counter-memory should increase λ and σ. Litigation archives, oral histories, independent datasets, unions, professional associations, churches, universities, and social movements preserve states that official institutions may later reconstruct.</w:t>
      </w:r>
    </w:p>
    <w:p>
      <w:pPr/>
      <w:r>
        <w:t>Fifth, the system should exhibit thresholds. When μ persistently exceeds λ + σ, safeguard counts may collapse toward an absorbing or near-absorbing state. Restoration then becomes more expensive because the institution has lost not only a rule but the people who remember how to implement it.</w:t>
      </w:r>
    </w:p>
    <w:p>
      <w:pPr/>
      <w:r>
        <w:t>These hypotheses invite disconfirmation. A study may find that some deleted programs were redundant or ineffective, that some forms of forgetting improve adaptation, or that rhetoric follows rather than causes institutional change. The model should allow those results. Its purpose is not to dress a political conclusion in scientific symbols. Its purpose is to make claims about erosion precise enough to test.</w:t>
      </w:r>
    </w:p>
    <w:p>
      <w:pPr>
        <w:pStyle w:val="Heading1"/>
      </w:pPr>
      <w:r>
        <w:t>Memory as Democratic Infrastructure</w:t>
      </w:r>
    </w:p>
    <w:p>
      <w:pPr>
        <w:ind w:firstLine="0"/>
      </w:pPr>
      <w:r>
        <w:t>King’s words resonate because the promise remains unsettled. He warned that delay can perform the work of denial, that order can be purchased at the price of justice, and that visible unrest can be the downstream signal of unheard claims. Malcolm X warned that citizenship without leverage becomes dependency. Garvey warned that dignity without independent capacity remains vulnerable to permission. Johnson, pressed by a movement larger than any president, demonstrated that moral language acquires durability only when it is converted into law and administration.</w:t>
      </w:r>
    </w:p>
    <w:p>
      <w:pPr/>
      <w:r>
        <w:t>Today’s conflict is a struggle over the machinery of remembrance: which disparities may be measured, which histories taught, which remedies may consider accumulated disadvantage, which precedents remain operational, which offices retain expertise, and which records survive a change in administration. These are questions of power because institutional memory determines what the state can perceive and citizens can prove.</w:t>
      </w:r>
    </w:p>
    <w:p>
      <w:pPr/>
      <w:r>
        <w:t>Landauer cautions that erasure has a cost, even when hidden. Doi–Peliti describes motion: safeguards are created, replicated, annihilated, and restored at rates changed by rhetoric, law, organization, and resistance. Neither theory decides history. Together they prevent us from confusing disappearance from the official record with disappearance from the social world.</w:t>
      </w:r>
    </w:p>
    <w:p>
      <w:pPr/>
      <w:r>
        <w:t>To use King faithfully is to recover the system he saw. The dream did not tell us to stop measuring injustice, but to build a nation that honors its promissory note. Democratic memory is part of that payment; once erased, it can be rebuilt only through work.</w:t>
      </w:r>
    </w:p>
    <w:p>
      <w:r>
        <w:br w:type="page"/>
      </w:r>
    </w:p>
    <w:p>
      <w:pPr>
        <w:pStyle w:val="Heading1"/>
      </w:pPr>
      <w:r>
        <w:t>Notes</w:t>
      </w:r>
    </w:p>
    <w:p>
      <w:pPr>
        <w:pStyle w:val="EndnoteText"/>
      </w:pPr>
      <w:r>
        <w:t xml:space="preserve">1. Martin Luther King Jr., “I Have a Dream,” address at the March on Washington for Jobs and Freedom, August 28, 1963, Martin Luther King, Jr. Research and Education Institute, Stanford University, </w:t>
      </w:r>
      <w:hyperlink r:id="rId9">
        <w:r>
          <w:rPr>
            <w:color w:val="1F4E79"/>
            <w:u w:val="single"/>
          </w:rPr>
          <w:t>https://kinginstitute.stanford.edu/i-have-dream</w:t>
        </w:r>
      </w:hyperlink>
      <w:r>
        <w:t>;</w:t>
      </w:r>
      <w:r>
        <w:t xml:space="preserve"> King, “Letter from Birmingham Jail,” April 16, 1963, Martin Luther King, Jr. Research and Education Institute, </w:t>
      </w:r>
      <w:hyperlink r:id="rId10">
        <w:r>
          <w:rPr>
            <w:color w:val="1F4E79"/>
            <w:u w:val="single"/>
          </w:rPr>
          <w:t>https://kinginstitute.stanford.edu/letter-birmingham-jail</w:t>
        </w:r>
      </w:hyperlink>
      <w:r>
        <w:t>;</w:t>
      </w:r>
      <w:r>
        <w:t xml:space="preserve"> King, “Beyond Vietnam,” April 4, 1967, Martin Luther King, Jr. Research and Education Institute, </w:t>
      </w:r>
      <w:hyperlink r:id="rId11">
        <w:r>
          <w:rPr>
            <w:color w:val="1F4E79"/>
            <w:u w:val="single"/>
          </w:rPr>
          <w:t>https://kinginstitute.stanford.edu/encyclopedia/beyond-vietnam</w:t>
        </w:r>
      </w:hyperlink>
      <w:r>
        <w:t>.</w:t>
      </w:r>
    </w:p>
    <w:p>
      <w:pPr>
        <w:pStyle w:val="EndnoteText"/>
      </w:pPr>
      <w:r>
        <w:t xml:space="preserve">2. Masao Doi, “Second Quantization Representation for Classical Many-Particle System,” </w:t>
      </w:r>
      <w:r>
        <w:rPr>
          <w:i/>
        </w:rPr>
        <w:t>Journal of Physics A: Mathematical and General</w:t>
      </w:r>
      <w:r>
        <w:t xml:space="preserve"> 9, no. 9 (1976): 1465–77, </w:t>
      </w:r>
      <w:hyperlink r:id="rId12">
        <w:r>
          <w:rPr>
            <w:color w:val="1F4E79"/>
            <w:u w:val="single"/>
          </w:rPr>
          <w:t>https://doi.org/10.1088/0305-4470/9/9/008</w:t>
        </w:r>
      </w:hyperlink>
      <w:r>
        <w:t>;</w:t>
      </w:r>
      <w:r>
        <w:t xml:space="preserve"> Luca Peliti, “Path Integral Approach to Birth-Death Processes on a Lattice,” </w:t>
      </w:r>
      <w:r>
        <w:rPr>
          <w:i/>
        </w:rPr>
        <w:t>Journal de Physique</w:t>
      </w:r>
      <w:r>
        <w:t xml:space="preserve"> 46, no. 9 (1985): 1469–83, </w:t>
      </w:r>
      <w:hyperlink r:id="rId13">
        <w:r>
          <w:rPr>
            <w:color w:val="1F4E79"/>
            <w:u w:val="single"/>
          </w:rPr>
          <w:t>https://doi.org/10.1051/jphys:019850046090146900</w:t>
        </w:r>
      </w:hyperlink>
      <w:r>
        <w:t>.</w:t>
      </w:r>
    </w:p>
    <w:p>
      <w:pPr>
        <w:pStyle w:val="EndnoteText"/>
      </w:pPr>
      <w:r>
        <w:t>3. King, “I Have a Dream.”</w:t>
      </w:r>
    </w:p>
    <w:p>
      <w:pPr>
        <w:pStyle w:val="EndnoteText"/>
      </w:pPr>
      <w:r>
        <w:t>4. King, “Letter from Birmingham Jail.”</w:t>
      </w:r>
    </w:p>
    <w:p>
      <w:pPr>
        <w:pStyle w:val="EndnoteText"/>
      </w:pPr>
      <w:r>
        <w:t xml:space="preserve">5. Martin Luther King Jr., “The Other America,” speech at Stanford University, April 14, 1967, transcript, </w:t>
      </w:r>
      <w:hyperlink r:id="rId14">
        <w:r>
          <w:rPr>
            <w:color w:val="1F4E79"/>
            <w:u w:val="single"/>
          </w:rPr>
          <w:t>https://files.blogs.baruch.cuny.edu/wp-content/blogs.dir/7871/files/2020/06/MLK-The-Other-America.pdf</w:t>
        </w:r>
      </w:hyperlink>
      <w:r>
        <w:t>.</w:t>
      </w:r>
    </w:p>
    <w:p>
      <w:pPr>
        <w:pStyle w:val="EndnoteText"/>
      </w:pPr>
      <w:r>
        <w:t xml:space="preserve">6. King, “Beyond Vietnam”; Martin Luther King Jr., “Where Do We Go from Here?,” August 16, 1967, Martin Luther King, Jr. Research and Education Institute, </w:t>
      </w:r>
      <w:hyperlink r:id="rId15">
        <w:r>
          <w:rPr>
            <w:color w:val="1F4E79"/>
            <w:u w:val="single"/>
          </w:rPr>
          <w:t>https://kinginstitute.stanford.edu/where-do-we-go-here</w:t>
        </w:r>
      </w:hyperlink>
      <w:r>
        <w:t>;</w:t>
      </w:r>
      <w:r>
        <w:t xml:space="preserve"> King, “I’ve Been to the Mountaintop,” April 3, 1968, Martin Luther King, Jr. Research and Education Institute, </w:t>
      </w:r>
      <w:hyperlink r:id="rId16">
        <w:r>
          <w:rPr>
            <w:color w:val="1F4E79"/>
            <w:u w:val="single"/>
          </w:rPr>
          <w:t>https://kinginstitute.stanford.edu/ive-been-mountaintop</w:t>
        </w:r>
      </w:hyperlink>
      <w:r>
        <w:t>.</w:t>
      </w:r>
    </w:p>
    <w:p>
      <w:pPr>
        <w:pStyle w:val="EndnoteText"/>
      </w:pPr>
      <w:r>
        <w:t xml:space="preserve">7. Malcolm X, “The Ballot or the Bullet,” April 3, 1964, </w:t>
      </w:r>
      <w:r>
        <w:rPr>
          <w:i/>
        </w:rPr>
        <w:t>Teaching American History</w:t>
      </w:r>
      <w:r>
        <w:t xml:space="preserve">, </w:t>
      </w:r>
      <w:hyperlink r:id="rId17">
        <w:r>
          <w:rPr>
            <w:color w:val="1F4E79"/>
            <w:u w:val="single"/>
          </w:rPr>
          <w:t>https://teachingamericanhistory.org/document/the-ballot-or-the-bullet-2/</w:t>
        </w:r>
      </w:hyperlink>
      <w:r>
        <w:t>.</w:t>
      </w:r>
    </w:p>
    <w:p>
      <w:pPr>
        <w:pStyle w:val="EndnoteText"/>
      </w:pPr>
      <w:r>
        <w:t xml:space="preserve">8. Peniel E. Joseph, </w:t>
      </w:r>
      <w:r>
        <w:rPr>
          <w:i/>
        </w:rPr>
        <w:t>The Sword and the Shield: The Revolutionary Lives of Malcolm X and Martin Luther King Jr.</w:t>
      </w:r>
      <w:r>
        <w:t xml:space="preserve"> (New York: Basic Books, 2020); Manning Marable, </w:t>
      </w:r>
      <w:r>
        <w:rPr>
          <w:i/>
        </w:rPr>
        <w:t>Malcolm X: A Life of Reinvention</w:t>
      </w:r>
      <w:r>
        <w:t xml:space="preserve"> (New York: Viking, 2011).</w:t>
      </w:r>
    </w:p>
    <w:p>
      <w:pPr>
        <w:pStyle w:val="EndnoteText"/>
      </w:pPr>
      <w:r>
        <w:t xml:space="preserve">9. Marcus Garvey, “Declaration of Rights of the Negro Peoples of the World,” August 1920, Marcus Garvey and Universal Negro Improvement Association Papers Project, UCLA, </w:t>
      </w:r>
      <w:hyperlink r:id="rId18">
        <w:r>
          <w:rPr>
            <w:color w:val="1F4E79"/>
            <w:u w:val="single"/>
          </w:rPr>
          <w:t>https://www.international.ucla.edu/africa/mgpp/sample03</w:t>
        </w:r>
      </w:hyperlink>
      <w:r>
        <w:t>;</w:t>
      </w:r>
      <w:r>
        <w:t xml:space="preserve"> Garvey, “Allegiance to Self First,” in </w:t>
      </w:r>
      <w:r>
        <w:rPr>
          <w:i/>
        </w:rPr>
        <w:t>The Philosophy and Opinions of Marcus Garvey</w:t>
      </w:r>
      <w:r>
        <w:t xml:space="preserve">, sample text, Marcus Garvey Papers Project, UCLA, </w:t>
      </w:r>
      <w:hyperlink r:id="rId19">
        <w:r>
          <w:rPr>
            <w:color w:val="1F4E79"/>
            <w:u w:val="single"/>
          </w:rPr>
          <w:t>https://www.international.ucla.edu/africa/mgpp/lifesamp</w:t>
        </w:r>
      </w:hyperlink>
      <w:r>
        <w:t>.</w:t>
      </w:r>
    </w:p>
    <w:p>
      <w:pPr>
        <w:pStyle w:val="EndnoteText"/>
      </w:pPr>
      <w:r>
        <w:t xml:space="preserve">10. H. T. Johnson, “The Black Man’s Burden,” </w:t>
      </w:r>
      <w:r>
        <w:rPr>
          <w:i/>
        </w:rPr>
        <w:t>Voice of Missions</w:t>
      </w:r>
      <w:r>
        <w:t xml:space="preserve"> 3 (April 1899), reproduced in </w:t>
      </w:r>
      <w:r>
        <w:rPr>
          <w:i/>
        </w:rPr>
        <w:t>Victorian Prose and Poetry</w:t>
      </w:r>
      <w:r>
        <w:t xml:space="preserve">, </w:t>
      </w:r>
      <w:hyperlink r:id="rId20">
        <w:r>
          <w:rPr>
            <w:color w:val="1F4E79"/>
            <w:u w:val="single"/>
          </w:rPr>
          <w:t>https://www.saskoer.ca/victorianproseandpoetry/chapter/the-black-mans-burden-by-h-t-johnson/</w:t>
        </w:r>
      </w:hyperlink>
      <w:r>
        <w:t>;</w:t>
      </w:r>
      <w:r>
        <w:t xml:space="preserve"> Michele Mitchell, “The Black Man’s Burden: African Americans, Imperialism, and Notions of Racial Manhood, 1890–1910,” </w:t>
      </w:r>
      <w:r>
        <w:rPr>
          <w:i/>
        </w:rPr>
        <w:t>International Review of Social History</w:t>
      </w:r>
      <w:r>
        <w:t xml:space="preserve"> 44, no. 2 (1999): 77–99, </w:t>
      </w:r>
      <w:hyperlink r:id="rId21">
        <w:r>
          <w:rPr>
            <w:color w:val="1F4E79"/>
            <w:u w:val="single"/>
          </w:rPr>
          <w:t>https://doi.org/10.1017/S0020859000115217</w:t>
        </w:r>
      </w:hyperlink>
      <w:r>
        <w:t>.</w:t>
      </w:r>
    </w:p>
    <w:p>
      <w:pPr>
        <w:pStyle w:val="EndnoteText"/>
      </w:pPr>
      <w:r>
        <w:t xml:space="preserve">11. Civil Rights Act of 1964, Pub. L. No. 88-352, 78 Stat. 241; National Archives, “Civil Rights Act (1964),” </w:t>
      </w:r>
      <w:hyperlink r:id="rId22">
        <w:r>
          <w:rPr>
            <w:color w:val="1F4E79"/>
            <w:u w:val="single"/>
          </w:rPr>
          <w:t>https://www.archives.gov/milestone-documents/civil-rights-act</w:t>
        </w:r>
      </w:hyperlink>
      <w:r>
        <w:t>.</w:t>
      </w:r>
    </w:p>
    <w:p>
      <w:pPr>
        <w:pStyle w:val="EndnoteText"/>
      </w:pPr>
      <w:r>
        <w:t xml:space="preserve">12. Lyndon B. Johnson, “The American Promise,” address to Congress, March 15, 1965, LBJ Presidential Library, </w:t>
      </w:r>
      <w:hyperlink r:id="rId23">
        <w:r>
          <w:rPr>
            <w:color w:val="1F4E79"/>
            <w:u w:val="single"/>
          </w:rPr>
          <w:t>https://www.lbjlibrary.org/object/text/american-promise-speech</w:t>
        </w:r>
      </w:hyperlink>
      <w:r>
        <w:t>;</w:t>
      </w:r>
      <w:r>
        <w:t xml:space="preserve"> Voting Rights Act of 1965, Pub. L. No. 89-110, 79 Stat. 437; National Archives, “Voting Rights Act (1965),” </w:t>
      </w:r>
      <w:hyperlink r:id="rId24">
        <w:r>
          <w:rPr>
            <w:color w:val="1F4E79"/>
            <w:u w:val="single"/>
          </w:rPr>
          <w:t>https://www.archives.gov/milestone-documents/voting-rights-act</w:t>
        </w:r>
      </w:hyperlink>
      <w:r>
        <w:t>;</w:t>
      </w:r>
      <w:r>
        <w:t xml:space="preserve"> Exec. Order No. 11246, 30 Fed. Reg. 12319 (September 24, 1965).</w:t>
      </w:r>
    </w:p>
    <w:p>
      <w:pPr>
        <w:pStyle w:val="EndnoteText"/>
      </w:pPr>
      <w:r>
        <w:t xml:space="preserve">13. Lyndon B. Johnson, “To Fulfill These Rights,” commencement address at Howard University, June 4, 1965, American Presidency Project, </w:t>
      </w:r>
      <w:hyperlink r:id="rId25">
        <w:r>
          <w:rPr>
            <w:color w:val="1F4E79"/>
            <w:u w:val="single"/>
          </w:rPr>
          <w:t>https://www.presidency.ucsb.edu/documents/commencement-address-howard-university-fulfill-these-rights</w:t>
        </w:r>
      </w:hyperlink>
      <w:r>
        <w:t>.</w:t>
      </w:r>
    </w:p>
    <w:p>
      <w:pPr>
        <w:pStyle w:val="EndnoteText"/>
      </w:pPr>
      <w:r>
        <w:t xml:space="preserve">14. Donald J. Trump, “The Inaugural Address,” January 20, 2025, White House, </w:t>
      </w:r>
      <w:hyperlink r:id="rId26">
        <w:r>
          <w:rPr>
            <w:color w:val="1F4E79"/>
            <w:u w:val="single"/>
          </w:rPr>
          <w:t>https://www.whitehouse.gov/remarks/2025/01/the-inaugural-address/</w:t>
        </w:r>
      </w:hyperlink>
      <w:r>
        <w:t>;</w:t>
      </w:r>
      <w:r>
        <w:t xml:space="preserve"> Exec. Order No. 14173, “Ending Illegal Discrimination and Restoring Merit-Based Opportunity,” January 21, 2025, </w:t>
      </w:r>
      <w:hyperlink r:id="rId27">
        <w:r>
          <w:rPr>
            <w:color w:val="1F4E79"/>
            <w:u w:val="single"/>
          </w:rPr>
          <w:t>https://www.whitehouse.gov/presidential-actions/2025/01/ending-illegal-discrimination-and-restoring-merit-based-opportunity/</w:t>
        </w:r>
      </w:hyperlink>
      <w:r>
        <w:t>;</w:t>
      </w:r>
      <w:r>
        <w:t xml:space="preserve"> Exec. Order No. 14151, “Ending Radical and Wasteful Government DEI Programs and Preferencing,” January 20, 2025, </w:t>
      </w:r>
      <w:hyperlink r:id="rId28">
        <w:r>
          <w:rPr>
            <w:color w:val="1F4E79"/>
            <w:u w:val="single"/>
          </w:rPr>
          <w:t>https://www.whitehouse.gov/presidential-actions/2025/01/ending-radical-and-wasteful-government-dei-programs-and-preferencing/</w:t>
        </w:r>
      </w:hyperlink>
      <w:r>
        <w:t>;</w:t>
      </w:r>
      <w:r>
        <w:t xml:space="preserve"> Exec. Order No. 14281, “Restoring Equality of Opportunity and Meritocracy,” April 23, 2025, </w:t>
      </w:r>
      <w:hyperlink r:id="rId29">
        <w:r>
          <w:rPr>
            <w:color w:val="1F4E79"/>
            <w:u w:val="single"/>
          </w:rPr>
          <w:t>https://www.whitehouse.gov/presidential-actions/2025/04/restoring-equality-of-opportunity-and-meritocracy/</w:t>
        </w:r>
      </w:hyperlink>
      <w:r>
        <w:t>.</w:t>
      </w:r>
    </w:p>
    <w:p>
      <w:pPr>
        <w:pStyle w:val="EndnoteText"/>
      </w:pPr>
      <w:r>
        <w:t xml:space="preserve">15. Exec. Order No. 14253, “Restoring Truth and Sanity to American History,” March 27, 2025, </w:t>
      </w:r>
      <w:hyperlink r:id="rId30">
        <w:r>
          <w:rPr>
            <w:color w:val="1F4E79"/>
            <w:u w:val="single"/>
          </w:rPr>
          <w:t>https://www.whitehouse.gov/presidential-actions/2025/03/restoring-truth-and-sanity-to-american-history/</w:t>
        </w:r>
      </w:hyperlink>
      <w:r>
        <w:t>;</w:t>
      </w:r>
      <w:r>
        <w:t xml:space="preserve"> Exec. Order No. 14416, “Restoring Trust in the Smithsonian Institution,” July 24, 2026, </w:t>
      </w:r>
      <w:hyperlink r:id="rId31">
        <w:r>
          <w:rPr>
            <w:color w:val="1F4E79"/>
            <w:u w:val="single"/>
          </w:rPr>
          <w:t>https://www.whitehouse.gov/presidential-actions/2026/07/restoring-trust-in-the-smithsonian-institution-e061/</w:t>
        </w:r>
      </w:hyperlink>
      <w:r>
        <w:t>.</w:t>
      </w:r>
    </w:p>
    <w:p>
      <w:pPr>
        <w:pStyle w:val="EndnoteText"/>
      </w:pPr>
      <w:r>
        <w:t xml:space="preserve">16. Donald J. Trump, “Martin Luther King Jr. Federal Holiday, 2026,” proclamation, January 19, 2026, </w:t>
      </w:r>
      <w:hyperlink r:id="rId32">
        <w:r>
          <w:rPr>
            <w:color w:val="1F4E79"/>
            <w:u w:val="single"/>
          </w:rPr>
          <w:t>https://www.whitehouse.gov/presidential-actions/2026/01/martin-luther-king-jr-federal-holiday-2026/</w:t>
        </w:r>
      </w:hyperlink>
      <w:r>
        <w:t>.</w:t>
      </w:r>
    </w:p>
    <w:p>
      <w:pPr>
        <w:pStyle w:val="EndnoteText"/>
      </w:pPr>
      <w:r>
        <w:t xml:space="preserve">17. </w:t>
      </w:r>
      <w:r>
        <w:rPr>
          <w:i/>
        </w:rPr>
        <w:t>Shelby County v. Holder</w:t>
      </w:r>
      <w:r>
        <w:t xml:space="preserve">, 570 U.S. 529 (2013), </w:t>
      </w:r>
      <w:hyperlink r:id="rId33">
        <w:r>
          <w:rPr>
            <w:color w:val="1F4E79"/>
            <w:u w:val="single"/>
          </w:rPr>
          <w:t>https://tile.loc.gov/storage-services/service/ll/usrep/usrep570/usrep570529/usrep570529.pdf</w:t>
        </w:r>
      </w:hyperlink>
      <w:r>
        <w:t>.</w:t>
      </w:r>
    </w:p>
    <w:p>
      <w:pPr>
        <w:pStyle w:val="EndnoteText"/>
      </w:pPr>
      <w:r>
        <w:t xml:space="preserve">18. </w:t>
      </w:r>
      <w:r>
        <w:rPr>
          <w:i/>
        </w:rPr>
        <w:t>Brnovich v. Democratic National Committee</w:t>
      </w:r>
      <w:r>
        <w:t xml:space="preserve">, 594 U.S. 647 (2021), </w:t>
      </w:r>
      <w:hyperlink r:id="rId34">
        <w:r>
          <w:rPr>
            <w:color w:val="1F4E79"/>
            <w:u w:val="single"/>
          </w:rPr>
          <w:t>https://www.supremecourt.gov/opinions/20pdf/19-1257_g204.pdf</w:t>
        </w:r>
      </w:hyperlink>
      <w:r>
        <w:t>;</w:t>
      </w:r>
      <w:r>
        <w:t xml:space="preserve"> </w:t>
      </w:r>
      <w:r>
        <w:rPr>
          <w:i/>
        </w:rPr>
        <w:t>Allen v. Milligan</w:t>
      </w:r>
      <w:r>
        <w:t xml:space="preserve">, 599 U.S. 1 (2023), </w:t>
      </w:r>
      <w:hyperlink r:id="rId35">
        <w:r>
          <w:rPr>
            <w:color w:val="1F4E79"/>
            <w:u w:val="single"/>
          </w:rPr>
          <w:t>https://www.supremecourt.gov/opinions/22pdf/21-1086_1co6.pdf</w:t>
        </w:r>
      </w:hyperlink>
      <w:r>
        <w:t>;</w:t>
      </w:r>
      <w:r>
        <w:t xml:space="preserve"> </w:t>
      </w:r>
      <w:r>
        <w:rPr>
          <w:i/>
        </w:rPr>
        <w:t>Students for Fair Admissions, Inc. v. President and Fellows of Harvard College</w:t>
      </w:r>
      <w:r>
        <w:t xml:space="preserve">, 600 U.S. 181 (2023), </w:t>
      </w:r>
      <w:hyperlink r:id="rId36">
        <w:r>
          <w:rPr>
            <w:color w:val="1F4E79"/>
            <w:u w:val="single"/>
          </w:rPr>
          <w:t>https://www.supremecourt.gov/Opinions/22pdf/20-1199_Hgdj.Pdf</w:t>
        </w:r>
      </w:hyperlink>
      <w:r>
        <w:t>.</w:t>
      </w:r>
    </w:p>
    <w:p>
      <w:pPr>
        <w:pStyle w:val="EndnoteText"/>
      </w:pPr>
      <w:r>
        <w:t xml:space="preserve">19. </w:t>
      </w:r>
      <w:r>
        <w:rPr>
          <w:i/>
        </w:rPr>
        <w:t>Alexander v. South Carolina State Conference of the NAACP</w:t>
      </w:r>
      <w:r>
        <w:t xml:space="preserve">, 602 U.S. 1 (2024), </w:t>
      </w:r>
      <w:hyperlink r:id="rId37">
        <w:r>
          <w:rPr>
            <w:color w:val="1F4E79"/>
            <w:u w:val="single"/>
          </w:rPr>
          <w:t>https://www.law.cornell.edu/supremecourt/text/22-807</w:t>
        </w:r>
      </w:hyperlink>
      <w:r>
        <w:t>;</w:t>
      </w:r>
      <w:r>
        <w:t xml:space="preserve"> </w:t>
      </w:r>
      <w:r>
        <w:rPr>
          <w:i/>
        </w:rPr>
        <w:t>Muldrow v. City of St. Louis</w:t>
      </w:r>
      <w:r>
        <w:t xml:space="preserve">, 601 U.S. 346 (2024), </w:t>
      </w:r>
      <w:hyperlink r:id="rId38">
        <w:r>
          <w:rPr>
            <w:color w:val="1F4E79"/>
            <w:u w:val="single"/>
          </w:rPr>
          <w:t>https://www.law.cornell.edu/supremecourt/text/22-193</w:t>
        </w:r>
      </w:hyperlink>
      <w:r>
        <w:t>;</w:t>
      </w:r>
      <w:r>
        <w:t xml:space="preserve"> </w:t>
      </w:r>
      <w:r>
        <w:rPr>
          <w:i/>
        </w:rPr>
        <w:t>Ames v. Ohio Department of Youth Services</w:t>
      </w:r>
      <w:r>
        <w:t xml:space="preserve">, 605 U.S. 303 (2025), </w:t>
      </w:r>
      <w:hyperlink r:id="rId39">
        <w:r>
          <w:rPr>
            <w:color w:val="1F4E79"/>
            <w:u w:val="single"/>
          </w:rPr>
          <w:t>https://www.supremecourt.gov/opinions/24pdf/605us1r39_kkg1.pdf</w:t>
        </w:r>
      </w:hyperlink>
      <w:r>
        <w:t>.</w:t>
      </w:r>
    </w:p>
    <w:p>
      <w:pPr>
        <w:pStyle w:val="EndnoteText"/>
      </w:pPr>
      <w:r>
        <w:t xml:space="preserve">20. </w:t>
      </w:r>
      <w:r>
        <w:rPr>
          <w:i/>
        </w:rPr>
        <w:t>Louisiana v. Callais</w:t>
      </w:r>
      <w:r>
        <w:t xml:space="preserve">, 608 U.S. ___ (2026), </w:t>
      </w:r>
      <w:hyperlink r:id="rId40">
        <w:r>
          <w:rPr>
            <w:color w:val="1F4E79"/>
            <w:u w:val="single"/>
          </w:rPr>
          <w:t>https://www.supremecourt.gov/opinions/25pdf/24-109_21o3.pdf</w:t>
        </w:r>
      </w:hyperlink>
      <w:r>
        <w:t>.</w:t>
      </w:r>
    </w:p>
    <w:p>
      <w:pPr>
        <w:pStyle w:val="EndnoteText"/>
      </w:pPr>
      <w:r>
        <w:t xml:space="preserve">21. </w:t>
      </w:r>
      <w:r>
        <w:rPr>
          <w:i/>
        </w:rPr>
        <w:t>Allen v. Caster</w:t>
      </w:r>
      <w:r>
        <w:t xml:space="preserve">, 608 U.S. ___ (2026) (mem.), </w:t>
      </w:r>
      <w:hyperlink r:id="rId41">
        <w:r>
          <w:rPr>
            <w:color w:val="1F4E79"/>
            <w:u w:val="single"/>
          </w:rPr>
          <w:t>https://www.supremecourt.gov/opinions/25pdf/25-243_f20h.pdf</w:t>
        </w:r>
      </w:hyperlink>
      <w:r>
        <w:t>.</w:t>
      </w:r>
    </w:p>
    <w:p>
      <w:pPr>
        <w:pStyle w:val="EndnoteText"/>
      </w:pPr>
      <w:r>
        <w:t xml:space="preserve">22. </w:t>
      </w:r>
      <w:r>
        <w:rPr>
          <w:i/>
        </w:rPr>
        <w:t>Trump v. Barbara</w:t>
      </w:r>
      <w:r>
        <w:t xml:space="preserve">, 609 U.S. ___ (2026), </w:t>
      </w:r>
      <w:hyperlink r:id="rId42">
        <w:r>
          <w:rPr>
            <w:color w:val="1F4E79"/>
            <w:u w:val="single"/>
          </w:rPr>
          <w:t>https://www.supremecourt.gov/opinions/25pdf/25-365_4hdj.pdf</w:t>
        </w:r>
      </w:hyperlink>
      <w:r>
        <w:t>.</w:t>
      </w:r>
    </w:p>
    <w:p>
      <w:pPr>
        <w:pStyle w:val="EndnoteText"/>
      </w:pPr>
      <w:r>
        <w:t xml:space="preserve">23. Rolf Landauer, “Irreversibility and Heat Generation in the Computing Process,” </w:t>
      </w:r>
      <w:r>
        <w:rPr>
          <w:i/>
        </w:rPr>
        <w:t>IBM Journal of Research and Development</w:t>
      </w:r>
      <w:r>
        <w:t xml:space="preserve"> 5, no. 3 (1961): 183–91, </w:t>
      </w:r>
      <w:hyperlink r:id="rId43">
        <w:r>
          <w:rPr>
            <w:color w:val="1F4E79"/>
            <w:u w:val="single"/>
          </w:rPr>
          <w:t>https://doi.org/10.1147/rd.53.0183</w:t>
        </w:r>
      </w:hyperlink>
      <w:r>
        <w:t>;</w:t>
      </w:r>
      <w:r>
        <w:t xml:space="preserve"> Landauer, “Information Is Physical,” </w:t>
      </w:r>
      <w:r>
        <w:rPr>
          <w:i/>
        </w:rPr>
        <w:t>Physics Today</w:t>
      </w:r>
      <w:r>
        <w:t xml:space="preserve"> 44, no. 5 (1991): 23–29, </w:t>
      </w:r>
      <w:hyperlink r:id="rId44">
        <w:r>
          <w:rPr>
            <w:color w:val="1F4E79"/>
            <w:u w:val="single"/>
          </w:rPr>
          <w:t>https://doi.org/10.1063/1.881299</w:t>
        </w:r>
      </w:hyperlink>
      <w:r>
        <w:t>;</w:t>
      </w:r>
      <w:r>
        <w:t xml:space="preserve"> Antoine Bérut et al., “Experimental Verification of Landauer’s Principle Linking Information and Thermodynamics,” </w:t>
      </w:r>
      <w:r>
        <w:rPr>
          <w:i/>
        </w:rPr>
        <w:t>Nature</w:t>
      </w:r>
      <w:r>
        <w:t xml:space="preserve"> 483 (2012): 187–89, </w:t>
      </w:r>
      <w:hyperlink r:id="rId45">
        <w:r>
          <w:rPr>
            <w:color w:val="1F4E79"/>
            <w:u w:val="single"/>
          </w:rPr>
          <w:t>https://doi.org/10.1038/nature10872</w:t>
        </w:r>
      </w:hyperlink>
      <w:r>
        <w:t>.</w:t>
      </w:r>
    </w:p>
    <w:p>
      <w:pPr>
        <w:pStyle w:val="EndnoteText"/>
      </w:pPr>
      <w:r>
        <w:t xml:space="preserve">24. Christopher Pollitt, “Institutional Amnesia: A Paradox of the ‘Information Age’?,” </w:t>
      </w:r>
      <w:r>
        <w:rPr>
          <w:i/>
        </w:rPr>
        <w:t>Prometheus</w:t>
      </w:r>
      <w:r>
        <w:t xml:space="preserve"> 18, no. 1 (2000): 5–16, </w:t>
      </w:r>
      <w:hyperlink r:id="rId46">
        <w:r>
          <w:rPr>
            <w:color w:val="1F4E79"/>
            <w:u w:val="single"/>
          </w:rPr>
          <w:t>https://doi.org/10.1080/08109020050000627</w:t>
        </w:r>
      </w:hyperlink>
      <w:r>
        <w:t>;</w:t>
      </w:r>
      <w:r>
        <w:t xml:space="preserve"> Pablo Martin de Holan and Nelson Phillips, “Remembrance of Things Past? The Dynamics of Organizational Forgetting,” </w:t>
      </w:r>
      <w:r>
        <w:rPr>
          <w:i/>
        </w:rPr>
        <w:t>Management Science</w:t>
      </w:r>
      <w:r>
        <w:t xml:space="preserve"> 50, no. 11 (2004): 1603–13, </w:t>
      </w:r>
      <w:hyperlink r:id="rId47">
        <w:r>
          <w:rPr>
            <w:color w:val="1F4E79"/>
            <w:u w:val="single"/>
          </w:rPr>
          <w:t>https://doi.org/10.1287/mnsc.1040.0273</w:t>
        </w:r>
      </w:hyperlink>
      <w:r>
        <w:t>;</w:t>
      </w:r>
      <w:r>
        <w:t xml:space="preserve"> John Stavick, “Organizational Memory and Snap Back Performance in Public Agencies,” </w:t>
      </w:r>
      <w:r>
        <w:rPr>
          <w:i/>
        </w:rPr>
        <w:t>American Review of Public Administration</w:t>
      </w:r>
      <w:r>
        <w:t xml:space="preserve"> 55, no. 2 (2025): 175–91, </w:t>
      </w:r>
      <w:hyperlink r:id="rId48">
        <w:r>
          <w:rPr>
            <w:color w:val="1F4E79"/>
            <w:u w:val="single"/>
          </w:rPr>
          <w:t>https://doi.org/10.1177/02750740241305625</w:t>
        </w:r>
      </w:hyperlink>
      <w:r>
        <w:t>.</w:t>
      </w:r>
    </w:p>
    <w:p>
      <w:pPr>
        <w:pStyle w:val="EndnoteText"/>
      </w:pPr>
      <w:r>
        <w:t xml:space="preserve">25. Doi, “Second Quantization Representation”; Peliti, “Path Integral Approach”; Uwe C. Täuber, Martin Howard, and Benjamin P. Vollmayr-Lee, “Applications of Field-Theoretic Renormalization Group Methods to Reaction-Diffusion Problems,” </w:t>
      </w:r>
      <w:r>
        <w:rPr>
          <w:i/>
        </w:rPr>
        <w:t>Journal of Physics A: Mathematical and General</w:t>
      </w:r>
      <w:r>
        <w:t xml:space="preserve"> 38, no. 17 (2005): R79–R131, </w:t>
      </w:r>
      <w:hyperlink r:id="rId49">
        <w:r>
          <w:rPr>
            <w:color w:val="1F4E79"/>
            <w:u w:val="single"/>
          </w:rPr>
          <w:t>https://doi.org/10.1088/0305-4470/38/17/R01</w:t>
        </w:r>
      </w:hyperlink>
      <w:r>
        <w:t>.</w:t>
      </w:r>
    </w:p>
    <w:p>
      <w:pPr>
        <w:pStyle w:val="EndnoteText"/>
      </w:pPr>
      <w:r>
        <w:t xml:space="preserve">26. Aditya Aladangady et al., “Greater Wealth, Greater Uncertainty: Changes in Racial Inequality in the Survey of Consumer Finances,” Federal Reserve, October 18, 2023, </w:t>
      </w:r>
      <w:hyperlink r:id="rId50">
        <w:r>
          <w:rPr>
            <w:color w:val="1F4E79"/>
            <w:u w:val="single"/>
          </w:rPr>
          <w:t>https://www.federalreserve.gov/econres/notes/feds-notes/greater-wealth-greater-uncertainty-changes-in-racial-inequality-in-the-survey-of-consumer-finances-20231018.htm</w:t>
        </w:r>
      </w:hyperlink>
      <w:r>
        <w:t>;</w:t>
      </w:r>
      <w:r>
        <w:t xml:space="preserve"> Donna L. Hoyert, “Maternal Mortality Rates in the United States, 2024,” National Center for Health Statistics, 2026, </w:t>
      </w:r>
      <w:hyperlink r:id="rId51">
        <w:r>
          <w:rPr>
            <w:color w:val="1F4E79"/>
            <w:u w:val="single"/>
          </w:rPr>
          <w:t>https://www.cdc.gov/nchs/data/hestat/hestat113.htm</w:t>
        </w:r>
      </w:hyperlink>
      <w:r>
        <w:t>;</w:t>
      </w:r>
      <w:r>
        <w:t xml:space="preserve"> U.S. Sentencing Commission, </w:t>
      </w:r>
      <w:r>
        <w:rPr>
          <w:i/>
        </w:rPr>
        <w:t>Demographic Differences in Federal Sentencing</w:t>
      </w:r>
      <w:r>
        <w:t xml:space="preserve"> (Washington, DC: U.S. Sentencing Commission, 2023), </w:t>
      </w:r>
      <w:hyperlink r:id="rId52">
        <w:r>
          <w:rPr>
            <w:color w:val="1F4E79"/>
            <w:u w:val="single"/>
          </w:rPr>
          <w:t>https://www.ussc.gov/research/research-reports/2023-demographic-differences-federal-sentencing</w:t>
        </w:r>
      </w:hyperlink>
      <w:r>
        <w:t>.</w:t>
      </w:r>
    </w:p>
    <w:p>
      <w:r>
        <w:br w:type="page"/>
      </w:r>
    </w:p>
    <w:p>
      <w:pPr>
        <w:pStyle w:val="Heading1"/>
      </w:pPr>
      <w:r>
        <w:t>Bibliography</w:t>
      </w:r>
    </w:p>
    <w:p>
      <w:pPr>
        <w:pStyle w:val="BibliographyText"/>
      </w:pPr>
      <w:r>
        <w:t xml:space="preserve">Aladangady, Aditya, Jesse Bricker, Andrew C. Chang, Sarena Goodman, Jacob Krimmel, Kevin B. Moore, Sarah Reber, Alice Henriques Volz, and Richard A. Windle. “Greater Wealth, Greater Uncertainty: Changes in Racial Inequality in the Survey of Consumer Finances.” Federal Reserve. October 18, 2023. </w:t>
      </w:r>
      <w:hyperlink r:id="rId50">
        <w:r>
          <w:rPr>
            <w:color w:val="1F4E79"/>
            <w:u w:val="single"/>
          </w:rPr>
          <w:t>https://www.federalreserve.gov/econres/notes/feds-notes/greater-wealth-greater-uncertainty-changes-in-racial-inequality-in-the-survey-of-consumer-finances-20231018.htm</w:t>
        </w:r>
      </w:hyperlink>
      <w:r>
        <w:t>.</w:t>
      </w:r>
    </w:p>
    <w:p>
      <w:pPr>
        <w:pStyle w:val="BibliographyText"/>
      </w:pPr>
      <w:r>
        <w:rPr>
          <w:i/>
        </w:rPr>
        <w:t>Allen v. Caster</w:t>
      </w:r>
      <w:r>
        <w:t>. 608 U.S. ___ (2026).</w:t>
      </w:r>
    </w:p>
    <w:p>
      <w:pPr>
        <w:pStyle w:val="BibliographyText"/>
      </w:pPr>
      <w:r>
        <w:rPr>
          <w:i/>
        </w:rPr>
        <w:t>Allen v. Milligan</w:t>
      </w:r>
      <w:r>
        <w:t>. 599 U.S. 1 (2023).</w:t>
      </w:r>
    </w:p>
    <w:p>
      <w:pPr>
        <w:pStyle w:val="BibliographyText"/>
      </w:pPr>
      <w:r>
        <w:rPr>
          <w:i/>
        </w:rPr>
        <w:t>Ames v. Ohio Department of Youth Services</w:t>
      </w:r>
      <w:r>
        <w:t>. 605 U.S. 303 (2025).</w:t>
      </w:r>
    </w:p>
    <w:p>
      <w:pPr>
        <w:pStyle w:val="BibliographyText"/>
      </w:pPr>
      <w:r>
        <w:rPr>
          <w:i/>
        </w:rPr>
        <w:t>Alexander v. South Carolina State Conference of the NAACP</w:t>
      </w:r>
      <w:r>
        <w:t>. 602 U.S. 1 (2024).</w:t>
      </w:r>
    </w:p>
    <w:p>
      <w:pPr>
        <w:pStyle w:val="BibliographyText"/>
      </w:pPr>
      <w:r>
        <w:t xml:space="preserve">Bérut, Antoine, Artak Arakelyan, Artyom Petrosyan, Sergio Ciliberto, Raoul Dillenschneider, and Eric Lutz. “Experimental Verification of Landauer’s Principle Linking Information and Thermodynamics.” </w:t>
      </w:r>
      <w:r>
        <w:rPr>
          <w:i/>
        </w:rPr>
        <w:t>Nature</w:t>
      </w:r>
      <w:r>
        <w:t xml:space="preserve"> 483 (2012): 187–89. </w:t>
      </w:r>
      <w:hyperlink r:id="rId45">
        <w:r>
          <w:rPr>
            <w:color w:val="1F4E79"/>
            <w:u w:val="single"/>
          </w:rPr>
          <w:t>https://doi.org/10.1038/nature10872</w:t>
        </w:r>
      </w:hyperlink>
      <w:r>
        <w:t>.</w:t>
      </w:r>
    </w:p>
    <w:p>
      <w:pPr>
        <w:pStyle w:val="BibliographyText"/>
      </w:pPr>
      <w:r>
        <w:rPr>
          <w:i/>
        </w:rPr>
        <w:t>Brnovich v. Democratic National Committee</w:t>
      </w:r>
      <w:r>
        <w:t>. 594 U.S. 647 (2021).</w:t>
      </w:r>
    </w:p>
    <w:p>
      <w:pPr>
        <w:pStyle w:val="BibliographyText"/>
      </w:pPr>
      <w:r>
        <w:t>Civil Rights Act of 1964. Pub. L. No. 88-352. 78 Stat. 241.</w:t>
      </w:r>
    </w:p>
    <w:p>
      <w:pPr>
        <w:pStyle w:val="BibliographyText"/>
      </w:pPr>
      <w:r>
        <w:t xml:space="preserve">Doi, Masao. “Second Quantization Representation for Classical Many-Particle System.” </w:t>
      </w:r>
      <w:r>
        <w:rPr>
          <w:i/>
        </w:rPr>
        <w:t>Journal of Physics A: Mathematical and General</w:t>
      </w:r>
      <w:r>
        <w:t xml:space="preserve"> 9, no. 9 (1976): 1465–77. </w:t>
      </w:r>
      <w:hyperlink r:id="rId12">
        <w:r>
          <w:rPr>
            <w:color w:val="1F4E79"/>
            <w:u w:val="single"/>
          </w:rPr>
          <w:t>https://doi.org/10.1088/0305-4470/9/9/008</w:t>
        </w:r>
      </w:hyperlink>
      <w:r>
        <w:t>.</w:t>
      </w:r>
    </w:p>
    <w:p>
      <w:pPr>
        <w:pStyle w:val="BibliographyText"/>
      </w:pPr>
      <w:r>
        <w:t xml:space="preserve">Garvey, Marcus. “Allegiance to Self First.” In </w:t>
      </w:r>
      <w:r>
        <w:rPr>
          <w:i/>
        </w:rPr>
        <w:t>The Philosophy and Opinions of Marcus Garvey</w:t>
      </w:r>
      <w:r>
        <w:t xml:space="preserve">. Sample text, Marcus Garvey Papers Project, UCLA. Accessed August 14, 2026. </w:t>
      </w:r>
      <w:hyperlink r:id="rId19">
        <w:r>
          <w:rPr>
            <w:color w:val="1F4E79"/>
            <w:u w:val="single"/>
          </w:rPr>
          <w:t>https://www.international.ucla.edu/africa/mgpp/lifesamp</w:t>
        </w:r>
      </w:hyperlink>
      <w:r>
        <w:t>.</w:t>
      </w:r>
    </w:p>
    <w:p>
      <w:pPr>
        <w:pStyle w:val="BibliographyText"/>
      </w:pPr>
      <w:r>
        <w:t xml:space="preserve">———. “Declaration of Rights of the Negro Peoples of the World.” August 1920. Marcus Garvey and Universal Negro Improvement Association Papers Project, UCLA. </w:t>
      </w:r>
      <w:hyperlink r:id="rId18">
        <w:r>
          <w:rPr>
            <w:color w:val="1F4E79"/>
            <w:u w:val="single"/>
          </w:rPr>
          <w:t>https://www.international.ucla.edu/africa/mgpp/sample03</w:t>
        </w:r>
      </w:hyperlink>
      <w:r>
        <w:t>.</w:t>
      </w:r>
    </w:p>
    <w:p>
      <w:pPr>
        <w:pStyle w:val="BibliographyText"/>
      </w:pPr>
      <w:r>
        <w:t xml:space="preserve">Hoyert, Donna L. “Maternal Mortality Rates in the United States, 2024.” National Center for Health Statistics, 2026. </w:t>
      </w:r>
      <w:hyperlink r:id="rId51">
        <w:r>
          <w:rPr>
            <w:color w:val="1F4E79"/>
            <w:u w:val="single"/>
          </w:rPr>
          <w:t>https://www.cdc.gov/nchs/data/hestat/hestat113.htm</w:t>
        </w:r>
      </w:hyperlink>
      <w:r>
        <w:t>.</w:t>
      </w:r>
    </w:p>
    <w:p>
      <w:pPr>
        <w:pStyle w:val="BibliographyText"/>
      </w:pPr>
      <w:r>
        <w:t xml:space="preserve">Johnson, H. T. “The Black Man’s Burden.” </w:t>
      </w:r>
      <w:r>
        <w:rPr>
          <w:i/>
        </w:rPr>
        <w:t>Voice of Missions</w:t>
      </w:r>
      <w:r>
        <w:t xml:space="preserve"> 3 (April 1899). Reproduced in </w:t>
      </w:r>
      <w:r>
        <w:rPr>
          <w:i/>
        </w:rPr>
        <w:t>Victorian Prose and Poetry</w:t>
      </w:r>
      <w:r>
        <w:t xml:space="preserve">. </w:t>
      </w:r>
      <w:hyperlink r:id="rId20">
        <w:r>
          <w:rPr>
            <w:color w:val="1F4E79"/>
            <w:u w:val="single"/>
          </w:rPr>
          <w:t>https://www.saskoer.ca/victorianproseandpoetry/chapter/the-black-mans-burden-by-h-t-johnson/</w:t>
        </w:r>
      </w:hyperlink>
      <w:r>
        <w:t>.</w:t>
      </w:r>
    </w:p>
    <w:p>
      <w:pPr>
        <w:pStyle w:val="BibliographyText"/>
      </w:pPr>
      <w:r>
        <w:t xml:space="preserve">Johnson, Lyndon B. “The American Promise.” Address to Congress, March 15, 1965. LBJ Presidential Library. </w:t>
      </w:r>
      <w:hyperlink r:id="rId23">
        <w:r>
          <w:rPr>
            <w:color w:val="1F4E79"/>
            <w:u w:val="single"/>
          </w:rPr>
          <w:t>https://www.lbjlibrary.org/object/text/american-promise-speech</w:t>
        </w:r>
      </w:hyperlink>
      <w:r>
        <w:t>.</w:t>
      </w:r>
    </w:p>
    <w:p>
      <w:pPr>
        <w:pStyle w:val="BibliographyText"/>
      </w:pPr>
      <w:r>
        <w:t xml:space="preserve">———. “To Fulfill These Rights.” Commencement address at Howard University, June 4, 1965. American Presidency Project. </w:t>
      </w:r>
      <w:hyperlink r:id="rId25">
        <w:r>
          <w:rPr>
            <w:color w:val="1F4E79"/>
            <w:u w:val="single"/>
          </w:rPr>
          <w:t>https://www.presidency.ucsb.edu/documents/commencement-address-howard-university-fulfill-these-rights</w:t>
        </w:r>
      </w:hyperlink>
      <w:r>
        <w:t>.</w:t>
      </w:r>
    </w:p>
    <w:p>
      <w:pPr>
        <w:pStyle w:val="BibliographyText"/>
      </w:pPr>
      <w:r>
        <w:t xml:space="preserve">Joseph, Peniel E. </w:t>
      </w:r>
      <w:r>
        <w:rPr>
          <w:i/>
        </w:rPr>
        <w:t>The Sword and the Shield: The Revolutionary Lives of Malcolm X and Martin Luther King Jr.</w:t>
      </w:r>
      <w:r>
        <w:t xml:space="preserve"> New York: Basic Books, 2020.</w:t>
      </w:r>
    </w:p>
    <w:p>
      <w:pPr>
        <w:pStyle w:val="BibliographyText"/>
      </w:pPr>
      <w:r>
        <w:t xml:space="preserve">King, Martin Luther, Jr. “Beyond Vietnam.” April 4, 1967. Martin Luther King, Jr. Research and Education Institute, Stanford University. </w:t>
      </w:r>
      <w:hyperlink r:id="rId11">
        <w:r>
          <w:rPr>
            <w:color w:val="1F4E79"/>
            <w:u w:val="single"/>
          </w:rPr>
          <w:t>https://kinginstitute.stanford.edu/encyclopedia/beyond-vietnam</w:t>
        </w:r>
      </w:hyperlink>
      <w:r>
        <w:t>.</w:t>
      </w:r>
    </w:p>
    <w:p>
      <w:pPr>
        <w:pStyle w:val="BibliographyText"/>
      </w:pPr>
      <w:r>
        <w:t xml:space="preserve">———. “I Have a Dream.” Address at the March on Washington for Jobs and Freedom, August 28, 1963. Martin Luther King, Jr. Research and Education Institute, Stanford University. </w:t>
      </w:r>
      <w:hyperlink r:id="rId9">
        <w:r>
          <w:rPr>
            <w:color w:val="1F4E79"/>
            <w:u w:val="single"/>
          </w:rPr>
          <w:t>https://kinginstitute.stanford.edu/i-have-dream</w:t>
        </w:r>
      </w:hyperlink>
      <w:r>
        <w:t>.</w:t>
      </w:r>
    </w:p>
    <w:p>
      <w:pPr>
        <w:pStyle w:val="BibliographyText"/>
      </w:pPr>
      <w:r>
        <w:t xml:space="preserve">———. “I’ve Been to the Mountaintop.” April 3, 1968. Martin Luther King, Jr. Research and Education Institute, Stanford University. </w:t>
      </w:r>
      <w:hyperlink r:id="rId16">
        <w:r>
          <w:rPr>
            <w:color w:val="1F4E79"/>
            <w:u w:val="single"/>
          </w:rPr>
          <w:t>https://kinginstitute.stanford.edu/ive-been-mountaintop</w:t>
        </w:r>
      </w:hyperlink>
      <w:r>
        <w:t>.</w:t>
      </w:r>
    </w:p>
    <w:p>
      <w:pPr>
        <w:pStyle w:val="BibliographyText"/>
      </w:pPr>
      <w:r>
        <w:t xml:space="preserve">———. “Letter from Birmingham Jail.” April 16, 1963. Martin Luther King, Jr. Research and Education Institute, Stanford University. </w:t>
      </w:r>
      <w:hyperlink r:id="rId10">
        <w:r>
          <w:rPr>
            <w:color w:val="1F4E79"/>
            <w:u w:val="single"/>
          </w:rPr>
          <w:t>https://kinginstitute.stanford.edu/letter-birmingham-jail</w:t>
        </w:r>
      </w:hyperlink>
      <w:r>
        <w:t>.</w:t>
      </w:r>
    </w:p>
    <w:p>
      <w:pPr>
        <w:pStyle w:val="BibliographyText"/>
      </w:pPr>
      <w:r>
        <w:t xml:space="preserve">———. “The Other America.” Speech at Stanford University, April 14, 1967. </w:t>
      </w:r>
      <w:hyperlink r:id="rId14">
        <w:r>
          <w:rPr>
            <w:color w:val="1F4E79"/>
            <w:u w:val="single"/>
          </w:rPr>
          <w:t>https://files.blogs.baruch.cuny.edu/wp-content/blogs.dir/7871/files/2020/06/MLK-The-Other-America.pdf</w:t>
        </w:r>
      </w:hyperlink>
      <w:r>
        <w:t>.</w:t>
      </w:r>
    </w:p>
    <w:p>
      <w:pPr>
        <w:pStyle w:val="BibliographyText"/>
      </w:pPr>
      <w:r>
        <w:t xml:space="preserve">———. “Where Do We Go from Here?” August 16, 1967. Martin Luther King, Jr. Research and Education Institute, Stanford University. </w:t>
      </w:r>
      <w:hyperlink r:id="rId15">
        <w:r>
          <w:rPr>
            <w:color w:val="1F4E79"/>
            <w:u w:val="single"/>
          </w:rPr>
          <w:t>https://kinginstitute.stanford.edu/where-do-we-go-here</w:t>
        </w:r>
      </w:hyperlink>
      <w:r>
        <w:t>.</w:t>
      </w:r>
    </w:p>
    <w:p>
      <w:pPr>
        <w:pStyle w:val="BibliographyText"/>
      </w:pPr>
      <w:r>
        <w:t xml:space="preserve">Landauer, Rolf. “Information Is Physical.” </w:t>
      </w:r>
      <w:r>
        <w:rPr>
          <w:i/>
        </w:rPr>
        <w:t>Physics Today</w:t>
      </w:r>
      <w:r>
        <w:t xml:space="preserve"> 44, no. 5 (1991): 23–29. </w:t>
      </w:r>
      <w:hyperlink r:id="rId44">
        <w:r>
          <w:rPr>
            <w:color w:val="1F4E79"/>
            <w:u w:val="single"/>
          </w:rPr>
          <w:t>https://doi.org/10.1063/1.881299</w:t>
        </w:r>
      </w:hyperlink>
      <w:r>
        <w:t>.</w:t>
      </w:r>
    </w:p>
    <w:p>
      <w:pPr>
        <w:pStyle w:val="BibliographyText"/>
      </w:pPr>
      <w:r>
        <w:t xml:space="preserve">———. “Irreversibility and Heat Generation in the Computing Process.” </w:t>
      </w:r>
      <w:r>
        <w:rPr>
          <w:i/>
        </w:rPr>
        <w:t>IBM Journal of Research and Development</w:t>
      </w:r>
      <w:r>
        <w:t xml:space="preserve"> 5, no. 3 (1961): 183–91. </w:t>
      </w:r>
      <w:hyperlink r:id="rId43">
        <w:r>
          <w:rPr>
            <w:color w:val="1F4E79"/>
            <w:u w:val="single"/>
          </w:rPr>
          <w:t>https://doi.org/10.1147/rd.53.0183</w:t>
        </w:r>
      </w:hyperlink>
      <w:r>
        <w:t>.</w:t>
      </w:r>
    </w:p>
    <w:p>
      <w:pPr>
        <w:pStyle w:val="BibliographyText"/>
      </w:pPr>
      <w:r>
        <w:rPr>
          <w:i/>
        </w:rPr>
        <w:t>Louisiana v. Callais</w:t>
      </w:r>
      <w:r>
        <w:t>. 608 U.S. ___ (2026).</w:t>
      </w:r>
    </w:p>
    <w:p>
      <w:pPr>
        <w:pStyle w:val="BibliographyText"/>
      </w:pPr>
      <w:r>
        <w:t xml:space="preserve">Malcolm X. “The Ballot or the Bullet.” April 3, 1964. </w:t>
      </w:r>
      <w:r>
        <w:rPr>
          <w:i/>
        </w:rPr>
        <w:t>Teaching American History</w:t>
      </w:r>
      <w:r>
        <w:t xml:space="preserve">. </w:t>
      </w:r>
      <w:hyperlink r:id="rId17">
        <w:r>
          <w:rPr>
            <w:color w:val="1F4E79"/>
            <w:u w:val="single"/>
          </w:rPr>
          <w:t>https://teachingamericanhistory.org/document/the-ballot-or-the-bullet-2/</w:t>
        </w:r>
      </w:hyperlink>
      <w:r>
        <w:t>.</w:t>
      </w:r>
    </w:p>
    <w:p>
      <w:pPr>
        <w:pStyle w:val="BibliographyText"/>
      </w:pPr>
      <w:r>
        <w:t xml:space="preserve">Marable, Manning. </w:t>
      </w:r>
      <w:r>
        <w:rPr>
          <w:i/>
        </w:rPr>
        <w:t>Malcolm X: A Life of Reinvention</w:t>
      </w:r>
      <w:r>
        <w:t>. New York: Viking, 2011.</w:t>
      </w:r>
    </w:p>
    <w:p>
      <w:pPr>
        <w:pStyle w:val="BibliographyText"/>
      </w:pPr>
      <w:r>
        <w:t xml:space="preserve">Mitchell, Michele. “The Black Man’s Burden: African Americans, Imperialism, and Notions of Racial Manhood, 1890–1910.” </w:t>
      </w:r>
      <w:r>
        <w:rPr>
          <w:i/>
        </w:rPr>
        <w:t>International Review of Social History</w:t>
      </w:r>
      <w:r>
        <w:t xml:space="preserve"> 44, no. 2 (1999): 77–99. </w:t>
      </w:r>
      <w:hyperlink r:id="rId21">
        <w:r>
          <w:rPr>
            <w:color w:val="1F4E79"/>
            <w:u w:val="single"/>
          </w:rPr>
          <w:t>https://doi.org/10.1017/S0020859000115217</w:t>
        </w:r>
      </w:hyperlink>
      <w:r>
        <w:t>.</w:t>
      </w:r>
    </w:p>
    <w:p>
      <w:pPr>
        <w:pStyle w:val="BibliographyText"/>
      </w:pPr>
      <w:r>
        <w:rPr>
          <w:i/>
        </w:rPr>
        <w:t>Muldrow v. City of St. Louis</w:t>
      </w:r>
      <w:r>
        <w:t>. 601 U.S. 346 (2024).</w:t>
      </w:r>
    </w:p>
    <w:p>
      <w:pPr>
        <w:pStyle w:val="BibliographyText"/>
      </w:pPr>
      <w:r>
        <w:t xml:space="preserve">Peliti, Luca. “Path Integral Approach to Birth-Death Processes on a Lattice.” </w:t>
      </w:r>
      <w:r>
        <w:rPr>
          <w:i/>
        </w:rPr>
        <w:t>Journal de Physique</w:t>
      </w:r>
      <w:r>
        <w:t xml:space="preserve"> 46, no. 9 (1985): 1469–83. </w:t>
      </w:r>
      <w:hyperlink r:id="rId13">
        <w:r>
          <w:rPr>
            <w:color w:val="1F4E79"/>
            <w:u w:val="single"/>
          </w:rPr>
          <w:t>https://doi.org/10.1051/jphys:019850046090146900</w:t>
        </w:r>
      </w:hyperlink>
      <w:r>
        <w:t>.</w:t>
      </w:r>
    </w:p>
    <w:p>
      <w:pPr>
        <w:pStyle w:val="BibliographyText"/>
      </w:pPr>
      <w:r>
        <w:t xml:space="preserve">Pollitt, Christopher. “Institutional Amnesia: A Paradox of the ‘Information Age’?” </w:t>
      </w:r>
      <w:r>
        <w:rPr>
          <w:i/>
        </w:rPr>
        <w:t>Prometheus</w:t>
      </w:r>
      <w:r>
        <w:t xml:space="preserve"> 18, no. 1 (2000): 5–16. </w:t>
      </w:r>
      <w:hyperlink r:id="rId46">
        <w:r>
          <w:rPr>
            <w:color w:val="1F4E79"/>
            <w:u w:val="single"/>
          </w:rPr>
          <w:t>https://doi.org/10.1080/08109020050000627</w:t>
        </w:r>
      </w:hyperlink>
      <w:r>
        <w:t>.</w:t>
      </w:r>
    </w:p>
    <w:p>
      <w:pPr>
        <w:pStyle w:val="BibliographyText"/>
      </w:pPr>
      <w:r>
        <w:rPr>
          <w:i/>
        </w:rPr>
        <w:t>Shelby County v. Holder</w:t>
      </w:r>
      <w:r>
        <w:t>. 570 U.S. 529 (2013).</w:t>
      </w:r>
    </w:p>
    <w:p>
      <w:pPr>
        <w:pStyle w:val="BibliographyText"/>
      </w:pPr>
      <w:r>
        <w:rPr>
          <w:i/>
        </w:rPr>
        <w:t>Students for Fair Admissions, Inc. v. President and Fellows of Harvard College</w:t>
      </w:r>
      <w:r>
        <w:t>. 600 U.S. 181 (2023).</w:t>
      </w:r>
    </w:p>
    <w:p>
      <w:pPr>
        <w:pStyle w:val="BibliographyText"/>
      </w:pPr>
      <w:r>
        <w:t xml:space="preserve">Stavick, John. “Organizational Memory and Snap Back Performance in Public Agencies.” </w:t>
      </w:r>
      <w:r>
        <w:rPr>
          <w:i/>
        </w:rPr>
        <w:t>American Review of Public Administration</w:t>
      </w:r>
      <w:r>
        <w:t xml:space="preserve"> 55, no. 2 (2025): 175–91. </w:t>
      </w:r>
      <w:hyperlink r:id="rId48">
        <w:r>
          <w:rPr>
            <w:color w:val="1F4E79"/>
            <w:u w:val="single"/>
          </w:rPr>
          <w:t>https://doi.org/10.1177/02750740241305625</w:t>
        </w:r>
      </w:hyperlink>
      <w:r>
        <w:t>.</w:t>
      </w:r>
    </w:p>
    <w:p>
      <w:pPr>
        <w:pStyle w:val="BibliographyText"/>
      </w:pPr>
      <w:r>
        <w:t xml:space="preserve">Täuber, Uwe C., Martin Howard, and Benjamin P. Vollmayr-Lee. “Applications of Field-Theoretic Renormalization Group Methods to Reaction-Diffusion Problems.” </w:t>
      </w:r>
      <w:r>
        <w:rPr>
          <w:i/>
        </w:rPr>
        <w:t>Journal of Physics A: Mathematical and General</w:t>
      </w:r>
      <w:r>
        <w:t xml:space="preserve"> 38, no. 17 (2005): R79–R131. </w:t>
      </w:r>
      <w:hyperlink r:id="rId49">
        <w:r>
          <w:rPr>
            <w:color w:val="1F4E79"/>
            <w:u w:val="single"/>
          </w:rPr>
          <w:t>https://doi.org/10.1088/0305-4470/38/17/R01</w:t>
        </w:r>
      </w:hyperlink>
      <w:r>
        <w:t>.</w:t>
      </w:r>
    </w:p>
    <w:p>
      <w:pPr>
        <w:pStyle w:val="BibliographyText"/>
      </w:pPr>
      <w:r>
        <w:t xml:space="preserve">Trump, Donald J. “The Inaugural Address.” January 20, 2025. White House. </w:t>
      </w:r>
      <w:hyperlink r:id="rId26">
        <w:r>
          <w:rPr>
            <w:color w:val="1F4E79"/>
            <w:u w:val="single"/>
          </w:rPr>
          <w:t>https://www.whitehouse.gov/remarks/2025/01/the-inaugural-address/</w:t>
        </w:r>
      </w:hyperlink>
      <w:r>
        <w:t>.</w:t>
      </w:r>
    </w:p>
    <w:p>
      <w:pPr>
        <w:pStyle w:val="BibliographyText"/>
      </w:pPr>
      <w:r>
        <w:rPr>
          <w:i/>
        </w:rPr>
        <w:t>Trump v. Barbara</w:t>
      </w:r>
      <w:r>
        <w:t>. 609 U.S. ___ (2026).</w:t>
      </w:r>
    </w:p>
    <w:p>
      <w:pPr>
        <w:pStyle w:val="BibliographyText"/>
      </w:pPr>
      <w:r>
        <w:t xml:space="preserve">U.S. Sentencing Commission. </w:t>
      </w:r>
      <w:r>
        <w:rPr>
          <w:i/>
        </w:rPr>
        <w:t>Demographic Differences in Federal Sentencing</w:t>
      </w:r>
      <w:r>
        <w:t xml:space="preserve">. Washington, DC: U.S. Sentencing Commission, 2023. </w:t>
      </w:r>
      <w:hyperlink r:id="rId52">
        <w:r>
          <w:rPr>
            <w:color w:val="1F4E79"/>
            <w:u w:val="single"/>
          </w:rPr>
          <w:t>https://www.ussc.gov/research/research-reports/2023-demographic-differences-federal-sentencing</w:t>
        </w:r>
      </w:hyperlink>
      <w:r>
        <w:t>.</w:t>
      </w:r>
    </w:p>
    <w:p>
      <w:pPr>
        <w:pStyle w:val="BibliographyText"/>
      </w:pPr>
      <w:r>
        <w:t>Voting Rights Act of 1965. Pub. L. No. 89-110. 79 Stat. 437.</w:t>
      </w:r>
    </w:p>
    <w:sectPr w:rsidR="00FC693F" w:rsidRPr="0006063C" w:rsidSect="00034616">
      <w:headerReference w:type="default" r:id="rId53"/>
      <w:footerReference w:type="default" r:id="rId54"/>
      <w:pgSz w:w="12240" w:h="15840"/>
      <w:pgMar w:top="1224" w:right="1440" w:bottom="1224"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545454"/>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5" w:space="3" w:color="000000"/>
      </w:pBdr>
    </w:pPr>
    <w:r>
      <w:rPr>
        <w:rFonts w:ascii="Cambria" w:hAnsi="Cambria" w:eastAsia="Cambria"/>
        <w:b/>
        <w:caps/>
        <w:color w:val="545454"/>
        <w:sz w:val="16"/>
      </w:rPr>
      <w:t>CHAPTER 4: SYSTEMS OF CONTROL AND STRATEGIC ERASURE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both"/>
    </w:pPr>
    <w:rPr>
      <w:rFonts w:ascii="Cambria" w:hAnsi="Cambria" w:eastAsia="Cambr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mbria" w:hAnsi="Cambria" w:eastAsia="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jc w:val="center"/>
    </w:pPr>
    <w:rPr>
      <w:rFonts w:asciiTheme="majorHAnsi" w:eastAsiaTheme="majorEastAsia" w:hAnsiTheme="majorHAnsi" w:cstheme="majorBidi" w:ascii="Cambria" w:hAnsi="Cambria" w:eastAsia="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Text">
    <w:name w:val="Endnote Text"/>
    <w:pPr>
      <w:widowControl/>
      <w:spacing w:line="240" w:lineRule="auto" w:before="0" w:after="40"/>
      <w:ind w:left="403" w:hanging="403"/>
      <w:jc w:val="left"/>
    </w:pPr>
    <w:rPr>
      <w:rFonts w:ascii="Cambria" w:hAnsi="Cambria" w:eastAsia="Cambria"/>
      <w:color w:val="000000"/>
      <w:sz w:val="20"/>
    </w:rPr>
  </w:style>
  <w:style w:type="paragraph" w:customStyle="1" w:styleId="BibliographyText">
    <w:name w:val="Bibliography Text"/>
    <w:pPr>
      <w:widowControl/>
      <w:spacing w:line="252" w:lineRule="auto" w:before="0" w:after="120"/>
      <w:ind w:left="403" w:hanging="403"/>
      <w:jc w:val="left"/>
    </w:pPr>
    <w:rPr>
      <w:rFonts w:ascii="Cambria" w:hAnsi="Cambria" w:eastAsia="Cambria"/>
      <w:color w:val="000000"/>
      <w:sz w:val="21"/>
    </w:rPr>
  </w:style>
  <w:style w:type="paragraph" w:customStyle="1" w:styleId="EquationBlock">
    <w:name w:val="Equation Block"/>
    <w:pPr>
      <w:keepLines/>
      <w:spacing w:line="240" w:lineRule="auto" w:before="140" w:after="140"/>
      <w:jc w:val="center"/>
    </w:pPr>
    <w:rPr>
      <w:rFonts w:ascii="Cambria" w:hAnsi="Cambria" w:eastAsia="Cambria"/>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inginstitute.stanford.edu/i-have-dream" TargetMode="External"/><Relationship Id="rId10" Type="http://schemas.openxmlformats.org/officeDocument/2006/relationships/hyperlink" Target="https://kinginstitute.stanford.edu/letter-birmingham-jail" TargetMode="External"/><Relationship Id="rId11" Type="http://schemas.openxmlformats.org/officeDocument/2006/relationships/hyperlink" Target="https://kinginstitute.stanford.edu/encyclopedia/beyond-vietnam" TargetMode="External"/><Relationship Id="rId12" Type="http://schemas.openxmlformats.org/officeDocument/2006/relationships/hyperlink" Target="https://doi.org/10.1088/0305-4470/9/9/008" TargetMode="External"/><Relationship Id="rId13" Type="http://schemas.openxmlformats.org/officeDocument/2006/relationships/hyperlink" Target="https://doi.org/10.1051/jphys:019850046090146900" TargetMode="External"/><Relationship Id="rId14" Type="http://schemas.openxmlformats.org/officeDocument/2006/relationships/hyperlink" Target="https://files.blogs.baruch.cuny.edu/wp-content/blogs.dir/7871/files/2020/06/MLK-The-Other-America.pdf" TargetMode="External"/><Relationship Id="rId15" Type="http://schemas.openxmlformats.org/officeDocument/2006/relationships/hyperlink" Target="https://kinginstitute.stanford.edu/where-do-we-go-here" TargetMode="External"/><Relationship Id="rId16" Type="http://schemas.openxmlformats.org/officeDocument/2006/relationships/hyperlink" Target="https://kinginstitute.stanford.edu/ive-been-mountaintop" TargetMode="External"/><Relationship Id="rId17" Type="http://schemas.openxmlformats.org/officeDocument/2006/relationships/hyperlink" Target="https://teachingamericanhistory.org/document/the-ballot-or-the-bullet-2/" TargetMode="External"/><Relationship Id="rId18" Type="http://schemas.openxmlformats.org/officeDocument/2006/relationships/hyperlink" Target="https://www.international.ucla.edu/africa/mgpp/sample03" TargetMode="External"/><Relationship Id="rId19" Type="http://schemas.openxmlformats.org/officeDocument/2006/relationships/hyperlink" Target="https://www.international.ucla.edu/africa/mgpp/lifesamp" TargetMode="External"/><Relationship Id="rId20" Type="http://schemas.openxmlformats.org/officeDocument/2006/relationships/hyperlink" Target="https://www.saskoer.ca/victorianproseandpoetry/chapter/the-black-mans-burden-by-h-t-johnson/" TargetMode="External"/><Relationship Id="rId21" Type="http://schemas.openxmlformats.org/officeDocument/2006/relationships/hyperlink" Target="https://doi.org/10.1017/S0020859000115217" TargetMode="External"/><Relationship Id="rId22" Type="http://schemas.openxmlformats.org/officeDocument/2006/relationships/hyperlink" Target="https://www.archives.gov/milestone-documents/civil-rights-act" TargetMode="External"/><Relationship Id="rId23" Type="http://schemas.openxmlformats.org/officeDocument/2006/relationships/hyperlink" Target="https://www.lbjlibrary.org/object/text/american-promise-speech" TargetMode="External"/><Relationship Id="rId24" Type="http://schemas.openxmlformats.org/officeDocument/2006/relationships/hyperlink" Target="https://www.archives.gov/milestone-documents/voting-rights-act" TargetMode="External"/><Relationship Id="rId25" Type="http://schemas.openxmlformats.org/officeDocument/2006/relationships/hyperlink" Target="https://www.presidency.ucsb.edu/documents/commencement-address-howard-university-fulfill-these-rights" TargetMode="External"/><Relationship Id="rId26" Type="http://schemas.openxmlformats.org/officeDocument/2006/relationships/hyperlink" Target="https://www.whitehouse.gov/remarks/2025/01/the-inaugural-address/" TargetMode="External"/><Relationship Id="rId27" Type="http://schemas.openxmlformats.org/officeDocument/2006/relationships/hyperlink" Target="https://www.whitehouse.gov/presidential-actions/2025/01/ending-illegal-discrimination-and-restoring-merit-based-opportunity/" TargetMode="External"/><Relationship Id="rId28" Type="http://schemas.openxmlformats.org/officeDocument/2006/relationships/hyperlink" Target="https://www.whitehouse.gov/presidential-actions/2025/01/ending-radical-and-wasteful-government-dei-programs-and-preferencing/" TargetMode="External"/><Relationship Id="rId29" Type="http://schemas.openxmlformats.org/officeDocument/2006/relationships/hyperlink" Target="https://www.whitehouse.gov/presidential-actions/2025/04/restoring-equality-of-opportunity-and-meritocracy/" TargetMode="External"/><Relationship Id="rId30" Type="http://schemas.openxmlformats.org/officeDocument/2006/relationships/hyperlink" Target="https://www.whitehouse.gov/presidential-actions/2025/03/restoring-truth-and-sanity-to-american-history/" TargetMode="External"/><Relationship Id="rId31" Type="http://schemas.openxmlformats.org/officeDocument/2006/relationships/hyperlink" Target="https://www.whitehouse.gov/presidential-actions/2026/07/restoring-trust-in-the-smithsonian-institution-e061/" TargetMode="External"/><Relationship Id="rId32" Type="http://schemas.openxmlformats.org/officeDocument/2006/relationships/hyperlink" Target="https://www.whitehouse.gov/presidential-actions/2026/01/martin-luther-king-jr-federal-holiday-2026/" TargetMode="External"/><Relationship Id="rId33" Type="http://schemas.openxmlformats.org/officeDocument/2006/relationships/hyperlink" Target="https://tile.loc.gov/storage-services/service/ll/usrep/usrep570/usrep570529/usrep570529.pdf" TargetMode="External"/><Relationship Id="rId34" Type="http://schemas.openxmlformats.org/officeDocument/2006/relationships/hyperlink" Target="https://www.supremecourt.gov/opinions/20pdf/19-1257_g204.pdf" TargetMode="External"/><Relationship Id="rId35" Type="http://schemas.openxmlformats.org/officeDocument/2006/relationships/hyperlink" Target="https://www.supremecourt.gov/opinions/22pdf/21-1086_1co6.pdf" TargetMode="External"/><Relationship Id="rId36" Type="http://schemas.openxmlformats.org/officeDocument/2006/relationships/hyperlink" Target="https://www.supremecourt.gov/Opinions/22pdf/20-1199_Hgdj.Pdf" TargetMode="External"/><Relationship Id="rId37" Type="http://schemas.openxmlformats.org/officeDocument/2006/relationships/hyperlink" Target="https://www.law.cornell.edu/supremecourt/text/22-807" TargetMode="External"/><Relationship Id="rId38" Type="http://schemas.openxmlformats.org/officeDocument/2006/relationships/hyperlink" Target="https://www.law.cornell.edu/supremecourt/text/22-193" TargetMode="External"/><Relationship Id="rId39" Type="http://schemas.openxmlformats.org/officeDocument/2006/relationships/hyperlink" Target="https://www.supremecourt.gov/opinions/24pdf/605us1r39_kkg1.pdf" TargetMode="External"/><Relationship Id="rId40" Type="http://schemas.openxmlformats.org/officeDocument/2006/relationships/hyperlink" Target="https://www.supremecourt.gov/opinions/25pdf/24-109_21o3.pdf" TargetMode="External"/><Relationship Id="rId41" Type="http://schemas.openxmlformats.org/officeDocument/2006/relationships/hyperlink" Target="https://www.supremecourt.gov/opinions/25pdf/25-243_f20h.pdf" TargetMode="External"/><Relationship Id="rId42" Type="http://schemas.openxmlformats.org/officeDocument/2006/relationships/hyperlink" Target="https://www.supremecourt.gov/opinions/25pdf/25-365_4hdj.pdf" TargetMode="External"/><Relationship Id="rId43" Type="http://schemas.openxmlformats.org/officeDocument/2006/relationships/hyperlink" Target="https://doi.org/10.1147/rd.53.0183" TargetMode="External"/><Relationship Id="rId44" Type="http://schemas.openxmlformats.org/officeDocument/2006/relationships/hyperlink" Target="https://doi.org/10.1063/1.881299" TargetMode="External"/><Relationship Id="rId45" Type="http://schemas.openxmlformats.org/officeDocument/2006/relationships/hyperlink" Target="https://doi.org/10.1038/nature10872" TargetMode="External"/><Relationship Id="rId46" Type="http://schemas.openxmlformats.org/officeDocument/2006/relationships/hyperlink" Target="https://doi.org/10.1080/08109020050000627" TargetMode="External"/><Relationship Id="rId47" Type="http://schemas.openxmlformats.org/officeDocument/2006/relationships/hyperlink" Target="https://doi.org/10.1287/mnsc.1040.0273" TargetMode="External"/><Relationship Id="rId48" Type="http://schemas.openxmlformats.org/officeDocument/2006/relationships/hyperlink" Target="https://doi.org/10.1177/02750740241305625" TargetMode="External"/><Relationship Id="rId49" Type="http://schemas.openxmlformats.org/officeDocument/2006/relationships/hyperlink" Target="https://doi.org/10.1088/0305-4470/38/17/R01" TargetMode="External"/><Relationship Id="rId50" Type="http://schemas.openxmlformats.org/officeDocument/2006/relationships/hyperlink" Target="https://www.federalreserve.gov/econres/notes/feds-notes/greater-wealth-greater-uncertainty-changes-in-racial-inequality-in-the-survey-of-consumer-finances-20231018.htm" TargetMode="External"/><Relationship Id="rId51" Type="http://schemas.openxmlformats.org/officeDocument/2006/relationships/hyperlink" Target="https://www.cdc.gov/nchs/data/hestat/hestat113.htm" TargetMode="External"/><Relationship Id="rId52" Type="http://schemas.openxmlformats.org/officeDocument/2006/relationships/hyperlink" Target="https://www.ussc.gov/research/research-reports/2023-demographic-differences-federal-sentencing" TargetMode="External"/><Relationship Id="rId53" Type="http://schemas.openxmlformats.org/officeDocument/2006/relationships/header" Target="header1.xml"/><Relationship Id="rId54" Type="http://schemas.openxmlformats.org/officeDocument/2006/relationships/footer" Target="footer1.xml"/><Relationship Id="rId55" Type="http://schemas.openxmlformats.org/officeDocument/2006/relationships/header" Target="header2.xml"/><Relationship Id="rId5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Words of Dr. Martin Luther King Jr. Resonate Today as They Did in the 1960s</dc:title>
  <dc:subject>Institutional erasure, civil-rights rhetoric, and a Landauer/Doi–Peliti model of social erosion</dc:subject>
  <dc:creator>Ronald J. Botelho</dc:creator>
  <cp:keywords>Martin Luther King Jr.; Malcolm X; Marcus Garvey; Civil Rights Act; Voting Rights Act; institutional erasure; Landauer; Doi–Peliti</cp:keywords>
  <dc:description>generated by python-docx</dc:description>
  <cp:lastModifiedBy/>
  <cp:revision>1</cp:revision>
  <dcterms:created xsi:type="dcterms:W3CDTF">2013-12-23T23:15:00Z</dcterms:created>
  <dcterms:modified xsi:type="dcterms:W3CDTF">2013-12-23T23:15:00Z</dcterms:modified>
  <cp:category/>
</cp:coreProperties>
</file>