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__RefHeading___Toc2077_3305361968"/>
      <w:bookmarkStart w:id="1" w:name="X0fdad1fc3d881779838145f1a4ac37881be7999"/>
      <w:bookmarkStart w:id="2" w:name="content"/>
      <w:bookmarkEnd w:id="0"/>
      <w:r>
        <w:rPr/>
        <w:t>ODD Model Description of the SpaDES Anthropogenic Disturbance Simulation</w:t>
      </w:r>
    </w:p>
    <w:p>
      <w:pPr>
        <w:pStyle w:val="BodyText"/>
        <w:spacing w:before="360" w:after="80"/>
        <w:rPr/>
      </w:pPr>
      <w:r>
        <w:rPr/>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2077_3305361968" w:tooltip="ODD Model Description of the SpaDES Anthropogenic Disturbance Simulation">
            <w:r>
              <w:rPr>
                <w:rStyle w:val="IndexLink"/>
              </w:rPr>
              <w:t>ODD Model Description of the SpaDES Anthropogenic Disturbance Simulation</w:t>
              <w:tab/>
              <w:t>1</w:t>
            </w:r>
          </w:hyperlink>
        </w:p>
        <w:p>
          <w:pPr>
            <w:pStyle w:val="TOC2"/>
            <w:tabs>
              <w:tab w:val="clear" w:pos="9077"/>
              <w:tab w:val="right" w:pos="9359" w:leader="dot"/>
            </w:tabs>
            <w:rPr/>
          </w:pPr>
          <w:hyperlink w:anchor="__RefHeading___Toc2079_3305361968" w:tooltip="1. Purpose and Patterns">
            <w:r>
              <w:rPr>
                <w:rStyle w:val="IndexLink"/>
              </w:rPr>
              <w:t>1. Purpose and Patterns</w:t>
              <w:tab/>
              <w:t>1</w:t>
            </w:r>
          </w:hyperlink>
        </w:p>
        <w:p>
          <w:pPr>
            <w:pStyle w:val="TOC2"/>
            <w:tabs>
              <w:tab w:val="clear" w:pos="9077"/>
              <w:tab w:val="right" w:pos="9359" w:leader="dot"/>
            </w:tabs>
            <w:rPr/>
          </w:pPr>
          <w:hyperlink w:anchor="__RefHeading___Toc2081_3305361968" w:tooltip="2. Entities, State Variables, and Scales">
            <w:r>
              <w:rPr>
                <w:rStyle w:val="IndexLink"/>
              </w:rPr>
              <w:t>2. Entities, State Variables, and Scales</w:t>
              <w:tab/>
              <w:t>2</w:t>
            </w:r>
          </w:hyperlink>
        </w:p>
        <w:p>
          <w:pPr>
            <w:pStyle w:val="TOC2"/>
            <w:tabs>
              <w:tab w:val="clear" w:pos="9077"/>
              <w:tab w:val="right" w:pos="9359" w:leader="dot"/>
            </w:tabs>
            <w:rPr/>
          </w:pPr>
          <w:hyperlink w:anchor="__RefHeading___Toc2083_3305361968" w:tooltip="3. Process Overview and Scheduling">
            <w:r>
              <w:rPr>
                <w:rStyle w:val="IndexLink"/>
              </w:rPr>
              <w:t>3. Process Overview and Scheduling</w:t>
              <w:tab/>
              <w:t>4</w:t>
            </w:r>
          </w:hyperlink>
        </w:p>
        <w:p>
          <w:pPr>
            <w:pStyle w:val="TOC2"/>
            <w:tabs>
              <w:tab w:val="clear" w:pos="9077"/>
              <w:tab w:val="right" w:pos="9359" w:leader="dot"/>
            </w:tabs>
            <w:rPr/>
          </w:pPr>
          <w:hyperlink w:anchor="__RefHeading___Toc2085_3305361968" w:tooltip="4. Design Concepts">
            <w:r>
              <w:rPr>
                <w:rStyle w:val="IndexLink"/>
              </w:rPr>
              <w:t>4. Design Concepts</w:t>
              <w:tab/>
              <w:t>6</w:t>
            </w:r>
          </w:hyperlink>
        </w:p>
        <w:p>
          <w:pPr>
            <w:pStyle w:val="TOC2"/>
            <w:tabs>
              <w:tab w:val="clear" w:pos="9077"/>
              <w:tab w:val="right" w:pos="9359" w:leader="dot"/>
            </w:tabs>
            <w:rPr/>
          </w:pPr>
          <w:hyperlink w:anchor="__RefHeading___Toc2087_3305361968" w:tooltip="5. Initialization">
            <w:r>
              <w:rPr>
                <w:rStyle w:val="IndexLink"/>
              </w:rPr>
              <w:t>5. Initialization</w:t>
              <w:tab/>
              <w:t>9</w:t>
            </w:r>
          </w:hyperlink>
        </w:p>
        <w:p>
          <w:pPr>
            <w:pStyle w:val="TOC2"/>
            <w:tabs>
              <w:tab w:val="clear" w:pos="9077"/>
              <w:tab w:val="right" w:pos="9359" w:leader="dot"/>
            </w:tabs>
            <w:rPr/>
          </w:pPr>
          <w:hyperlink w:anchor="__RefHeading___Toc2089_3305361968" w:tooltip="6. Input Data">
            <w:r>
              <w:rPr>
                <w:rStyle w:val="IndexLink"/>
              </w:rPr>
              <w:t>6. Input Data</w:t>
              <w:tab/>
              <w:t>11</w:t>
            </w:r>
          </w:hyperlink>
        </w:p>
        <w:p>
          <w:pPr>
            <w:pStyle w:val="TOC2"/>
            <w:tabs>
              <w:tab w:val="clear" w:pos="9077"/>
              <w:tab w:val="right" w:pos="9359" w:leader="dot"/>
            </w:tabs>
            <w:rPr/>
          </w:pPr>
          <w:hyperlink w:anchor="__RefHeading___Toc2091_3305361968" w:tooltip="7. Submodels">
            <w:r>
              <w:rPr>
                <w:rStyle w:val="IndexLink"/>
              </w:rPr>
              <w:t>7. Submodels</w:t>
              <w:tab/>
              <w:t>16</w:t>
            </w:r>
          </w:hyperlink>
        </w:p>
        <w:p>
          <w:pPr>
            <w:pStyle w:val="TOC3"/>
            <w:tabs>
              <w:tab w:val="clear" w:pos="8793"/>
              <w:tab w:val="right" w:pos="9359" w:leader="dot"/>
            </w:tabs>
            <w:rPr/>
          </w:pPr>
          <w:hyperlink w:anchor="__RefHeading___Toc2093_3305361968" w:tooltip="7.1 Data Harmonization (Disturbance Data Prep)">
            <w:r>
              <w:rPr>
                <w:rStyle w:val="IndexLink"/>
              </w:rPr>
              <w:t>7.1 Data Harmonization (Disturbance Data Prep)</w:t>
              <w:tab/>
              <w:t>16</w:t>
            </w:r>
          </w:hyperlink>
        </w:p>
        <w:p>
          <w:pPr>
            <w:pStyle w:val="TOC3"/>
            <w:tabs>
              <w:tab w:val="clear" w:pos="8793"/>
              <w:tab w:val="right" w:pos="9359" w:leader="dot"/>
            </w:tabs>
            <w:rPr/>
          </w:pPr>
          <w:hyperlink w:anchor="__RefHeading___Toc2095_3305361968" w:tooltip="7.2 Potential Resource Layer Combination (Idiosyncratic Data Prep)">
            <w:r>
              <w:rPr>
                <w:rStyle w:val="IndexLink"/>
              </w:rPr>
              <w:t>7.2 Potential Resource Layer Combination (Idiosyncratic Data Prep)</w:t>
              <w:tab/>
              <w:t>18</w:t>
            </w:r>
          </w:hyperlink>
        </w:p>
        <w:p>
          <w:pPr>
            <w:pStyle w:val="TOC3"/>
            <w:tabs>
              <w:tab w:val="clear" w:pos="8793"/>
              <w:tab w:val="right" w:pos="9359" w:leader="dot"/>
            </w:tabs>
            <w:rPr/>
          </w:pPr>
          <w:hyperlink w:anchor="__RefHeading___Toc2097_3305361968" w:tooltip="7.3 Disturbance Parameter Calculations">
            <w:r>
              <w:rPr>
                <w:rStyle w:val="IndexLink"/>
              </w:rPr>
              <w:t>7.3 Disturbance Parameter Calculations</w:t>
              <w:tab/>
              <w:t>20</w:t>
            </w:r>
          </w:hyperlink>
        </w:p>
        <w:p>
          <w:pPr>
            <w:pStyle w:val="TOC3"/>
            <w:tabs>
              <w:tab w:val="clear" w:pos="8793"/>
              <w:tab w:val="right" w:pos="9359" w:leader="dot"/>
            </w:tabs>
            <w:rPr/>
          </w:pPr>
          <w:hyperlink w:anchor="__RefHeading___Toc2099_3305361968" w:tooltip="7.4 Disturbance Generation Dynamics">
            <w:r>
              <w:rPr>
                <w:rStyle w:val="IndexLink"/>
              </w:rPr>
              <w:t>7.4 Disturbance Generation Dynamics</w:t>
              <w:tab/>
              <w:t>24</w:t>
            </w:r>
          </w:hyperlink>
        </w:p>
        <w:p>
          <w:pPr>
            <w:pStyle w:val="TOC3"/>
            <w:tabs>
              <w:tab w:val="clear" w:pos="8793"/>
              <w:tab w:val="right" w:pos="9359" w:leader="dot"/>
            </w:tabs>
            <w:rPr/>
          </w:pPr>
          <w:hyperlink w:anchor="__RefHeading___Toc2101_3305361968" w:tooltip="7.5 State Update and Outputs">
            <w:r>
              <w:rPr>
                <w:rStyle w:val="IndexLink"/>
              </w:rPr>
              <w:t>7.5 State Update and Outputs</w:t>
              <w:tab/>
              <w:t>29</w:t>
            </w:r>
          </w:hyperlink>
          <w:r>
            <w:rPr>
              <w:rStyle w:val="IndexLink"/>
            </w:rPr>
            <w:fldChar w:fldCharType="end"/>
          </w:r>
        </w:p>
      </w:sdtContent>
    </w:sdt>
    <w:p>
      <w:pPr>
        <w:pStyle w:val="Heading2"/>
        <w:rPr/>
      </w:pPr>
      <w:r>
        <w:rPr/>
      </w:r>
    </w:p>
    <w:p>
      <w:pPr>
        <w:pStyle w:val="Heading2"/>
        <w:rPr/>
      </w:pPr>
      <w:bookmarkStart w:id="3" w:name="__RefHeading___Toc2079_3305361968"/>
      <w:bookmarkStart w:id="4" w:name="purpose-and-patterns"/>
      <w:bookmarkEnd w:id="3"/>
      <w:r>
        <w:rPr/>
        <w:t>1. Purpose and Patterns</w:t>
      </w:r>
    </w:p>
    <w:p>
      <w:pPr>
        <w:pStyle w:val="FirstParagraph"/>
        <w:rPr/>
      </w:pPr>
      <w:r>
        <w:rPr>
          <w:b/>
          <w:bCs/>
        </w:rPr>
        <w:t>Purpose:</w:t>
      </w:r>
      <w:r>
        <w:rPr/>
        <w:t xml:space="preserve"> The model simulates the spatiotemporal expansion of anthropogenic disturbances (e.g. settlements, roads, forestry cutblocks, mines, oil/gas wells) in a northern landscape, using a modular </w:t>
      </w:r>
      <w:r>
        <w:rPr>
          <w:b/>
          <w:bCs/>
        </w:rPr>
        <w:t>SpaDES</w:t>
      </w:r>
      <w:r>
        <w:rPr/>
        <w:t xml:space="preserve"> framework. It is intended primarily for the Northwest Territories (Canada) boreal region, in support of ecological studies (e.g. boreal caribou habitat scenarios), but the structure is generalizable to other regions given appropriate inputs. The simulation provides a </w:t>
      </w:r>
      <w:r>
        <w:rPr>
          <w:b/>
          <w:bCs/>
        </w:rPr>
        <w:t>scenario tool</w:t>
      </w:r>
      <w:r>
        <w:rPr/>
        <w:t xml:space="preserve"> to project future human footprint under different assumptions, ensuring that the model’s behavior reproduces real-world patterns of disturbance growth and arrangement as closely as possible.</w:t>
      </w:r>
    </w:p>
    <w:p>
      <w:pPr>
        <w:pStyle w:val="BodyText"/>
        <w:rPr/>
      </w:pPr>
      <w:r>
        <w:rPr>
          <w:b/>
          <w:bCs/>
        </w:rPr>
        <w:t>Target Patterns:</w:t>
      </w:r>
      <w:r>
        <w:rPr/>
        <w:t xml:space="preserve"> Following Grimm et al. (2020), we identify key spatial and temporal patterns from data to evaluate model realism. First, the model is calibrated to match observed </w:t>
      </w:r>
      <w:r>
        <w:rPr>
          <w:b/>
          <w:bCs/>
        </w:rPr>
        <w:t>rates of new disturbance</w:t>
      </w:r>
      <w:r>
        <w:rPr/>
        <w:t xml:space="preserve">: for example, known increases in total disturbed area between 2010 and 2015 (from Environment Canada’s national anthropogenic footprint maps) inform the annual disturbance percentages for each sector. A broadly used guideline - no more than ~0.2% of the area newly disturbed per year for caribou ranges - is also considered as a reference pattern. Second, the model reproduces </w:t>
      </w:r>
      <w:r>
        <w:rPr>
          <w:b/>
          <w:bCs/>
        </w:rPr>
        <w:t>spatial clustering patterns</w:t>
      </w:r>
      <w:r>
        <w:rPr/>
        <w:t xml:space="preserve"> of linear disturbances: real seismic lines often form grid-like clusters, so the model characterizes line networks in the input data and uses those patterns (e.g. typical line length, spacing, and angular alignments) to generate new lines with similar geometry. In general, each disturbance type’s simulated behavior is grounded in empirical patterns (e.g. the tendency of new mines to appear in the highest mineral potential areas, or new roads to extend existing road networks) which serve as design criteria for the model’s rules.</w:t>
      </w:r>
      <w:bookmarkEnd w:id="4"/>
    </w:p>
    <w:p>
      <w:pPr>
        <w:pStyle w:val="Heading2"/>
        <w:rPr/>
      </w:pPr>
      <w:r>
        <w:rPr/>
      </w:r>
    </w:p>
    <w:p>
      <w:pPr>
        <w:pStyle w:val="Heading2"/>
        <w:rPr/>
      </w:pPr>
      <w:bookmarkStart w:id="5" w:name="__RefHeading___Toc2081_3305361968"/>
      <w:bookmarkStart w:id="6" w:name="entities-state-variables-and-scales"/>
      <w:bookmarkEnd w:id="5"/>
      <w:r>
        <w:rPr/>
        <w:t>2. Entities, State Variables, and Scales</w:t>
      </w:r>
    </w:p>
    <w:p>
      <w:pPr>
        <w:pStyle w:val="FirstParagraph"/>
        <w:rPr/>
      </w:pPr>
      <w:r>
        <w:rPr>
          <w:b/>
          <w:bCs/>
        </w:rPr>
        <w:t>Entities and State Variables:</w:t>
      </w:r>
      <w:r>
        <w:rPr/>
        <w:t xml:space="preserve"> The model represents a </w:t>
      </w:r>
      <w:r>
        <w:rPr>
          <w:b/>
          <w:bCs/>
        </w:rPr>
        <w:t>spatially explicit environment</w:t>
      </w:r>
      <w:r>
        <w:rPr/>
        <w:t xml:space="preserve"> and various disturbance features within it. Key entity types include:</w:t>
      </w:r>
    </w:p>
    <w:p>
      <w:pPr>
        <w:pStyle w:val="Normal"/>
        <w:numPr>
          <w:ilvl w:val="0"/>
          <w:numId w:val="2"/>
        </w:numPr>
        <w:rPr/>
      </w:pPr>
      <w:r>
        <w:rPr>
          <w:b/>
          <w:bCs/>
        </w:rPr>
        <w:t>Landscape grid (environment):</w:t>
      </w:r>
      <w:r>
        <w:rPr/>
        <w:t xml:space="preserve"> The study area is defined by a polygon and a matching raster grid (e.g. 250 m resolution) that all spatial data align to. This provides the spatial extent (e.g. the NT1 caribou range plus adjacent region) and resolution for the simulation. State variables for the environment include the total area (used to compute disturbance percentages) and spatial masks like a Digital Elevation Model or water bodies (optional inputs to constrain development). Time is modeled in discrete </w:t>
      </w:r>
      <w:r>
        <w:rPr>
          <w:b/>
          <w:bCs/>
        </w:rPr>
        <w:t>year</w:t>
      </w:r>
      <w:r>
        <w:rPr/>
        <w:t xml:space="preserve"> steps; by default the simulation starts at year 2011 (the last year with “current” data) and runs to a chosen end year (e.g. 2050), with events typically scheduled at multi-year intervals (see scheduling below).</w:t>
      </w:r>
    </w:p>
    <w:p>
      <w:pPr>
        <w:pStyle w:val="Normal"/>
        <w:numPr>
          <w:ilvl w:val="0"/>
          <w:numId w:val="2"/>
        </w:numPr>
        <w:rPr/>
      </w:pPr>
      <w:r>
        <w:rPr>
          <w:b/>
          <w:bCs/>
        </w:rPr>
        <w:t>Disturbance classes (by sector/type):</w:t>
      </w:r>
      <w:r>
        <w:rPr/>
        <w:t xml:space="preserve"> Each type of anthropogenic disturbance is an entity characterized by its spatial layer of current disturbances. Disturbance classes correspond to industries or feature types (e.g. </w:t>
      </w:r>
      <w:r>
        <w:rPr>
          <w:b/>
          <w:bCs/>
        </w:rPr>
        <w:t>Settlements</w:t>
      </w:r>
      <w:r>
        <w:rPr/>
        <w:t xml:space="preserve">, </w:t>
      </w:r>
      <w:r>
        <w:rPr>
          <w:b/>
          <w:bCs/>
        </w:rPr>
        <w:t>Forestry cutblocks</w:t>
      </w:r>
      <w:r>
        <w:rPr/>
        <w:t xml:space="preserve">, </w:t>
      </w:r>
      <w:r>
        <w:rPr>
          <w:b/>
          <w:bCs/>
        </w:rPr>
        <w:t>Mines</w:t>
      </w:r>
      <w:r>
        <w:rPr/>
        <w:t xml:space="preserve">, </w:t>
      </w:r>
      <w:r>
        <w:rPr>
          <w:b/>
          <w:bCs/>
        </w:rPr>
        <w:t>Wind turbines</w:t>
      </w:r>
      <w:r>
        <w:rPr/>
        <w:t xml:space="preserve">, </w:t>
      </w:r>
      <w:r>
        <w:rPr>
          <w:b/>
          <w:bCs/>
        </w:rPr>
        <w:t>Roads</w:t>
      </w:r>
      <w:r>
        <w:rPr/>
        <w:t xml:space="preserve">, </w:t>
      </w:r>
      <w:r>
        <w:rPr>
          <w:b/>
          <w:bCs/>
        </w:rPr>
        <w:t>Pipelines</w:t>
      </w:r>
      <w:r>
        <w:rPr/>
        <w:t xml:space="preserve">, </w:t>
      </w:r>
      <w:r>
        <w:rPr>
          <w:b/>
          <w:bCs/>
        </w:rPr>
        <w:t>Seismic lines</w:t>
      </w:r>
      <w:r>
        <w:rPr/>
        <w:t xml:space="preserve">, etc.), matching the categories in the input metadata. For each class, the model tracks a spatial object (polygon or line features, or raster) representing all currently disturbed areas of that type. These layers are organized in a nested list structure by sector and disturbance type (after initial data prep). Important state variables for each disturbance class include its total disturbed area and attributes like feature geometry. Some classes have associated </w:t>
      </w:r>
      <w:r>
        <w:rPr>
          <w:b/>
          <w:bCs/>
        </w:rPr>
        <w:t>“potential” layers</w:t>
      </w:r>
      <w:r>
        <w:rPr/>
        <w:t xml:space="preserve"> (see below) that indicate where new disturbances of that type </w:t>
      </w:r>
      <w:r>
        <w:rPr>
          <w:i/>
          <w:iCs/>
        </w:rPr>
        <w:t>could</w:t>
      </w:r>
      <w:r>
        <w:rPr/>
        <w:t xml:space="preserve"> occur.</w:t>
      </w:r>
    </w:p>
    <w:p>
      <w:pPr>
        <w:pStyle w:val="Normal"/>
        <w:numPr>
          <w:ilvl w:val="0"/>
          <w:numId w:val="2"/>
        </w:numPr>
        <w:rPr/>
      </w:pPr>
      <w:r>
        <w:rPr>
          <w:b/>
          <w:bCs/>
        </w:rPr>
        <w:t>Potential development layers:</w:t>
      </w:r>
      <w:r>
        <w:rPr/>
        <w:t xml:space="preserve"> For disturbance types that involve future expansion into currently undeveloped areas, the model uses separate “potential” spatial layers. These are typically continuous rasters or spatial datasets indicating resource potential or suitability (e.g. an oil/gas prospectivity map, or locations of active mineral claims and permits). High values in a potential layer denote places more likely to witness new development. Each potential layer is associated with a disturbance class of type “Generating” or “Connecting” (explained under processes), and is used by the model’s rules to stochastically site new disturbances. In the simulation state, potential layers are part of the </w:t>
      </w:r>
      <w:r>
        <w:rPr>
          <w:rStyle w:val="VerbatimChar"/>
        </w:rPr>
        <w:t>disturbanceList</w:t>
      </w:r>
      <w:r>
        <w:rPr/>
        <w:t xml:space="preserve"> structure alongside current disturbance layers. For example, the class </w:t>
      </w:r>
      <w:r>
        <w:rPr>
          <w:b/>
          <w:bCs/>
        </w:rPr>
        <w:t>“potentialOilGas”</w:t>
      </w:r>
      <w:r>
        <w:rPr/>
        <w:t xml:space="preserve"> is a raster of favorability for oil or gas wells (integrating geological data and current exploration lease areas), and </w:t>
      </w:r>
      <w:r>
        <w:rPr>
          <w:b/>
          <w:bCs/>
        </w:rPr>
        <w:t>“potentialMining”</w:t>
      </w:r>
      <w:r>
        <w:rPr/>
        <w:t xml:space="preserve"> combines mineral claim data to rank areas for possible mines.</w:t>
      </w:r>
    </w:p>
    <w:p>
      <w:pPr>
        <w:pStyle w:val="Normal"/>
        <w:numPr>
          <w:ilvl w:val="0"/>
          <w:numId w:val="2"/>
        </w:numPr>
        <w:rPr/>
      </w:pPr>
      <w:r>
        <w:rPr>
          <w:b/>
          <w:bCs/>
        </w:rPr>
        <w:t>Disturbance parameters:</w:t>
      </w:r>
      <w:r>
        <w:rPr/>
        <w:t xml:space="preserve"> A global table </w:t>
      </w:r>
      <w:r>
        <w:rPr>
          <w:rStyle w:val="VerbatimChar"/>
        </w:rPr>
        <w:t>disturbanceParameters</w:t>
      </w:r>
      <w:r>
        <w:rPr/>
        <w:t xml:space="preserve"> defines model parameters per disturbance class. Each row corresponds to a disturbance type and contains fields such as </w:t>
      </w:r>
      <w:r>
        <w:rPr>
          <w:rStyle w:val="VerbatimChar"/>
        </w:rPr>
        <w:t>disturbanceType</w:t>
      </w:r>
      <w:r>
        <w:rPr/>
        <w:t xml:space="preserve"> (categorical: “Enlarging”, “Generating”, or “Connecting”), </w:t>
      </w:r>
      <w:r>
        <w:rPr>
          <w:rStyle w:val="VerbatimChar"/>
        </w:rPr>
        <w:t>disturbanceOrigin</w:t>
      </w:r>
      <w:r>
        <w:rPr/>
        <w:t xml:space="preserve"> (geometry type or origin category), expected </w:t>
      </w:r>
      <w:r>
        <w:rPr>
          <w:rStyle w:val="VerbatimChar"/>
        </w:rPr>
        <w:t>disturbanceRate</w:t>
      </w:r>
      <w:r>
        <w:rPr/>
        <w:t xml:space="preserve"> (annual fraction of area disturbed, or number of features per year), typical </w:t>
      </w:r>
      <w:r>
        <w:rPr>
          <w:rStyle w:val="VerbatimChar"/>
        </w:rPr>
        <w:t>disturbanceSize</w:t>
      </w:r>
      <w:r>
        <w:rPr/>
        <w:t xml:space="preserve"> (size of new disturbance features), </w:t>
      </w:r>
      <w:r>
        <w:rPr>
          <w:rStyle w:val="VerbatimChar"/>
        </w:rPr>
        <w:t>disturbanceInterval</w:t>
      </w:r>
      <w:r>
        <w:rPr/>
        <w:t xml:space="preserve"> (frequency of disturbance events in years), and other process-specific flags</w:t>
      </w:r>
      <w:hyperlink r:id="rId2">
        <w:r>
          <w:rPr/>
          <w:t>. These act as state variables defining the behavior of each disturbance type. Some values in this table are initialized from data or expert input, while others are calculated during the simulation’s initialization (see Submodels).</w:t>
        </w:r>
      </w:hyperlink>
    </w:p>
    <w:p>
      <w:pPr>
        <w:pStyle w:val="FirstParagraph"/>
        <w:rPr/>
      </w:pPr>
      <w:r>
        <w:rPr>
          <w:b/>
          <w:bCs/>
        </w:rPr>
        <w:t>Scales:</w:t>
      </w:r>
      <w:r>
        <w:rPr/>
        <w:t xml:space="preserve"> </w:t>
      </w:r>
      <w:r>
        <w:rPr>
          <w:b/>
          <w:bCs/>
        </w:rPr>
        <w:t>Spatially</w:t>
      </w:r>
      <w:r>
        <w:rPr/>
        <w:t xml:space="preserve">, the model operates on the scale of the entire study region divided into grid cells of </w:t>
      </w:r>
      <w:r>
        <w:rPr/>
        <w:t>250</w:t>
      </w:r>
      <w:r>
        <w:rPr/>
        <w:t xml:space="preserve"> m (or another resolution) - fine enough to represent individual disturbance features (e.g. a well pad or road segment covers multiple </w:t>
      </w:r>
      <w:r>
        <w:rPr/>
        <w:t>250</w:t>
      </w:r>
      <w:r>
        <w:rPr/>
        <w:t xml:space="preserve"> m cells). All spatial operations (overlap, buffering, etc.) respect a common coordinate reference system and resolution given by the </w:t>
      </w:r>
      <w:r>
        <w:rPr>
          <w:rStyle w:val="VerbatimChar"/>
        </w:rPr>
        <w:t>rasterToMatch</w:t>
      </w:r>
      <w:r>
        <w:rPr/>
        <w:t xml:space="preserve"> input. </w:t>
      </w:r>
      <w:r>
        <w:rPr>
          <w:b/>
          <w:bCs/>
        </w:rPr>
        <w:t>Temporally</w:t>
      </w:r>
      <w:r>
        <w:rPr/>
        <w:t xml:space="preserve">, time steps are measured in years. The model can advance in one-year increments, but by default it schedules disturbance events at a multi-year interval (e.g. every 10 years) for efficiency. For instance, with a 10-year step, the simulation might progress from 2011 → 2021 → 2031 ... up to the end year, applying disturbance growth in each interval. The choice of interval can be adjusted (parameter </w:t>
      </w:r>
      <w:r>
        <w:rPr>
          <w:rStyle w:val="VerbatimChar"/>
        </w:rPr>
        <w:t>runInterval</w:t>
      </w:r>
      <w:r>
        <w:rPr/>
        <w:t>) to match the frequency of disturbance pulses or data availability. There is no adaptive spatial scaling or nesting of grids beyond the single resolution; however, different disturbance processes inherently act at different scales (e.g. local buffering of a town vs. broad distribution of new well sites).</w:t>
      </w:r>
      <w:bookmarkEnd w:id="6"/>
    </w:p>
    <w:p>
      <w:pPr>
        <w:pStyle w:val="Heading2"/>
        <w:rPr/>
      </w:pPr>
      <w:r>
        <w:rPr/>
      </w:r>
    </w:p>
    <w:p>
      <w:pPr>
        <w:pStyle w:val="Heading2"/>
        <w:rPr/>
      </w:pPr>
      <w:bookmarkStart w:id="7" w:name="__RefHeading___Toc2083_3305361968"/>
      <w:bookmarkStart w:id="8" w:name="process-overview-and-scheduling"/>
      <w:bookmarkEnd w:id="7"/>
      <w:r>
        <w:rPr/>
        <w:t>3. Process Overview and Scheduling</w:t>
      </w:r>
    </w:p>
    <w:p>
      <w:pPr>
        <w:pStyle w:val="FirstParagraph"/>
        <w:rPr/>
      </w:pPr>
      <w:r>
        <w:rPr>
          <w:b/>
          <w:bCs/>
        </w:rPr>
        <w:t>Overview of Processes:</w:t>
      </w:r>
      <w:r>
        <w:rPr/>
        <w:t xml:space="preserve"> The simulation consists of three interlinked </w:t>
      </w:r>
      <w:r>
        <w:rPr>
          <w:b/>
          <w:bCs/>
        </w:rPr>
        <w:t>SpaDES modules</w:t>
      </w:r>
      <w:r>
        <w:rPr/>
        <w:t xml:space="preserve"> - </w:t>
      </w:r>
      <w:r>
        <w:rPr>
          <w:b/>
          <w:bCs/>
        </w:rPr>
        <w:t>Data Preparation</w:t>
      </w:r>
      <w:r>
        <w:rPr/>
        <w:t xml:space="preserve">, </w:t>
      </w:r>
      <w:r>
        <w:rPr>
          <w:b/>
          <w:bCs/>
        </w:rPr>
        <w:t>Potential Resources (idiosyncratic data prep)</w:t>
      </w:r>
      <w:r>
        <w:rPr/>
        <w:t xml:space="preserve">, and </w:t>
      </w:r>
      <w:r>
        <w:rPr>
          <w:b/>
          <w:bCs/>
        </w:rPr>
        <w:t>Disturbance Generator</w:t>
      </w:r>
      <w:r>
        <w:rPr/>
        <w:t xml:space="preserve"> - each with its own internal events. The modules operate in sequence at the start, then the generator module runs an iterative </w:t>
      </w:r>
      <w:r>
        <w:rPr>
          <w:b/>
          <w:bCs/>
        </w:rPr>
        <w:t>event loop</w:t>
      </w:r>
      <w:r>
        <w:rPr/>
        <w:t xml:space="preserve"> over time (the core yearly/decadal simulation). Major processes include: (1) loading and harmonizing various input disturbance datasets into a common format; (2) combining or adjusting specific “potential” layers (e.g. merging multiple mining potential datasets into one); (3) calculating any missing disturbance parameters (such as the rate or size of new disturbances based on historical data patterns); (4) generating new disturbances at each time step (including enlarging existing ones, adding new ones in suitable locations, and connecting them via linear infrastructure); and (5) updating the state for the next cycle. These processes and their scheduling are summarized in </w:t>
      </w:r>
      <w:r>
        <w:rPr>
          <w:b/>
          <w:bCs/>
        </w:rPr>
        <w:t>Figure 1</w:t>
      </w:r>
      <w:r>
        <w:rPr/>
        <w:t xml:space="preserve"> and described below.</w:t>
      </w:r>
    </w:p>
    <w:p>
      <w:pPr>
        <w:pStyle w:val="BodyText"/>
        <w:rPr/>
      </w:pPr>
      <w:r>
        <w:rPr/>
        <w:drawing>
          <wp:inline distT="0" distB="0" distL="0" distR="0">
            <wp:extent cx="2956560" cy="480758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3"/>
                    <a:stretch>
                      <a:fillRect/>
                    </a:stretch>
                  </pic:blipFill>
                  <pic:spPr bwMode="auto">
                    <a:xfrm>
                      <a:off x="0" y="0"/>
                      <a:ext cx="2956560" cy="4807585"/>
                    </a:xfrm>
                    <a:prstGeom prst="rect">
                      <a:avLst/>
                    </a:prstGeom>
                    <a:noFill/>
                  </pic:spPr>
                </pic:pic>
              </a:graphicData>
            </a:graphic>
          </wp:inline>
        </w:drawing>
      </w:r>
      <w:r>
        <w:rPr/>
        <w:br/>
      </w:r>
      <w:r>
        <w:rPr>
          <w:b/>
          <w:bCs/>
          <w:sz w:val="18"/>
          <w:szCs w:val="18"/>
        </w:rPr>
        <w:t>Figure 1:</w:t>
      </w:r>
      <w:r>
        <w:rPr>
          <w:sz w:val="18"/>
          <w:szCs w:val="18"/>
        </w:rPr>
        <w:t xml:space="preserve"> Simplified structure of the SpaDES simulation event flow, showing how the three modules interact and pass data. The </w:t>
      </w:r>
      <w:r>
        <w:rPr>
          <w:rStyle w:val="VerbatimChar"/>
          <w:sz w:val="18"/>
          <w:szCs w:val="18"/>
        </w:rPr>
        <w:t>anthroDisturbance_DataPrep</w:t>
      </w:r>
      <w:r>
        <w:rPr>
          <w:sz w:val="18"/>
          <w:szCs w:val="18"/>
        </w:rPr>
        <w:t xml:space="preserve"> module runs first, reading raw disturbance datasets via the </w:t>
      </w:r>
      <w:r>
        <w:rPr>
          <w:rStyle w:val="VerbatimChar"/>
          <w:sz w:val="18"/>
          <w:szCs w:val="18"/>
        </w:rPr>
        <w:t>disturbanceDT</w:t>
      </w:r>
      <w:r>
        <w:rPr>
          <w:sz w:val="18"/>
          <w:szCs w:val="18"/>
        </w:rPr>
        <w:t xml:space="preserve"> metadata table and outputting a nested list of spatial disturbance layers (</w:t>
      </w:r>
      <w:r>
        <w:rPr>
          <w:rStyle w:val="VerbatimChar"/>
          <w:sz w:val="18"/>
          <w:szCs w:val="18"/>
        </w:rPr>
        <w:t>disturbances</w:t>
      </w:r>
      <w:r>
        <w:rPr>
          <w:sz w:val="18"/>
          <w:szCs w:val="18"/>
        </w:rPr>
        <w:t xml:space="preserve"> and a harmonized </w:t>
      </w:r>
      <w:r>
        <w:rPr>
          <w:rStyle w:val="VerbatimChar"/>
          <w:sz w:val="18"/>
          <w:szCs w:val="18"/>
        </w:rPr>
        <w:t>disturbanceList</w:t>
      </w:r>
      <w:r>
        <w:rPr>
          <w:sz w:val="18"/>
          <w:szCs w:val="18"/>
        </w:rPr>
        <w:t xml:space="preserve">). Next, the </w:t>
      </w:r>
      <w:r>
        <w:rPr>
          <w:rStyle w:val="VerbatimChar"/>
          <w:sz w:val="18"/>
          <w:szCs w:val="18"/>
        </w:rPr>
        <w:t>potentialResourcesNT_DataPrep</w:t>
      </w:r>
      <w:r>
        <w:rPr>
          <w:sz w:val="18"/>
          <w:szCs w:val="18"/>
        </w:rPr>
        <w:t xml:space="preserve"> module modifies this list, combining multiple “potential” layers into refined potential surfaces for oil/gas and mining development. Finally, the </w:t>
      </w:r>
      <w:r>
        <w:rPr>
          <w:rStyle w:val="VerbatimChar"/>
          <w:sz w:val="18"/>
          <w:szCs w:val="18"/>
        </w:rPr>
        <w:t>anthroDisturbance_Generator</w:t>
      </w:r>
      <w:r>
        <w:rPr>
          <w:sz w:val="18"/>
          <w:szCs w:val="18"/>
        </w:rPr>
        <w:t xml:space="preserve"> module is initialized with the prepared disturbance list and parameters, and enters a recurring loop of events (scheduled at a specified interval, e.g. every 10 years) to simulate new disturbances. At each interval, it produces updated disturbance layers and summary outputs (maps), which feed back into the state for the next cycle.</w:t>
      </w:r>
    </w:p>
    <w:p>
      <w:pPr>
        <w:pStyle w:val="BodyText"/>
        <w:rPr/>
      </w:pPr>
      <w:r>
        <w:rPr>
          <w:b/>
          <w:bCs/>
        </w:rPr>
        <w:t>SpaDES Scheduling:</w:t>
      </w:r>
      <w:r>
        <w:rPr/>
        <w:t xml:space="preserve"> The model uses SpaDES’s discrete-event simulation scheduler to manage the timing and order of events. When the simulation is initialized (</w:t>
      </w:r>
      <w:r>
        <w:rPr>
          <w:rStyle w:val="VerbatimChar"/>
        </w:rPr>
        <w:t>simInit</w:t>
      </w:r>
      <w:r>
        <w:rPr/>
        <w:t xml:space="preserve">), each module inserts its </w:t>
      </w:r>
      <w:r>
        <w:rPr>
          <w:rStyle w:val="VerbatimChar"/>
          <w:b/>
          <w:bCs/>
        </w:rPr>
        <w:t>init</w:t>
      </w:r>
      <w:r>
        <w:rPr>
          <w:b/>
          <w:bCs/>
        </w:rPr>
        <w:t xml:space="preserve"> event</w:t>
      </w:r>
      <w:r>
        <w:rPr/>
        <w:t xml:space="preserve"> into the event queue at time = </w:t>
      </w:r>
      <w:r>
        <w:rPr>
          <w:rStyle w:val="VerbatimChar"/>
        </w:rPr>
        <w:t>start(sim)</w:t>
      </w:r>
      <w:r>
        <w:rPr/>
        <w:t xml:space="preserve"> (the start year). Module initialization events have default priority 1, and subsequent events can be assigned higher priorities to enforce ordering when they share the same time. In this model, the </w:t>
      </w:r>
      <w:r>
        <w:rPr>
          <w:b/>
          <w:bCs/>
        </w:rPr>
        <w:t>DataPrep module</w:t>
      </w:r>
      <w:r>
        <w:rPr/>
        <w:t xml:space="preserve"> </w:t>
      </w:r>
      <w:r>
        <w:rPr>
          <w:rStyle w:val="VerbatimChar"/>
        </w:rPr>
        <w:t>init</w:t>
      </w:r>
      <w:r>
        <w:rPr/>
        <w:t xml:space="preserve"> runs first at time </w:t>
      </w:r>
      <w:r>
        <w:rPr>
          <w:i/>
          <w:iCs/>
        </w:rPr>
        <w:t>T0</w:t>
      </w:r>
      <w:r>
        <w:rPr/>
        <w:t xml:space="preserve"> (start year), then schedules its main data loading event immediately (at the same time </w:t>
      </w:r>
      <w:r>
        <w:rPr>
          <w:i/>
          <w:iCs/>
        </w:rPr>
        <w:t>T0</w:t>
      </w:r>
      <w:r>
        <w:rPr/>
        <w:t xml:space="preserve">) with priority 2. The </w:t>
      </w:r>
      <w:r>
        <w:rPr>
          <w:b/>
          <w:bCs/>
        </w:rPr>
        <w:t>PotentialResources module</w:t>
      </w:r>
      <w:r>
        <w:rPr/>
        <w:t xml:space="preserve"> </w:t>
      </w:r>
      <w:r>
        <w:rPr>
          <w:rStyle w:val="VerbatimChar"/>
        </w:rPr>
        <w:t>init</w:t>
      </w:r>
      <w:r>
        <w:rPr/>
        <w:t xml:space="preserve"> runs next and schedules its series of combination events at </w:t>
      </w:r>
      <w:r>
        <w:rPr>
          <w:i/>
          <w:iCs/>
        </w:rPr>
        <w:t>T0</w:t>
      </w:r>
      <w:r>
        <w:rPr/>
        <w:t xml:space="preserve"> with priority 3. Finally, the </w:t>
      </w:r>
      <w:r>
        <w:rPr>
          <w:b/>
          <w:bCs/>
        </w:rPr>
        <w:t>Generator module</w:t>
      </w:r>
      <w:r>
        <w:rPr/>
        <w:t xml:space="preserve"> </w:t>
      </w:r>
      <w:r>
        <w:rPr>
          <w:rStyle w:val="VerbatimChar"/>
        </w:rPr>
        <w:t>init</w:t>
      </w:r>
      <w:r>
        <w:rPr/>
        <w:t xml:space="preserve"> runs and schedules the first set of generation events at </w:t>
      </w:r>
      <w:r>
        <w:rPr>
          <w:i/>
          <w:iCs/>
        </w:rPr>
        <w:t>T0</w:t>
      </w:r>
      <w:r>
        <w:rPr/>
        <w:t xml:space="preserve"> with priority 4. This ensures the data are prepared in the correct order before generation begins.</w:t>
      </w:r>
    </w:p>
    <w:p>
      <w:pPr>
        <w:pStyle w:val="BodyText"/>
        <w:rPr/>
      </w:pPr>
      <w:r>
        <w:rPr/>
        <w:t xml:space="preserve">After the initial time step, the </w:t>
      </w:r>
      <w:r>
        <w:rPr>
          <w:b/>
          <w:bCs/>
        </w:rPr>
        <w:t>anthroDisturbance_Generator</w:t>
      </w:r>
      <w:r>
        <w:rPr/>
        <w:t xml:space="preserve"> module is responsible for all recurring events. In its init, it schedules four key processes - </w:t>
      </w:r>
      <w:r>
        <w:rPr>
          <w:rStyle w:val="VerbatimChar"/>
        </w:rPr>
        <w:t>calculatingSize</w:t>
      </w:r>
      <w:r>
        <w:rPr/>
        <w:t xml:space="preserve">, </w:t>
      </w:r>
      <w:r>
        <w:rPr>
          <w:rStyle w:val="VerbatimChar"/>
        </w:rPr>
        <w:t>calculatingRate</w:t>
      </w:r>
      <w:r>
        <w:rPr/>
        <w:t xml:space="preserve">, </w:t>
      </w:r>
      <w:r>
        <w:rPr>
          <w:rStyle w:val="VerbatimChar"/>
        </w:rPr>
        <w:t>generatingDisturbances</w:t>
      </w:r>
      <w:r>
        <w:rPr/>
        <w:t xml:space="preserve">, and </w:t>
      </w:r>
      <w:r>
        <w:rPr>
          <w:rStyle w:val="VerbatimChar"/>
        </w:rPr>
        <w:t>updatingDisturbanceList</w:t>
      </w:r>
      <w:r>
        <w:rPr/>
        <w:t xml:space="preserve"> - to occur at the current time (start) with the specified priority. These will execute in order (size → rate → generate → update) during the first time step. At the end of each cycle, the generator schedules the next occurrence of the </w:t>
      </w:r>
      <w:r>
        <w:rPr>
          <w:rStyle w:val="VerbatimChar"/>
        </w:rPr>
        <w:t>generatingDisturbances</w:t>
      </w:r>
      <w:r>
        <w:rPr/>
        <w:t xml:space="preserve"> and </w:t>
      </w:r>
      <w:r>
        <w:rPr>
          <w:rStyle w:val="VerbatimChar"/>
        </w:rPr>
        <w:t>updatingDisturbanceList</w:t>
      </w:r>
      <w:r>
        <w:rPr/>
        <w:t xml:space="preserve"> events at time = current time + </w:t>
      </w:r>
      <w:r>
        <w:rPr>
          <w:rStyle w:val="VerbatimChar"/>
        </w:rPr>
        <w:t>runInterval</w:t>
      </w:r>
      <w:r>
        <w:rPr/>
        <w:t xml:space="preserve">. Thus, if </w:t>
      </w:r>
      <w:r>
        <w:rPr>
          <w:rStyle w:val="VerbatimChar"/>
        </w:rPr>
        <w:t>runInterval = 10</w:t>
      </w:r>
      <w:r>
        <w:rPr/>
        <w:t xml:space="preserve"> years, after processing year 2011 the module schedules the next generation at 2021, then 2031, and so on. This forms a loop where at every scheduled time, new disturbances are added and the disturbance list updated. The loop continues until the simulation’s end time is reached, at which point no further events are scheduled. The </w:t>
      </w:r>
      <w:r>
        <w:rPr>
          <w:b/>
          <w:bCs/>
        </w:rPr>
        <w:t>event sequence</w:t>
      </w:r>
      <w:r>
        <w:rPr/>
        <w:t xml:space="preserve"> in each time step is: </w:t>
      </w:r>
      <w:r>
        <w:rPr>
          <w:i/>
          <w:iCs/>
        </w:rPr>
        <w:t>(a)</w:t>
      </w:r>
      <w:r>
        <w:rPr/>
        <w:t xml:space="preserve"> parameter calculation events (only needed at the first step), </w:t>
      </w:r>
      <w:r>
        <w:rPr>
          <w:i/>
          <w:iCs/>
        </w:rPr>
        <w:t>(b)</w:t>
      </w:r>
      <w:r>
        <w:rPr/>
        <w:t xml:space="preserve"> generation of disturbances, and </w:t>
      </w:r>
      <w:r>
        <w:rPr>
          <w:i/>
          <w:iCs/>
        </w:rPr>
        <w:t>(c)</w:t>
      </w:r>
      <w:r>
        <w:rPr/>
        <w:t xml:space="preserve"> updating the state and re-scheduling. All events are executed synchronously at the year they are scheduled, making the model a time-stepped simulation with discrete-event implementation.</w:t>
      </w:r>
    </w:p>
    <w:p>
      <w:pPr>
        <w:pStyle w:val="BodyText"/>
        <w:rPr/>
      </w:pPr>
      <w:r>
        <w:rPr/>
        <w:t xml:space="preserve">Throughout the simulation, certain events may be conditional or skipped depending on the state. For example, the </w:t>
      </w:r>
      <w:r>
        <w:rPr>
          <w:rStyle w:val="VerbatimChar"/>
        </w:rPr>
        <w:t>calculatingSize</w:t>
      </w:r>
      <w:r>
        <w:rPr/>
        <w:t xml:space="preserve"> event will do nothing (skip) if all disturbance size parameters are already provided by the user. Similarly, </w:t>
      </w:r>
      <w:r>
        <w:rPr>
          <w:rStyle w:val="VerbatimChar"/>
        </w:rPr>
        <w:t>calculatingRate</w:t>
      </w:r>
      <w:r>
        <w:rPr/>
        <w:t xml:space="preserve"> only runs if there are disturbance types missing rate values. The scheduling logic thus allows the model to default to user-supplied parameters or to compute them from data if needed. There are also protective checks; for instance, the PotentialResources module will terminate with an error if the simulation’s start year is set before 2011 (since required baseline data would be unavailable).</w:t>
      </w:r>
      <w:bookmarkEnd w:id="8"/>
    </w:p>
    <w:p>
      <w:pPr>
        <w:pStyle w:val="Heading2"/>
        <w:rPr/>
      </w:pPr>
      <w:r>
        <w:rPr/>
      </w:r>
    </w:p>
    <w:p>
      <w:pPr>
        <w:pStyle w:val="Heading2"/>
        <w:rPr/>
      </w:pPr>
      <w:bookmarkStart w:id="9" w:name="__RefHeading___Toc2085_3305361968"/>
      <w:bookmarkStart w:id="10" w:name="design-concepts"/>
      <w:bookmarkEnd w:id="9"/>
      <w:r>
        <w:rPr/>
        <w:t>4. Design Concepts</w:t>
      </w:r>
    </w:p>
    <w:p>
      <w:pPr>
        <w:pStyle w:val="FirstParagraph"/>
        <w:rPr/>
      </w:pPr>
      <w:r>
        <w:rPr>
          <w:b/>
          <w:bCs/>
        </w:rPr>
        <w:t>Basic Principles:</w:t>
      </w:r>
      <w:r>
        <w:rPr/>
        <w:t xml:space="preserve"> This model follows a </w:t>
      </w:r>
      <w:r>
        <w:rPr>
          <w:b/>
          <w:bCs/>
        </w:rPr>
        <w:t>pattern-oriented modeling</w:t>
      </w:r>
      <w:r>
        <w:rPr/>
        <w:t xml:space="preserve"> approach. Rather than modeling human decision-making in detail, it imposes rules and parameters chosen to reproduce observed patterns of disturbance on the landscape. For instance, the principle that linear disturbances form grid patterns is captured by statistical rules for line clustering, and the principle that development tends to start in the most favorable locations is captured by using ranked potential surfaces and an “exhaustive” site selection option (picking highest-quality sites first). The model’s design is grounded in landscape ecology and conservation planning: disturbances are treated as spatial features that grow or appear according to empirical rates and constraints (e.g. resource potential, proximity to infrastructure, avoidance of water bodies), ensuring that model outcomes are realistic for habitat disturbance studies. There are no explicit agent-based decision heuristics; instead, the model operates as a </w:t>
      </w:r>
      <w:r>
        <w:rPr>
          <w:b/>
          <w:bCs/>
        </w:rPr>
        <w:t>stochastic landscape simulator</w:t>
      </w:r>
      <w:r>
        <w:rPr/>
        <w:t xml:space="preserve"> informed by GIS data and user-specified scenarios. Key theoretical assumptions include: (a) future disturbance expansion will be similar in character to past trends (stationarity in patterns of growth), and (b) spatial drivers like resource potential and accessibility are sufficient to predict where new disturbances will occur.</w:t>
      </w:r>
    </w:p>
    <w:p>
      <w:pPr>
        <w:pStyle w:val="BodyText"/>
        <w:rPr/>
      </w:pPr>
      <w:r>
        <w:rPr>
          <w:b/>
          <w:bCs/>
        </w:rPr>
        <w:t>Emergence:</w:t>
      </w:r>
      <w:r>
        <w:rPr/>
        <w:t xml:space="preserve"> Higher-level patterns in this model emerge from the cumulative effect of many local disturbance additions. For example, the </w:t>
      </w:r>
      <w:r>
        <w:rPr>
          <w:b/>
          <w:bCs/>
        </w:rPr>
        <w:t>total disturbed area over time</w:t>
      </w:r>
      <w:r>
        <w:rPr/>
        <w:t xml:space="preserve"> is an emergent result of the yearly additions (though guided by target rates). Similarly, the </w:t>
      </w:r>
      <w:r>
        <w:rPr>
          <w:b/>
          <w:bCs/>
        </w:rPr>
        <w:t>spatial configuration</w:t>
      </w:r>
      <w:r>
        <w:rPr/>
        <w:t xml:space="preserve"> of disturbances - such as the connectivity of road networks or the dispersion of new cutblocks - is not predetermined but results from the model’s rules (shortest-path connections, random site selection, etc.) interacting with the existing landscape. The hope is that large-scale patterns (e.g. proportion of landscape disturbed, or fragmentation patterns) will align with observed or expected patterns as criteria for model validation. Some outcomes are imposed by design (e.g. a specified disturbance rate will lead to a corresponding area disturbed), but how that area is distributed spatially and among disturbance types is an emergent property influenced by the competition for space and random draws. Notably, </w:t>
      </w:r>
      <w:r>
        <w:rPr>
          <w:b/>
          <w:bCs/>
        </w:rPr>
        <w:t>connectivity patterns</w:t>
      </w:r>
      <w:r>
        <w:rPr/>
        <w:t xml:space="preserve"> emerge: as new linear features are added via shortest-path algorithms, complex networks of access roads or pipelines form over time without being explicitly hard-coded - they arise from connecting new points to the nearest existing network. The model does not incorporate adaptive agent behaviors, so social or economic patterns are not emergent here; only biophysical disturbance patterns emerge.</w:t>
      </w:r>
    </w:p>
    <w:p>
      <w:pPr>
        <w:pStyle w:val="BodyText"/>
        <w:rPr/>
      </w:pPr>
      <w:r>
        <w:rPr>
          <w:b/>
          <w:bCs/>
        </w:rPr>
        <w:t>Adaptation and Objectives:</w:t>
      </w:r>
      <w:r>
        <w:rPr/>
        <w:t xml:space="preserve"> </w:t>
      </w:r>
      <w:r>
        <w:rPr>
          <w:i/>
          <w:iCs/>
        </w:rPr>
        <w:t>Not applicable.</w:t>
      </w:r>
      <w:r>
        <w:rPr/>
        <w:t xml:space="preserve"> There are no agents with adaptive behavior or explicit objectives in this model. The “agents” can be thought of as the disturbance processes themselves, but they do not learn or change strategies - they follow fixed rules. Stakeholder decisions (e.g. a company’s adaptive strategy) are not represented; instead, their effect is approximated by static rules (e.g. always develop highest potential first or spread out development probabilistically). Thus, adaptation, learning, and goal-driven behaviors are not modeled.</w:t>
      </w:r>
    </w:p>
    <w:p>
      <w:pPr>
        <w:pStyle w:val="BodyText"/>
        <w:rPr/>
      </w:pPr>
      <w:r>
        <w:rPr>
          <w:b/>
          <w:bCs/>
        </w:rPr>
        <w:t>Sensing and Interaction:</w:t>
      </w:r>
      <w:r>
        <w:rPr/>
        <w:t xml:space="preserve"> There are no cognitive agents, but the model’s processes do have a form of interaction with the landscape state. For instance, the disturbance generation process “senses” the current configuration of disturbances by checking where existing disturbed cells are, to avoid placing new disturbances on them (i.e. new features are only sited on currently undisturbed cells). In a sense, the algorithmic processes respond to the evolving state: e.g. the connecting algorithm finds nearest existing roads, implicitly </w:t>
      </w:r>
      <w:r>
        <w:rPr>
          <w:i/>
          <w:iCs/>
        </w:rPr>
        <w:t>sensing</w:t>
      </w:r>
      <w:r>
        <w:rPr/>
        <w:t xml:space="preserve"> the road network; the forestry module can check for recent burns (fire disturbance) to avoid cutting there. </w:t>
      </w:r>
      <w:r>
        <w:rPr>
          <w:b/>
          <w:bCs/>
        </w:rPr>
        <w:t>Interactions</w:t>
      </w:r>
      <w:r>
        <w:rPr/>
        <w:t xml:space="preserve"> in the model occur implicitly between disturbance types: for example, the creation of a new mine (point disturbance) triggers the need for a road (linear disturbance) to connect it to infrastructure. This is handled by the connecting submodel which “interacts” new generating-type features with existing linear features to integrate them into one network. However, there are no direct agent-agent interactions - the interactions are process-based (one module’s output feeds another’s input). Additionally, when multiple disturbance types overlap in space (e.g. a cutblock overlapping a seismic line), the model can resolve overlaps by masking one type out of another if configured (to prevent double-counting area).</w:t>
      </w:r>
    </w:p>
    <w:p>
      <w:pPr>
        <w:pStyle w:val="BodyText"/>
        <w:rPr/>
      </w:pPr>
      <w:r>
        <w:rPr>
          <w:b/>
          <w:bCs/>
        </w:rPr>
        <w:t>Stochasticity:</w:t>
      </w:r>
      <w:r>
        <w:rPr/>
        <w:t xml:space="preserve"> The model incorporates randomness in several processes, reflecting uncertainty and variability in how disturbances expand. Many parameters are treated probabilistically. For example, if the typical size of a new disturbance is unspecified, the model will derive a probability distribution (e.g. a truncated normal) from data and then draw random sizes for each new feature. The placement of new disturbances can be stochastic: under the “distributing” site selection mode, each potential development pixel has a probability of being chosen proportional to its potential value. This means repeated runs of the model yield different specific maps of disturbances, even if the overall rates are the same. Random seeds can be set per event (the modules accept </w:t>
      </w:r>
      <w:r>
        <w:rPr>
          <w:rStyle w:val="VerbatimChar"/>
        </w:rPr>
        <w:t>.seed</w:t>
      </w:r>
      <w:r>
        <w:rPr/>
        <w:t xml:space="preserve"> parameters) to ensure reproducibility if desired. Random clustering of seismic lines </w:t>
      </w:r>
      <w:r>
        <w:rPr/>
        <w:t>as an</w:t>
      </w:r>
      <w:r>
        <w:rPr/>
        <w:t xml:space="preserve"> example: the model may randomly choose one of several empirically-derived line cluster “patterns” for each new development area. Overall, random draws are used whenever fine-scale outcomes are not predetermined by the inputs, ensuring the model is not over-fitted and can produce a range of plausible disturbance landscapes.</w:t>
      </w:r>
    </w:p>
    <w:p>
      <w:pPr>
        <w:pStyle w:val="BodyText"/>
        <w:rPr/>
      </w:pPr>
      <w:r>
        <w:rPr>
          <w:b/>
          <w:bCs/>
        </w:rPr>
        <w:t>Collectives:</w:t>
      </w:r>
      <w:r>
        <w:rPr/>
        <w:t xml:space="preserve"> There are no explicit collective behaviors (no groups of agents). However, the model does consider </w:t>
      </w:r>
      <w:r>
        <w:rPr>
          <w:b/>
          <w:bCs/>
        </w:rPr>
        <w:t>collections of features</w:t>
      </w:r>
      <w:r>
        <w:rPr/>
        <w:t xml:space="preserve"> in some calculations - for instance, clusters of line features are identified and characterized as a group during initialization to inform how new line grids will be generated. One could view each disturbance type as a collective of features that jointly contribute to area and pattern outcomes. The model treats entire classes (e.g. all roads) in aggregate when applying rates or buffering (e.g. enlarging all settlements by a buffer) - this aggregate approach is a simplification, not a true collective behavior emerging from interactions. Thus, aside from grouping features by type, the concept of collective decision-making does not apply.</w:t>
      </w:r>
    </w:p>
    <w:p>
      <w:pPr>
        <w:pStyle w:val="BodyText"/>
        <w:rPr/>
      </w:pPr>
      <w:r>
        <w:rPr>
          <w:b/>
          <w:bCs/>
        </w:rPr>
        <w:t>Observation:</w:t>
      </w:r>
      <w:r>
        <w:rPr/>
        <w:t xml:space="preserve"> The model produces a variety of outputs for the purpose of monitoring its behavior and enabling validation. At each time step, the </w:t>
      </w:r>
      <w:r>
        <w:rPr>
          <w:b/>
          <w:bCs/>
        </w:rPr>
        <w:t>current state of disturbances</w:t>
      </w:r>
      <w:r>
        <w:rPr/>
        <w:t xml:space="preserve"> can be recorded. The simulation maintains a list </w:t>
      </w:r>
      <w:r>
        <w:rPr>
          <w:rStyle w:val="VerbatimChar"/>
        </w:rPr>
        <w:t>sim$currentDisturbanceLayer</w:t>
      </w:r>
      <w:r>
        <w:rPr/>
        <w:t xml:space="preserve"> which stores a raster map of all disturbances for each output year. These maps can be used to visualize the cumulative footprint over time or to compute statistics (e.g. percent area disturbed). If the user enables output saving, the model will write these disturbance rasters to files at each step (e.g. naming them by year and disturbance type). The model also logs console messages for important events - for example, after each disturbance generation it may report the achieved vs. expected area disturbed percentage. In addition, the final </w:t>
      </w:r>
      <w:r>
        <w:rPr>
          <w:rStyle w:val="VerbatimChar"/>
        </w:rPr>
        <w:t>disturbanceList</w:t>
      </w:r>
      <w:r>
        <w:rPr/>
        <w:t xml:space="preserve"> (which contains all spatial features by class) is an output that can be saved or examined to see exactly what features were added. No specific formal data assimilation or online calibration occurs, but the outputs are designed to be compared with the input patterns: e.g. the user can compare the model’s disturbed area trajectory to the historical 2010-2015 pattern, or check if the final total disturbance meets a policy target. In summary, the model’s observables include </w:t>
      </w:r>
      <w:r>
        <w:rPr>
          <w:b/>
          <w:bCs/>
        </w:rPr>
        <w:t>spatial outputs</w:t>
      </w:r>
      <w:r>
        <w:rPr/>
        <w:t xml:space="preserve"> (maps of disturbance per year), </w:t>
      </w:r>
      <w:r>
        <w:rPr>
          <w:b/>
          <w:bCs/>
        </w:rPr>
        <w:t>summaries</w:t>
      </w:r>
      <w:r>
        <w:rPr/>
        <w:t xml:space="preserve"> (areas by type), and any diagnostic tables (e.g. a proportion of area disturbed by buffered vs. unbuffered measure, if </w:t>
      </w:r>
      <w:r>
        <w:rPr>
          <w:rStyle w:val="VerbatimChar"/>
        </w:rPr>
        <w:t>checkDisturbanceProportions</w:t>
      </w:r>
      <w:r>
        <w:rPr/>
        <w:t xml:space="preserve"> was enabled to output such info). These allow the modeler to verify that the simulated patterns align with real patterns and the purpose for which the model was built.</w:t>
      </w:r>
      <w:bookmarkEnd w:id="10"/>
    </w:p>
    <w:p>
      <w:pPr>
        <w:pStyle w:val="Heading2"/>
        <w:rPr/>
      </w:pPr>
      <w:r>
        <w:rPr/>
      </w:r>
    </w:p>
    <w:p>
      <w:pPr>
        <w:pStyle w:val="Heading2"/>
        <w:rPr/>
      </w:pPr>
      <w:bookmarkStart w:id="11" w:name="__RefHeading___Toc2087_3305361968"/>
      <w:bookmarkStart w:id="12" w:name="initialization"/>
      <w:bookmarkEnd w:id="11"/>
      <w:r>
        <w:rPr/>
        <w:t>5. Initialization</w:t>
      </w:r>
    </w:p>
    <w:p>
      <w:pPr>
        <w:pStyle w:val="FirstParagraph"/>
        <w:rPr/>
      </w:pPr>
      <w:r>
        <w:rPr>
          <w:b/>
          <w:bCs/>
        </w:rPr>
        <w:t>Initial State:</w:t>
      </w:r>
      <w:r>
        <w:rPr/>
        <w:t xml:space="preserve"> The simulation begins at a specified start year (typically 2011 for the Northwest Territories case, as 2011 is the baseline year of “current” disturbance data). At time </w:t>
      </w:r>
      <w:r>
        <w:rPr>
          <w:i/>
          <w:iCs/>
        </w:rPr>
        <w:t>T0</w:t>
      </w:r>
      <w:r>
        <w:rPr/>
        <w:t xml:space="preserve"> (start), the two data preparation modules create the initial conditions. The </w:t>
      </w:r>
      <w:r>
        <w:rPr>
          <w:b/>
          <w:bCs/>
        </w:rPr>
        <w:t>anthroDisturbance_DataPrep</w:t>
      </w:r>
      <w:r>
        <w:rPr/>
        <w:t xml:space="preserve"> module loads all provided disturbance datasets (historical disturbance footprint maps, infrastructure layers, etc.) and produces a unified data structure. Specifically, it reads the </w:t>
      </w:r>
      <w:r>
        <w:rPr>
          <w:rStyle w:val="VerbatimChar"/>
        </w:rPr>
        <w:t>disturbanceDT</w:t>
      </w:r>
      <w:r>
        <w:rPr/>
        <w:t xml:space="preserve"> metadata table (see Input Data) and downloads or opens each listed dataset (e.g. shapefiles of roads, settlements, etc.), then projects and crops them to the given study area and raster extent. All disturbances present at the start year are thus represented as spatial features in memory. These features are organized into a nested list </w:t>
      </w:r>
      <w:r>
        <w:rPr>
          <w:rStyle w:val="VerbatimChar"/>
        </w:rPr>
        <w:t>sim$disturbances</w:t>
      </w:r>
      <w:r>
        <w:rPr/>
        <w:t xml:space="preserve"> (outer list by sector </w:t>
      </w:r>
      <w:r>
        <w:rPr>
          <w:rStyle w:val="VerbatimChar"/>
        </w:rPr>
        <w:t>dataName</w:t>
      </w:r>
      <w:r>
        <w:rPr/>
        <w:t xml:space="preserve">, inner list by </w:t>
      </w:r>
      <w:r>
        <w:rPr>
          <w:rStyle w:val="VerbatimChar"/>
        </w:rPr>
        <w:t>dataClass</w:t>
      </w:r>
      <w:r>
        <w:rPr/>
        <w:t xml:space="preserve">). Next, a function </w:t>
      </w:r>
      <w:r>
        <w:rPr>
          <w:rStyle w:val="VerbatimChar"/>
        </w:rPr>
        <w:t>harmonizeList</w:t>
      </w:r>
      <w:r>
        <w:rPr/>
        <w:t xml:space="preserve"> (called within DataPrep’s main event) processes this list to combine or refine classes: if multiple datasets represent the same disturbance class, they are merged into one layer, and any classes marked “potential” are kept separate (not merged with current disturbances). The result is a cleaned </w:t>
      </w:r>
      <w:r>
        <w:rPr>
          <w:rStyle w:val="VerbatimChar"/>
        </w:rPr>
        <w:t>sim$disturbanceList</w:t>
      </w:r>
      <w:r>
        <w:rPr/>
        <w:t xml:space="preserve"> where each disturbance class (except special potential cases) has a single composite layer ready for simulation. For example, if the metadata listed two road datasets, they would now be combined into one “Roads” layer in </w:t>
      </w:r>
      <w:r>
        <w:rPr>
          <w:rStyle w:val="VerbatimChar"/>
        </w:rPr>
        <w:t>disturbanceList</w:t>
      </w:r>
      <w:r>
        <w:rPr/>
        <w:t xml:space="preserve">. By the end of DataPrep’s </w:t>
      </w:r>
      <w:r>
        <w:rPr>
          <w:rStyle w:val="VerbatimChar"/>
        </w:rPr>
        <w:t>init</w:t>
      </w:r>
      <w:r>
        <w:rPr/>
        <w:t xml:space="preserve"> and </w:t>
      </w:r>
      <w:r>
        <w:rPr>
          <w:rStyle w:val="VerbatimChar"/>
        </w:rPr>
        <w:t>loadAndHarmonizeDisturbanceDT</w:t>
      </w:r>
      <w:r>
        <w:rPr/>
        <w:t xml:space="preserve"> events, the model has in memory: the study area polygon, a reference raster, and a </w:t>
      </w:r>
      <w:r>
        <w:rPr>
          <w:rStyle w:val="VerbatimChar"/>
        </w:rPr>
        <w:t>disturbanceList</w:t>
      </w:r>
      <w:r>
        <w:rPr/>
        <w:t xml:space="preserve"> of all current disturbance features categorized by type.</w:t>
      </w:r>
    </w:p>
    <w:p>
      <w:pPr>
        <w:pStyle w:val="BodyText"/>
        <w:rPr/>
      </w:pPr>
      <w:r>
        <w:rPr/>
        <w:t xml:space="preserve">If a previously saved disturbance list is available and the user set </w:t>
      </w:r>
      <w:r>
        <w:rPr>
          <w:rStyle w:val="VerbatimChar"/>
        </w:rPr>
        <w:t>useSavedList = TRUE</w:t>
      </w:r>
      <w:r>
        <w:rPr/>
        <w:t xml:space="preserve">, the DataPrep module may skip re-loading data and use the cached object to speed up initialization. In the default case, it will freshly load and process the data. The </w:t>
      </w:r>
      <w:r>
        <w:rPr>
          <w:b/>
          <w:bCs/>
        </w:rPr>
        <w:t>potentialResourcesNT_DataPrep</w:t>
      </w:r>
      <w:r>
        <w:rPr/>
        <w:t xml:space="preserve"> module then runs (still at time T0) to handle any idiosyncratic processing of </w:t>
      </w:r>
      <w:r>
        <w:rPr>
          <w:i/>
          <w:iCs/>
        </w:rPr>
        <w:t>potential</w:t>
      </w:r>
      <w:r>
        <w:rPr/>
        <w:t xml:space="preserve"> layers. This module assumes that some disturbance classes labeled with “potential” in the list need special combining or filtering not done by the generic routine. During its init, it schedules events (all at start time) to create combined potential layers for </w:t>
      </w:r>
      <w:r>
        <w:rPr>
          <w:b/>
          <w:bCs/>
        </w:rPr>
        <w:t>Mining</w:t>
      </w:r>
      <w:r>
        <w:rPr/>
        <w:t xml:space="preserve">, </w:t>
      </w:r>
      <w:r>
        <w:rPr>
          <w:b/>
          <w:bCs/>
        </w:rPr>
        <w:t>OilGas</w:t>
      </w:r>
      <w:r>
        <w:rPr/>
        <w:t xml:space="preserve">, </w:t>
      </w:r>
      <w:r>
        <w:rPr>
          <w:b/>
          <w:bCs/>
        </w:rPr>
        <w:t>SeismicLines</w:t>
      </w:r>
      <w:r>
        <w:rPr/>
        <w:t xml:space="preserve">, and </w:t>
      </w:r>
      <w:r>
        <w:rPr>
          <w:b/>
          <w:bCs/>
        </w:rPr>
        <w:t>Cutblocks</w:t>
      </w:r>
      <w:r>
        <w:rPr/>
        <w:t xml:space="preserve">, and then to replace the original layers in the disturbance list with these combined ones. For instance, the </w:t>
      </w:r>
      <w:r>
        <w:rPr>
          <w:rStyle w:val="VerbatimChar"/>
        </w:rPr>
        <w:t>createPotentialMining</w:t>
      </w:r>
      <w:r>
        <w:rPr/>
        <w:t xml:space="preserve"> event takes the preliminary </w:t>
      </w:r>
      <w:r>
        <w:rPr>
          <w:rStyle w:val="VerbatimChar"/>
        </w:rPr>
        <w:t>disturbanceList</w:t>
      </w:r>
      <w:r>
        <w:rPr/>
        <w:t xml:space="preserve"> (which might contain separate layers for “claims” and “permits”) and produces a single standardized </w:t>
      </w:r>
      <w:r>
        <w:rPr>
          <w:b/>
          <w:bCs/>
        </w:rPr>
        <w:t>potentialMining</w:t>
      </w:r>
      <w:r>
        <w:rPr/>
        <w:t xml:space="preserve"> layer where each location is assigned a value indicating how likely a mine is to develop there. This could involve combining a geological potential raster with vector data on claim status: the module increases values for cells under active claims (since those are more likely to become mines) and under exploration permits, as described by the </w:t>
      </w:r>
      <w:r>
        <w:rPr>
          <w:rStyle w:val="VerbatimChar"/>
        </w:rPr>
        <w:t>whatToCombine</w:t>
      </w:r>
      <w:r>
        <w:rPr/>
        <w:t xml:space="preserve"> parameter table. Similarly, </w:t>
      </w:r>
      <w:r>
        <w:rPr>
          <w:rStyle w:val="VerbatimChar"/>
        </w:rPr>
        <w:t>createPotentialOilGas</w:t>
      </w:r>
      <w:r>
        <w:rPr/>
        <w:t xml:space="preserve"> merges, for oil and gas development, a continuous prospectivity layer (e.g. “C2H4_BCR6_NT1” in the NW Territories example, representing oil potential) with data on current exploration licenses. The resulting </w:t>
      </w:r>
      <w:r>
        <w:rPr>
          <w:b/>
          <w:bCs/>
        </w:rPr>
        <w:t>potentialOilGas</w:t>
      </w:r>
      <w:r>
        <w:rPr/>
        <w:t xml:space="preserve"> layer has higher values in areas that both have high geological potential and are within existing license areas (since those would likely be developed first). For seismic lines, the module simply copies the oil/gas potential layer to serve as </w:t>
      </w:r>
      <w:r>
        <w:rPr>
          <w:b/>
          <w:bCs/>
        </w:rPr>
        <w:t>potentialSeismicLines</w:t>
      </w:r>
      <w:r>
        <w:rPr/>
        <w:t xml:space="preserve"> (assuming seismic line development correlates with oil exploration). For forestry, </w:t>
      </w:r>
      <w:r>
        <w:rPr>
          <w:rStyle w:val="VerbatimChar"/>
        </w:rPr>
        <w:t>createPotentialCutblocks</w:t>
      </w:r>
      <w:r>
        <w:rPr/>
        <w:t xml:space="preserve"> might generate a </w:t>
      </w:r>
      <w:r>
        <w:rPr>
          <w:b/>
          <w:bCs/>
        </w:rPr>
        <w:t>potentialCutblocks</w:t>
      </w:r>
      <w:r>
        <w:rPr/>
        <w:t xml:space="preserve"> layer (for example, this could be a raster of remaining forest cover or an index of timber volume indicating where future cuts could occur). After creating these, the </w:t>
      </w:r>
      <w:r>
        <w:rPr>
          <w:rStyle w:val="VerbatimChar"/>
        </w:rPr>
        <w:t>replaceInDisturbanceList</w:t>
      </w:r>
      <w:r>
        <w:rPr/>
        <w:t xml:space="preserve"> event swaps out the old potential layers in </w:t>
      </w:r>
      <w:r>
        <w:rPr>
          <w:rStyle w:val="VerbatimChar"/>
        </w:rPr>
        <w:t>sim$disturbanceList</w:t>
      </w:r>
      <w:r>
        <w:rPr/>
        <w:t xml:space="preserve"> with the new combined ones and also inserts any new ones (e.g. adds the </w:t>
      </w:r>
      <w:r>
        <w:rPr>
          <w:rStyle w:val="VerbatimChar"/>
        </w:rPr>
        <w:t>potentialCutblocks</w:t>
      </w:r>
      <w:r>
        <w:rPr/>
        <w:t xml:space="preserve"> layer). At this point - end of time 0 - the </w:t>
      </w:r>
      <w:r>
        <w:rPr>
          <w:b/>
          <w:bCs/>
        </w:rPr>
        <w:t>initial state</w:t>
      </w:r>
      <w:r>
        <w:rPr/>
        <w:t xml:space="preserve"> of the model is fully prepared: </w:t>
      </w:r>
      <w:r>
        <w:rPr>
          <w:rStyle w:val="VerbatimChar"/>
        </w:rPr>
        <w:t>sim$disturbanceList</w:t>
      </w:r>
      <w:r>
        <w:rPr/>
        <w:t xml:space="preserve"> contains (a) all current disturbance features per class (e.g. roads, cutblocks as of 2011) and (b) refined potential layers for future disturbance growth (e.g. a single mining potential surface, etc.). Additionally, the model has the </w:t>
      </w:r>
      <w:r>
        <w:rPr>
          <w:rStyle w:val="VerbatimChar"/>
        </w:rPr>
        <w:t>disturbanceParameters</w:t>
      </w:r>
      <w:r>
        <w:rPr/>
        <w:t xml:space="preserve"> table ready, either loaded from an input or using default/example values. If the user did not supply </w:t>
      </w:r>
      <w:r>
        <w:rPr>
          <w:rStyle w:val="VerbatimChar"/>
        </w:rPr>
        <w:t>disturbanceParameters</w:t>
      </w:r>
      <w:r>
        <w:rPr/>
        <w:t xml:space="preserve">, the Generator module’s </w:t>
      </w:r>
      <w:r>
        <w:rPr>
          <w:rStyle w:val="VerbatimChar"/>
        </w:rPr>
        <w:t>.inputObjects</w:t>
      </w:r>
      <w:r>
        <w:rPr/>
        <w:t xml:space="preserve"> will load a default parameters file for the region. These parameters include any known disturbance rates or sizes; for example, a default table might specify that forestry has a 10-year interval and 0.5% annual rate, etc., based on empirical data.</w:t>
      </w:r>
    </w:p>
    <w:p>
      <w:pPr>
        <w:pStyle w:val="BodyText"/>
        <w:rPr/>
      </w:pPr>
      <w:r>
        <w:rPr/>
        <w:t xml:space="preserve">Before any disturbances are grown, the </w:t>
      </w:r>
      <w:r>
        <w:rPr>
          <w:b/>
          <w:bCs/>
        </w:rPr>
        <w:t>Generator module init</w:t>
      </w:r>
      <w:r>
        <w:rPr/>
        <w:t xml:space="preserve"> performs some final checks and setups. It verifies that certain parameters are valid (e.g. ensuring any </w:t>
      </w:r>
      <w:r>
        <w:rPr>
          <w:rStyle w:val="VerbatimChar"/>
        </w:rPr>
        <w:t>siteSelectionAsDistributing</w:t>
      </w:r>
      <w:r>
        <w:rPr/>
        <w:t xml:space="preserve"> flag, which toggles the disturbance placement mode, matches one of the disturbance origin types). It aligns the </w:t>
      </w:r>
      <w:r>
        <w:rPr>
          <w:rStyle w:val="VerbatimChar"/>
        </w:rPr>
        <w:t>studyArea</w:t>
      </w:r>
      <w:r>
        <w:rPr/>
        <w:t xml:space="preserve"> and </w:t>
      </w:r>
      <w:r>
        <w:rPr>
          <w:rStyle w:val="VerbatimChar"/>
        </w:rPr>
        <w:t>rasterToMatch</w:t>
      </w:r>
      <w:r>
        <w:rPr/>
        <w:t xml:space="preserve"> projections (though this should already be handled in DataPrep). It also ensures the </w:t>
      </w:r>
      <w:r>
        <w:rPr>
          <w:rStyle w:val="VerbatimChar"/>
        </w:rPr>
        <w:t>disturbanceDT</w:t>
      </w:r>
      <w:r>
        <w:rPr/>
        <w:t xml:space="preserve"> metadata is available as a data.table (used for reference in some calculations). Critically, the generator init initializes an empty container </w:t>
      </w:r>
      <w:r>
        <w:rPr>
          <w:rStyle w:val="VerbatimChar"/>
        </w:rPr>
        <w:t>sim$currentDisturbanceLayer &lt;- list()</w:t>
      </w:r>
      <w:r>
        <w:rPr/>
        <w:t xml:space="preserve">, which will store a raster of combined disturbances for each simulated year as the model runs. This list starts empty, or in some cases the initial year’s raster is added if </w:t>
      </w:r>
      <w:r>
        <w:rPr>
          <w:rStyle w:val="VerbatimChar"/>
        </w:rPr>
        <w:t>saveInitialDisturbances</w:t>
      </w:r>
      <w:r>
        <w:rPr/>
        <w:t xml:space="preserve"> is enabled (the model can save the initial landscape’s disturbance map as “Year0” or “IC” for initial condition). By default, </w:t>
      </w:r>
      <w:r>
        <w:rPr>
          <w:rStyle w:val="VerbatimChar"/>
        </w:rPr>
        <w:t>disturbFirstYear = FALSE</w:t>
      </w:r>
      <w:r>
        <w:rPr/>
        <w:t xml:space="preserve"> so no new disturbance is added at the initial time - the first cycle of adding disturbances will occur at the next scheduled event (e.g. year 2021, if start is 2011 and interval 10). To summarize, after initialization the model state reflects the real-world disturbance landscape at the start year, and all data structures are in place for the simulation to proceed. The total undisturbed area, as well as each class’s distribution, is known from the input data. The initial disturbance patterns are effectively a starting point that the model will build upon.</w:t>
      </w:r>
      <w:bookmarkEnd w:id="12"/>
    </w:p>
    <w:p>
      <w:pPr>
        <w:pStyle w:val="Heading2"/>
        <w:rPr/>
      </w:pPr>
      <w:bookmarkStart w:id="13" w:name="__RefHeading___Toc2089_3305361968"/>
      <w:bookmarkStart w:id="14" w:name="input-data"/>
      <w:bookmarkEnd w:id="13"/>
      <w:r>
        <w:rPr/>
        <w:t>6. Input Data</w:t>
      </w:r>
    </w:p>
    <w:p>
      <w:pPr>
        <w:pStyle w:val="FirstParagraph"/>
        <w:rPr/>
      </w:pPr>
      <w:r>
        <w:rPr/>
        <w:t xml:space="preserve">Because this model integrates numerous data layers, careful specification of input data is required. All input datasets are documented in a </w:t>
      </w:r>
      <w:r>
        <w:rPr>
          <w:b/>
          <w:bCs/>
        </w:rPr>
        <w:t>metadata table</w:t>
      </w:r>
      <w:r>
        <w:rPr/>
        <w:t xml:space="preserve"> called </w:t>
      </w:r>
      <w:r>
        <w:rPr>
          <w:rStyle w:val="VerbatimChar"/>
          <w:b/>
          <w:bCs/>
        </w:rPr>
        <w:t>disturbanceDT</w:t>
      </w:r>
      <w:r>
        <w:rPr/>
        <w:t xml:space="preserve">, which is the primary input (provided as an R </w:t>
      </w:r>
      <w:r>
        <w:rPr>
          <w:rStyle w:val="VerbatimChar"/>
        </w:rPr>
        <w:t>data.table</w:t>
      </w:r>
      <w:r>
        <w:rPr/>
        <w:t xml:space="preserve"> or CSV). Each row of </w:t>
      </w:r>
      <w:r>
        <w:rPr>
          <w:rStyle w:val="VerbatimChar"/>
        </w:rPr>
        <w:t>disturbanceDT</w:t>
      </w:r>
      <w:r>
        <w:rPr/>
        <w:t xml:space="preserve"> describes one data source and how it should be processed. Key columns include:</w:t>
      </w:r>
    </w:p>
    <w:p>
      <w:pPr>
        <w:pStyle w:val="Normal"/>
        <w:numPr>
          <w:ilvl w:val="0"/>
          <w:numId w:val="58"/>
        </w:numPr>
        <w:rPr/>
      </w:pPr>
      <w:r>
        <w:rPr>
          <w:rStyle w:val="VerbatimChar"/>
          <w:b/>
          <w:bCs/>
        </w:rPr>
        <w:t>dataName</w:t>
      </w:r>
      <w:r>
        <w:rPr>
          <w:b/>
          <w:bCs/>
        </w:rPr>
        <w:t>:</w:t>
      </w:r>
      <w:r>
        <w:rPr/>
        <w:t xml:space="preserve"> The general sector or category of the disturbance (e.g. "Energy", "Forestry", "Mining", "Settlements", "Transportation"). This is used as the name of the top-level list in outputs. Multiple entries can share the same </w:t>
      </w:r>
      <w:r>
        <w:rPr>
          <w:rStyle w:val="VerbatimChar"/>
        </w:rPr>
        <w:t>dataName</w:t>
      </w:r>
      <w:r>
        <w:rPr/>
        <w:t xml:space="preserve"> if they are different datasets for the same sector.</w:t>
      </w:r>
    </w:p>
    <w:p>
      <w:pPr>
        <w:pStyle w:val="Normal"/>
        <w:numPr>
          <w:ilvl w:val="0"/>
          <w:numId w:val="59"/>
        </w:numPr>
        <w:rPr/>
      </w:pPr>
      <w:r>
        <w:rPr>
          <w:rStyle w:val="VerbatimChar"/>
          <w:b/>
          <w:bCs/>
        </w:rPr>
        <w:t>dataClass</w:t>
      </w:r>
      <w:r>
        <w:rPr>
          <w:b/>
          <w:bCs/>
        </w:rPr>
        <w:t>:</w:t>
      </w:r>
      <w:r>
        <w:rPr/>
        <w:t xml:space="preserve"> A specific disturbance class name within that sector (e.g. "roads", "cutblocks", "oilWells", "windTurbines", "seismicLines", "pipelines", etc., including "potential" classes). This defines the sub-category/list within the sector. The </w:t>
      </w:r>
      <w:r>
        <w:rPr>
          <w:rStyle w:val="VerbatimChar"/>
        </w:rPr>
        <w:t>dataClass</w:t>
      </w:r>
      <w:r>
        <w:rPr/>
        <w:t xml:space="preserve"> is what the model ultimately uses to distinguish types of disturbances. If multiple data sources represent the same class, they will be merged. For “potential” classes, this field typically contains the word "potential" (e.g. "potentialMining") to flag special handling.</w:t>
      </w:r>
    </w:p>
    <w:p>
      <w:pPr>
        <w:pStyle w:val="Normal"/>
        <w:numPr>
          <w:ilvl w:val="0"/>
          <w:numId w:val="60"/>
        </w:numPr>
        <w:rPr/>
      </w:pPr>
      <w:r>
        <w:rPr>
          <w:rStyle w:val="VerbatimChar"/>
          <w:b/>
          <w:bCs/>
        </w:rPr>
        <w:t>URL</w:t>
      </w:r>
      <w:r>
        <w:rPr>
          <w:b/>
          <w:bCs/>
        </w:rPr>
        <w:t>:</w:t>
      </w:r>
      <w:r>
        <w:rPr/>
        <w:t xml:space="preserve"> A link or file path to the data source. The module will download or read this file. URLs can point to shapefiles (as zip archives or individual files), geodatabases, raster files (e.g. .tif), or other supported formats. For example, there might be a URL to a government open data portal for linear disturbance shapefiles, or to a Google Drive file. The model has default URLs for the NW Territories data built-in (for instance, a default </w:t>
      </w:r>
      <w:r>
        <w:rPr>
          <w:rStyle w:val="VerbatimChar"/>
        </w:rPr>
        <w:t>disturbanceDT.csv</w:t>
      </w:r>
      <w:r>
        <w:rPr/>
        <w:t xml:space="preserve"> is provided via GitHub raw link, and default spatial data like a study area shapefile and raster via Google Drive).</w:t>
      </w:r>
    </w:p>
    <w:p>
      <w:pPr>
        <w:pStyle w:val="Normal"/>
        <w:numPr>
          <w:ilvl w:val="0"/>
          <w:numId w:val="61"/>
        </w:numPr>
        <w:rPr/>
      </w:pPr>
      <w:r>
        <w:rPr>
          <w:rStyle w:val="VerbatimChar"/>
          <w:b/>
          <w:bCs/>
        </w:rPr>
        <w:t>classToSearch</w:t>
      </w:r>
      <w:r>
        <w:rPr>
          <w:b/>
          <w:bCs/>
        </w:rPr>
        <w:t xml:space="preserve"> and </w:t>
      </w:r>
      <w:r>
        <w:rPr>
          <w:rStyle w:val="VerbatimChar"/>
          <w:b/>
          <w:bCs/>
        </w:rPr>
        <w:t>fieldToSearch</w:t>
      </w:r>
      <w:r>
        <w:rPr>
          <w:b/>
          <w:bCs/>
        </w:rPr>
        <w:t>:</w:t>
      </w:r>
      <w:r>
        <w:rPr/>
        <w:t xml:space="preserve"> Optional fields used if the source dataset contains multiple feature classes and a subset needs to be extracted. For example, if a shapefile contains many disturbance types in one, </w:t>
      </w:r>
      <w:r>
        <w:rPr>
          <w:rStyle w:val="VerbatimChar"/>
        </w:rPr>
        <w:t>fieldToSearch</w:t>
      </w:r>
      <w:r>
        <w:rPr/>
        <w:t xml:space="preserve"> might be "DisturbType" and </w:t>
      </w:r>
      <w:r>
        <w:rPr>
          <w:rStyle w:val="VerbatimChar"/>
        </w:rPr>
        <w:t>classToSearch</w:t>
      </w:r>
      <w:r>
        <w:rPr/>
        <w:t xml:space="preserve"> could be "Road" to select only road features from it. If provided, the DataPrep module will filter the spatial data to only those entries matching the given class in the specified attribute field.</w:t>
      </w:r>
    </w:p>
    <w:p>
      <w:pPr>
        <w:pStyle w:val="Normal"/>
        <w:numPr>
          <w:ilvl w:val="0"/>
          <w:numId w:val="62"/>
        </w:numPr>
        <w:rPr/>
      </w:pPr>
      <w:r>
        <w:rPr>
          <w:rStyle w:val="VerbatimChar"/>
          <w:b/>
          <w:bCs/>
        </w:rPr>
        <w:t>fileName</w:t>
      </w:r>
      <w:r>
        <w:rPr>
          <w:b/>
          <w:bCs/>
        </w:rPr>
        <w:t>:</w:t>
      </w:r>
      <w:r>
        <w:rPr/>
        <w:t xml:space="preserve"> If the data is inside an archive (zip) and not named obviously, this specifies the exact filename to use within the zip. This is needed for certain downloads where multiple files are packaged together.</w:t>
      </w:r>
    </w:p>
    <w:p>
      <w:pPr>
        <w:pStyle w:val="Normal"/>
        <w:numPr>
          <w:ilvl w:val="0"/>
          <w:numId w:val="63"/>
        </w:numPr>
        <w:rPr/>
      </w:pPr>
      <w:r>
        <w:rPr>
          <w:rStyle w:val="VerbatimChar"/>
          <w:b/>
          <w:bCs/>
        </w:rPr>
        <w:t>dataType</w:t>
      </w:r>
      <w:r>
        <w:rPr>
          <w:b/>
          <w:bCs/>
        </w:rPr>
        <w:t>:</w:t>
      </w:r>
      <w:r>
        <w:rPr/>
        <w:t xml:space="preserve"> The format of the data (e.g. 'shapefile', 'raster', 'mif'). This guides how the data will be read (e.g. using </w:t>
      </w:r>
      <w:r>
        <w:rPr>
          <w:rStyle w:val="VerbatimChar"/>
        </w:rPr>
        <w:t>terra::vect</w:t>
      </w:r>
      <w:r>
        <w:rPr/>
        <w:t xml:space="preserve"> for vector or </w:t>
      </w:r>
      <w:r>
        <w:rPr>
          <w:rStyle w:val="VerbatimChar"/>
        </w:rPr>
        <w:t>terra::rast</w:t>
      </w:r>
      <w:r>
        <w:rPr/>
        <w:t xml:space="preserve"> for rasters). The module supports converting rasters to polygons if needed (e.g. a binary disturbance raster could be converted to vector) and reading MapInfo .mif files as shapefiles.</w:t>
      </w:r>
    </w:p>
    <w:p>
      <w:pPr>
        <w:pStyle w:val="FirstParagraph"/>
        <w:rPr/>
      </w:pPr>
      <w:r>
        <w:rPr/>
        <w:t xml:space="preserve">This </w:t>
      </w:r>
      <w:r>
        <w:rPr>
          <w:rStyle w:val="VerbatimChar"/>
        </w:rPr>
        <w:t>disturbanceDT</w:t>
      </w:r>
      <w:r>
        <w:rPr/>
        <w:t xml:space="preserve"> is crucial - it essentially tells the model </w:t>
      </w:r>
      <w:r>
        <w:rPr>
          <w:b/>
          <w:bCs/>
        </w:rPr>
        <w:t>what data to use and how</w:t>
      </w:r>
      <w:r>
        <w:rPr/>
        <w:t xml:space="preserve">. In practice, for the thesis case, this table would list all anthropogenic disturbance datasets for NW Territories: e.g., an entry for the 2015 human footprint raster (from Environment and Climate Change Canada), entries for each type of industrial disturbance (mines, wells, cutblocks, etc.) with their source shapefiles, and entries for each “potential” layer (like geology-based potential maps or planned development layers). An example excerpt: one row might have </w:t>
      </w:r>
      <w:r>
        <w:rPr>
          <w:rStyle w:val="VerbatimChar"/>
        </w:rPr>
        <w:t>dataName = "Mining"</w:t>
      </w:r>
      <w:r>
        <w:rPr/>
        <w:t xml:space="preserve">, </w:t>
      </w:r>
      <w:r>
        <w:rPr>
          <w:rStyle w:val="VerbatimChar"/>
        </w:rPr>
        <w:t>dataClass = "potentialMining"</w:t>
      </w:r>
      <w:r>
        <w:rPr/>
        <w:t xml:space="preserve">, </w:t>
      </w:r>
      <w:r>
        <w:rPr>
          <w:rStyle w:val="VerbatimChar"/>
        </w:rPr>
        <w:t>URL</w:t>
      </w:r>
      <w:r>
        <w:rPr/>
        <w:t xml:space="preserve"> pointing to a mineral potential map, and another row with </w:t>
      </w:r>
      <w:r>
        <w:rPr>
          <w:rStyle w:val="VerbatimChar"/>
        </w:rPr>
        <w:t>dataName = "Mining"</w:t>
      </w:r>
      <w:r>
        <w:rPr/>
        <w:t xml:space="preserve">, </w:t>
      </w:r>
      <w:r>
        <w:rPr>
          <w:rStyle w:val="VerbatimChar"/>
        </w:rPr>
        <w:t>dataClass = "mines"</w:t>
      </w:r>
      <w:r>
        <w:rPr/>
        <w:t xml:space="preserve">, </w:t>
      </w:r>
      <w:r>
        <w:rPr>
          <w:rStyle w:val="VerbatimChar"/>
        </w:rPr>
        <w:t>URL</w:t>
      </w:r>
      <w:r>
        <w:rPr/>
        <w:t xml:space="preserve"> pointing to a shapefile of existing mine sites. The DataPrep module would load both, merge existing mines into one layer and keep potentialMining separate.</w:t>
      </w:r>
    </w:p>
    <w:p>
      <w:pPr>
        <w:pStyle w:val="BodyText"/>
        <w:rPr/>
      </w:pPr>
      <w:r>
        <w:rPr/>
        <w:t xml:space="preserve">Other </w:t>
      </w:r>
      <w:r>
        <w:rPr>
          <w:b/>
          <w:bCs/>
        </w:rPr>
        <w:t>input objects</w:t>
      </w:r>
      <w:r>
        <w:rPr/>
        <w:t xml:space="preserve"> required include:</w:t>
      </w:r>
    </w:p>
    <w:p>
      <w:pPr>
        <w:pStyle w:val="Normal"/>
        <w:numPr>
          <w:ilvl w:val="0"/>
          <w:numId w:val="64"/>
        </w:numPr>
        <w:rPr/>
      </w:pPr>
      <w:r>
        <w:rPr>
          <w:b/>
          <w:bCs/>
        </w:rPr>
        <w:t>Study area (</w:t>
      </w:r>
      <w:r>
        <w:rPr>
          <w:rStyle w:val="VerbatimChar"/>
          <w:b/>
          <w:bCs/>
        </w:rPr>
        <w:t>studyArea</w:t>
      </w:r>
      <w:r>
        <w:rPr>
          <w:b/>
          <w:bCs/>
        </w:rPr>
        <w:t>):</w:t>
      </w:r>
      <w:r>
        <w:rPr/>
        <w:t xml:space="preserve"> A polygon delineating the modeling area (provided as a </w:t>
      </w:r>
      <w:r>
        <w:rPr>
          <w:rStyle w:val="VerbatimChar"/>
        </w:rPr>
        <w:t>SpatialPolygonDataFrame</w:t>
      </w:r>
      <w:r>
        <w:rPr/>
        <w:t xml:space="preserve"> or </w:t>
      </w:r>
      <w:r>
        <w:rPr>
          <w:rStyle w:val="VerbatimChar"/>
        </w:rPr>
        <w:t>SpatVector</w:t>
      </w:r>
      <w:r>
        <w:rPr/>
        <w:t>). All outputs will be clipped to this area. If not supplied, the modules will default to a predefined Northwest Territories + boreal region shape. The study area is used to crop input data and to calculate total area for percentage computations.</w:t>
      </w:r>
    </w:p>
    <w:p>
      <w:pPr>
        <w:pStyle w:val="Normal"/>
        <w:numPr>
          <w:ilvl w:val="0"/>
          <w:numId w:val="65"/>
        </w:numPr>
        <w:rPr/>
      </w:pPr>
      <w:r>
        <w:rPr>
          <w:b/>
          <w:bCs/>
        </w:rPr>
        <w:t>Raster-to-match (</w:t>
      </w:r>
      <w:r>
        <w:rPr>
          <w:rStyle w:val="VerbatimChar"/>
          <w:b/>
          <w:bCs/>
        </w:rPr>
        <w:t>rasterToMatch</w:t>
      </w:r>
      <w:r>
        <w:rPr>
          <w:b/>
          <w:bCs/>
        </w:rPr>
        <w:t>):</w:t>
      </w:r>
      <w:r>
        <w:rPr/>
        <w:t xml:space="preserve"> A raster layer defining the target resolution, extent, and projection for the spatial data. All disturbance layers are transformed to match this raster’s grid. If not given, a default 30 m raster for the region is loaded. This ensures consistency in spatial alignment.</w:t>
      </w:r>
    </w:p>
    <w:p>
      <w:pPr>
        <w:pStyle w:val="Normal"/>
        <w:numPr>
          <w:ilvl w:val="0"/>
          <w:numId w:val="66"/>
        </w:numPr>
        <w:rPr/>
      </w:pPr>
      <w:r>
        <w:rPr>
          <w:b/>
          <w:bCs/>
        </w:rPr>
        <w:t>Disturbance parameters table (</w:t>
      </w:r>
      <w:r>
        <w:rPr>
          <w:rStyle w:val="VerbatimChar"/>
          <w:b/>
          <w:bCs/>
        </w:rPr>
        <w:t>disturbanceParameters</w:t>
      </w:r>
      <w:r>
        <w:rPr>
          <w:b/>
          <w:bCs/>
        </w:rPr>
        <w:t>):</w:t>
      </w:r>
      <w:r>
        <w:rPr/>
        <w:t xml:space="preserve"> If the user has a custom CSV or data table specifying disturbance types and their parameters (rate, size, etc.), it can be provided. Otherwise, the model will load a default parameter set included with the module (for example, an internal data file </w:t>
      </w:r>
      <w:r>
        <w:rPr>
          <w:rStyle w:val="VerbatimChar"/>
        </w:rPr>
        <w:t>paramsGeneral.txt</w:t>
      </w:r>
      <w:r>
        <w:rPr/>
        <w:t xml:space="preserve"> for NT). This table, as described earlier, guides the simulation rules for each type. Users might tweak this input to run different scenarios (e.g. increasing the rate for oil/gas development to simulate a boom).</w:t>
      </w:r>
    </w:p>
    <w:p>
      <w:pPr>
        <w:pStyle w:val="Normal"/>
        <w:numPr>
          <w:ilvl w:val="0"/>
          <w:numId w:val="67"/>
        </w:numPr>
        <w:rPr/>
      </w:pPr>
      <w:r>
        <w:rPr>
          <w:b/>
          <w:bCs/>
        </w:rPr>
        <w:t>Potential-combination instructions (</w:t>
      </w:r>
      <w:r>
        <w:rPr>
          <w:rStyle w:val="VerbatimChar"/>
          <w:b/>
          <w:bCs/>
        </w:rPr>
        <w:t>whatToCombine</w:t>
      </w:r>
      <w:r>
        <w:rPr>
          <w:b/>
          <w:bCs/>
        </w:rPr>
        <w:t>):</w:t>
      </w:r>
      <w:r>
        <w:rPr/>
        <w:t xml:space="preserve"> A small data table input (or parameter) used by the PotentialResourcesNT module, specifying how to combine layers. By default, the module has a built-in table for NW Territories where, for instance, it knows to use </w:t>
      </w:r>
      <w:r>
        <w:rPr>
          <w:rStyle w:val="VerbatimChar"/>
        </w:rPr>
        <w:t>CLAIM_STAT</w:t>
      </w:r>
      <w:r>
        <w:rPr/>
        <w:t xml:space="preserve"> and </w:t>
      </w:r>
      <w:r>
        <w:rPr>
          <w:rStyle w:val="VerbatimChar"/>
        </w:rPr>
        <w:t>PERMIT_STA</w:t>
      </w:r>
      <w:r>
        <w:rPr/>
        <w:t xml:space="preserve"> fields for mining, and a certain raster for oil potential. If the user were adapting the model to a new region, they might provide a modified </w:t>
      </w:r>
      <w:r>
        <w:rPr>
          <w:rStyle w:val="VerbatimChar"/>
        </w:rPr>
        <w:t>whatToCombine</w:t>
      </w:r>
      <w:r>
        <w:rPr/>
        <w:t xml:space="preserve"> to reflect available data (or skip this module if not needed).</w:t>
      </w:r>
    </w:p>
    <w:p>
      <w:pPr>
        <w:pStyle w:val="Normal"/>
        <w:numPr>
          <w:ilvl w:val="0"/>
          <w:numId w:val="68"/>
        </w:numPr>
        <w:rPr/>
      </w:pPr>
      <w:r>
        <w:rPr>
          <w:b/>
          <w:bCs/>
        </w:rPr>
        <w:t>Fire layer (</w:t>
      </w:r>
      <w:r>
        <w:rPr>
          <w:rStyle w:val="VerbatimChar"/>
          <w:b/>
          <w:bCs/>
        </w:rPr>
        <w:t>rstCurrentBurn</w:t>
      </w:r>
      <w:r>
        <w:rPr>
          <w:b/>
          <w:bCs/>
        </w:rPr>
        <w:t>) (optional):</w:t>
      </w:r>
      <w:r>
        <w:rPr/>
        <w:t xml:space="preserve"> A raster of recent burns (forest fire disturbance) for the study area. This is only needed if one wants the forestry disturbance process to avoid areas recently burned. If provided (or generated by a fire simulation module), the generator will use it to mask out those areas when placing new forestry cutblocks. If not supplied, the model will assume no fire disturbances (or will attempt to find one in an input folder, as indicated by a warning).</w:t>
      </w:r>
    </w:p>
    <w:p>
      <w:pPr>
        <w:pStyle w:val="Normal"/>
        <w:numPr>
          <w:ilvl w:val="0"/>
          <w:numId w:val="69"/>
        </w:numPr>
        <w:rPr/>
      </w:pPr>
      <w:r>
        <w:rPr>
          <w:b/>
          <w:bCs/>
        </w:rPr>
        <w:t>Features-to-avoid mask (</w:t>
      </w:r>
      <w:r>
        <w:rPr>
          <w:rStyle w:val="VerbatimChar"/>
          <w:b/>
          <w:bCs/>
        </w:rPr>
        <w:t>featuresToAvoid</w:t>
      </w:r>
      <w:r>
        <w:rPr>
          <w:b/>
          <w:bCs/>
        </w:rPr>
        <w:t>) (optional):</w:t>
      </w:r>
      <w:r>
        <w:rPr/>
        <w:t xml:space="preserve"> A spatial layer (often a raster) indicating areas where new linear features should not go (e.g. water bodies, protected areas, mountains). If supplied and if </w:t>
      </w:r>
      <w:r>
        <w:rPr>
          <w:rStyle w:val="VerbatimChar"/>
        </w:rPr>
        <w:t>maskWaterAndMountainsFromLines=TRUE</w:t>
      </w:r>
      <w:r>
        <w:rPr/>
        <w:t xml:space="preserve"> in parameters, the connecting algorithm will treat these areas as high-cost or impassable when routing new roads/pipelines. In the NW Territories case, a raster combining lakes and steep slope areas could serve as </w:t>
      </w:r>
      <w:r>
        <w:rPr>
          <w:rStyle w:val="VerbatimChar"/>
        </w:rPr>
        <w:t>featuresToAvoid</w:t>
      </w:r>
      <w:r>
        <w:rPr/>
        <w:t>. The model will rasterize vector obstacles if needed to incorporate into pathfinding.</w:t>
      </w:r>
    </w:p>
    <w:p>
      <w:pPr>
        <w:pStyle w:val="Normal"/>
        <w:numPr>
          <w:ilvl w:val="0"/>
          <w:numId w:val="70"/>
        </w:numPr>
        <w:rPr/>
      </w:pPr>
      <w:r>
        <w:rPr>
          <w:b/>
          <w:bCs/>
        </w:rPr>
        <w:t>DEM (digital elevation model) (optional):</w:t>
      </w:r>
      <w:r>
        <w:rPr/>
        <w:t xml:space="preserve"> If the </w:t>
      </w:r>
      <w:r>
        <w:rPr>
          <w:rStyle w:val="VerbatimChar"/>
        </w:rPr>
        <w:t>useRoadsPackage</w:t>
      </w:r>
      <w:r>
        <w:rPr/>
        <w:t xml:space="preserve"> parameter is TRUE (indicating use of a more advanced road-building algorithm), a DEM raster should be provided to compute slope costs. In the current implementation, this is optional and by default the road connections use simpler distance or straight-line paths unless the user integrates the </w:t>
      </w:r>
      <w:r>
        <w:rPr>
          <w:rStyle w:val="VerbatimChar"/>
        </w:rPr>
        <w:t>roads</w:t>
      </w:r>
      <w:r>
        <w:rPr/>
        <w:t xml:space="preserve"> package for more realism.</w:t>
      </w:r>
    </w:p>
    <w:p>
      <w:pPr>
        <w:pStyle w:val="Normal"/>
        <w:numPr>
          <w:ilvl w:val="0"/>
          <w:numId w:val="71"/>
        </w:numPr>
        <w:rPr/>
      </w:pPr>
      <w:r>
        <w:rPr>
          <w:b/>
          <w:bCs/>
        </w:rPr>
        <w:t>Pre-calculated DisturbanceRate table (optional):</w:t>
      </w:r>
      <w:r>
        <w:rPr/>
        <w:t xml:space="preserve"> The generator allows an optional input </w:t>
      </w:r>
      <w:r>
        <w:rPr>
          <w:rStyle w:val="VerbatimChar"/>
        </w:rPr>
        <w:t>DisturbanceRate</w:t>
      </w:r>
      <w:r>
        <w:rPr/>
        <w:t xml:space="preserve"> (data.table) to be supplied</w:t>
      </w:r>
      <w:hyperlink r:id="rId4">
        <w:r>
          <w:rPr>
            <w:rStyle w:val="Hyperlink"/>
          </w:rPr>
          <w:t>[6]</w:t>
        </w:r>
      </w:hyperlink>
      <w:r>
        <w:rPr/>
        <w:t xml:space="preserve">. This would contain pre-set annual disturbance rates per type, possibly from an external model or policy scenario. If given, the </w:t>
      </w:r>
      <w:r>
        <w:rPr>
          <w:rStyle w:val="VerbatimChar"/>
        </w:rPr>
        <w:t>calculatingRate</w:t>
      </w:r>
      <w:r>
        <w:rPr/>
        <w:t xml:space="preserve"> event can use it instead of computing from diffYears data. In absence of this, the model computes rates internally.</w:t>
      </w:r>
    </w:p>
    <w:p>
      <w:pPr>
        <w:pStyle w:val="FirstParagraph"/>
        <w:rPr/>
      </w:pPr>
      <w:r>
        <w:rPr/>
        <w:t xml:space="preserve">All the above inputs must be prepared prior to running the simulation. In summary, the </w:t>
      </w:r>
      <w:r>
        <w:rPr>
          <w:b/>
          <w:bCs/>
        </w:rPr>
        <w:t>minimum inputs</w:t>
      </w:r>
      <w:r>
        <w:rPr/>
        <w:t xml:space="preserve"> to run the model are: a </w:t>
      </w:r>
      <w:r>
        <w:rPr>
          <w:rStyle w:val="VerbatimChar"/>
        </w:rPr>
        <w:t>disturbanceDT</w:t>
      </w:r>
      <w:r>
        <w:rPr/>
        <w:t xml:space="preserve"> specifying data sources, and either the data files reachable at the given URLs or already downloaded in the </w:t>
      </w:r>
      <w:r>
        <w:rPr>
          <w:rStyle w:val="VerbatimChar"/>
        </w:rPr>
        <w:t>inputPath</w:t>
      </w:r>
      <w:r>
        <w:rPr/>
        <w:t xml:space="preserve">. Also needed are a study area and raster (defaults can cover this for the provided NT example). The model’s modular design means that if certain potential layers are not relevant, the corresponding module can be omitted or the </w:t>
      </w:r>
      <w:r>
        <w:rPr>
          <w:rStyle w:val="VerbatimChar"/>
        </w:rPr>
        <w:t>whatNotToCombine</w:t>
      </w:r>
      <w:r>
        <w:rPr/>
        <w:t xml:space="preserve"> parameter can exclude them (for instance, if no special potential processing is needed, one could skip the PotentialResources module and let </w:t>
      </w:r>
      <w:r>
        <w:rPr>
          <w:rStyle w:val="VerbatimChar"/>
        </w:rPr>
        <w:t>anthroDisturbance_DataPrep</w:t>
      </w:r>
      <w:r>
        <w:rPr/>
        <w:t xml:space="preserve"> combine everything).</w:t>
      </w:r>
      <w:bookmarkEnd w:id="14"/>
    </w:p>
    <w:p>
      <w:pPr>
        <w:pStyle w:val="BodyText"/>
        <w:rPr/>
      </w:pPr>
      <w:r>
        <w:rPr/>
      </w:r>
    </w:p>
    <w:tbl>
      <w:tblPr>
        <w:tblW w:w="9919" w:type="dxa"/>
        <w:jc w:val="left"/>
        <w:tblInd w:w="28" w:type="dxa"/>
        <w:tblLayout w:type="fixed"/>
        <w:tblCellMar>
          <w:top w:w="28" w:type="dxa"/>
          <w:left w:w="28" w:type="dxa"/>
          <w:bottom w:w="28" w:type="dxa"/>
          <w:right w:w="28" w:type="dxa"/>
        </w:tblCellMar>
      </w:tblPr>
      <w:tblGrid>
        <w:gridCol w:w="1380"/>
        <w:gridCol w:w="1170"/>
        <w:gridCol w:w="1260"/>
        <w:gridCol w:w="1440"/>
        <w:gridCol w:w="1980"/>
        <w:gridCol w:w="1080"/>
        <w:gridCol w:w="1609"/>
      </w:tblGrid>
      <w:tr>
        <w:trPr>
          <w:tblHeader w:val="true"/>
          <w:trHeight w:val="390" w:hRule="atLeast"/>
        </w:trPr>
        <w:tc>
          <w:tcPr>
            <w:tcW w:w="1380" w:type="dxa"/>
            <w:tcBorders/>
            <w:vAlign w:val="center"/>
          </w:tcPr>
          <w:p>
            <w:pPr>
              <w:pStyle w:val="TableHeading"/>
              <w:spacing w:before="0" w:after="200"/>
              <w:rPr>
                <w:b w:val="false"/>
                <w:bCs w:val="false"/>
                <w:i w:val="false"/>
                <w:iCs w:val="false"/>
                <w:sz w:val="12"/>
                <w:szCs w:val="24"/>
              </w:rPr>
            </w:pPr>
            <w:r>
              <w:rPr>
                <w:bCs w:val="false"/>
                <w:iCs w:val="false"/>
                <w:sz w:val="12"/>
                <w:szCs w:val="24"/>
              </w:rPr>
              <w:t>Dataset (as used in module)</w:t>
            </w:r>
          </w:p>
        </w:tc>
        <w:tc>
          <w:tcPr>
            <w:tcW w:w="1170" w:type="dxa"/>
            <w:tcBorders/>
            <w:vAlign w:val="center"/>
          </w:tcPr>
          <w:p>
            <w:pPr>
              <w:pStyle w:val="TableHeading"/>
              <w:spacing w:before="0" w:after="200"/>
              <w:rPr>
                <w:b w:val="false"/>
                <w:bCs w:val="false"/>
                <w:i w:val="false"/>
                <w:iCs w:val="false"/>
                <w:sz w:val="12"/>
                <w:szCs w:val="24"/>
              </w:rPr>
            </w:pPr>
            <w:r>
              <w:rPr>
                <w:bCs w:val="false"/>
                <w:iCs w:val="false"/>
                <w:sz w:val="12"/>
                <w:szCs w:val="24"/>
              </w:rPr>
              <w:t>Authority</w:t>
            </w:r>
          </w:p>
        </w:tc>
        <w:tc>
          <w:tcPr>
            <w:tcW w:w="1260" w:type="dxa"/>
            <w:tcBorders/>
            <w:vAlign w:val="center"/>
          </w:tcPr>
          <w:p>
            <w:pPr>
              <w:pStyle w:val="TableHeading"/>
              <w:spacing w:before="0" w:after="200"/>
              <w:jc w:val="left"/>
              <w:rPr>
                <w:b w:val="false"/>
                <w:bCs w:val="false"/>
                <w:i w:val="false"/>
                <w:iCs w:val="false"/>
                <w:sz w:val="12"/>
                <w:szCs w:val="24"/>
              </w:rPr>
            </w:pPr>
            <w:r>
              <w:rPr>
                <w:bCs w:val="false"/>
                <w:iCs w:val="false"/>
                <w:sz w:val="12"/>
                <w:szCs w:val="24"/>
              </w:rPr>
              <w:t>Years (temporal coverage)</w:t>
            </w:r>
          </w:p>
        </w:tc>
        <w:tc>
          <w:tcPr>
            <w:tcW w:w="1440" w:type="dxa"/>
            <w:tcBorders/>
            <w:vAlign w:val="center"/>
          </w:tcPr>
          <w:p>
            <w:pPr>
              <w:pStyle w:val="TableHeading"/>
              <w:spacing w:before="0" w:after="200"/>
              <w:rPr>
                <w:b w:val="false"/>
                <w:bCs w:val="false"/>
                <w:i w:val="false"/>
                <w:iCs w:val="false"/>
                <w:sz w:val="12"/>
                <w:szCs w:val="24"/>
              </w:rPr>
            </w:pPr>
            <w:r>
              <w:rPr>
                <w:bCs w:val="false"/>
                <w:iCs w:val="false"/>
                <w:sz w:val="12"/>
                <w:szCs w:val="24"/>
              </w:rPr>
              <w:t>Spatial resolution / geometry</w:t>
            </w:r>
          </w:p>
        </w:tc>
        <w:tc>
          <w:tcPr>
            <w:tcW w:w="1980" w:type="dxa"/>
            <w:tcBorders/>
            <w:vAlign w:val="center"/>
          </w:tcPr>
          <w:p>
            <w:pPr>
              <w:pStyle w:val="TableHeading"/>
              <w:spacing w:before="0" w:after="200"/>
              <w:rPr>
                <w:b w:val="false"/>
                <w:bCs w:val="false"/>
                <w:i w:val="false"/>
                <w:iCs w:val="false"/>
                <w:sz w:val="12"/>
                <w:szCs w:val="24"/>
              </w:rPr>
            </w:pPr>
            <w:r>
              <w:rPr>
                <w:bCs w:val="false"/>
                <w:iCs w:val="false"/>
                <w:sz w:val="12"/>
                <w:szCs w:val="24"/>
              </w:rPr>
              <w:t>Domain (what it contains)</w:t>
            </w:r>
          </w:p>
        </w:tc>
        <w:tc>
          <w:tcPr>
            <w:tcW w:w="1080" w:type="dxa"/>
            <w:tcBorders/>
            <w:vAlign w:val="center"/>
          </w:tcPr>
          <w:p>
            <w:pPr>
              <w:pStyle w:val="TableHeading"/>
              <w:spacing w:before="0" w:after="200"/>
              <w:rPr>
                <w:b w:val="false"/>
                <w:bCs w:val="false"/>
                <w:i w:val="false"/>
                <w:iCs w:val="false"/>
                <w:sz w:val="12"/>
                <w:szCs w:val="24"/>
              </w:rPr>
            </w:pPr>
            <w:r>
              <w:rPr>
                <w:bCs w:val="false"/>
                <w:iCs w:val="false"/>
                <w:sz w:val="12"/>
                <w:szCs w:val="24"/>
              </w:rPr>
              <w:t>License</w:t>
            </w:r>
          </w:p>
        </w:tc>
        <w:tc>
          <w:tcPr>
            <w:tcW w:w="1609" w:type="dxa"/>
            <w:tcBorders/>
            <w:vAlign w:val="center"/>
          </w:tcPr>
          <w:p>
            <w:pPr>
              <w:pStyle w:val="TableHeading"/>
              <w:spacing w:before="0" w:after="200"/>
              <w:rPr>
                <w:b w:val="false"/>
                <w:bCs w:val="false"/>
                <w:i w:val="false"/>
                <w:iCs w:val="false"/>
                <w:sz w:val="12"/>
                <w:szCs w:val="24"/>
              </w:rPr>
            </w:pPr>
            <w:r>
              <w:rPr>
                <w:bCs w:val="false"/>
                <w:iCs w:val="false"/>
                <w:sz w:val="12"/>
                <w:szCs w:val="24"/>
              </w:rPr>
              <w:t>Citation / landing page</w:t>
            </w:r>
          </w:p>
        </w:tc>
      </w:tr>
      <w:tr>
        <w:trPr>
          <w:trHeight w:val="885" w:hRule="atLeast"/>
        </w:trPr>
        <w:tc>
          <w:tcPr>
            <w:tcW w:w="1380" w:type="dxa"/>
            <w:tcBorders/>
            <w:vAlign w:val="center"/>
          </w:tcPr>
          <w:p>
            <w:pPr>
              <w:pStyle w:val="TableContents"/>
              <w:spacing w:before="0" w:after="200"/>
              <w:rPr>
                <w:b w:val="false"/>
                <w:bCs w:val="false"/>
                <w:i w:val="false"/>
                <w:iCs w:val="false"/>
                <w:sz w:val="24"/>
                <w:szCs w:val="24"/>
              </w:rPr>
            </w:pPr>
            <w:r>
              <w:rPr>
                <w:rStyle w:val="Strong"/>
                <w:iCs w:val="false"/>
                <w:sz w:val="12"/>
                <w:szCs w:val="12"/>
              </w:rPr>
              <w:t>Boreal Ecosystem Anthropogenic Disturbance (BEAD) — 2008-2010 (linear &amp; polygonal)</w:t>
            </w:r>
            <w:r>
              <w:rPr>
                <w:bCs w:val="false"/>
                <w:iCs w:val="false"/>
                <w:sz w:val="12"/>
                <w:szCs w:val="12"/>
              </w:rPr>
              <w:t xml:space="preserve"> </w:t>
            </w:r>
          </w:p>
        </w:tc>
        <w:tc>
          <w:tcPr>
            <w:tcW w:w="1170" w:type="dxa"/>
            <w:tcBorders/>
            <w:vAlign w:val="center"/>
          </w:tcPr>
          <w:p>
            <w:pPr>
              <w:pStyle w:val="TableContents"/>
              <w:spacing w:before="0" w:after="200"/>
              <w:rPr>
                <w:b w:val="false"/>
                <w:bCs w:val="false"/>
                <w:i w:val="false"/>
                <w:iCs w:val="false"/>
                <w:sz w:val="12"/>
                <w:szCs w:val="24"/>
              </w:rPr>
            </w:pPr>
            <w:r>
              <w:rPr>
                <w:bCs w:val="false"/>
                <w:iCs w:val="false"/>
                <w:sz w:val="12"/>
                <w:szCs w:val="24"/>
              </w:rPr>
              <w:t>Environment and Climate Change Canada (ECCC)</w:t>
            </w:r>
          </w:p>
        </w:tc>
        <w:tc>
          <w:tcPr>
            <w:tcW w:w="1260" w:type="dxa"/>
            <w:tcBorders/>
            <w:vAlign w:val="center"/>
          </w:tcPr>
          <w:p>
            <w:pPr>
              <w:pStyle w:val="TableContents"/>
              <w:spacing w:before="0" w:after="200"/>
              <w:jc w:val="left"/>
              <w:rPr>
                <w:b w:val="false"/>
                <w:bCs w:val="false"/>
                <w:i w:val="false"/>
                <w:iCs w:val="false"/>
                <w:sz w:val="12"/>
                <w:szCs w:val="24"/>
              </w:rPr>
            </w:pPr>
            <w:r>
              <w:rPr>
                <w:bCs w:val="false"/>
                <w:iCs w:val="false"/>
                <w:sz w:val="12"/>
                <w:szCs w:val="24"/>
              </w:rPr>
              <w:t>2008-2010 (interpreted from Landsat)</w:t>
            </w:r>
          </w:p>
        </w:tc>
        <w:tc>
          <w:tcPr>
            <w:tcW w:w="1440" w:type="dxa"/>
            <w:tcBorders/>
            <w:vAlign w:val="center"/>
          </w:tcPr>
          <w:p>
            <w:pPr>
              <w:pStyle w:val="TableContents"/>
              <w:spacing w:before="0" w:after="200"/>
              <w:rPr>
                <w:b w:val="false"/>
                <w:bCs w:val="false"/>
                <w:i w:val="false"/>
                <w:iCs w:val="false"/>
                <w:sz w:val="12"/>
                <w:szCs w:val="24"/>
              </w:rPr>
            </w:pPr>
            <w:r>
              <w:rPr>
                <w:bCs w:val="false"/>
                <w:iCs w:val="false"/>
                <w:sz w:val="12"/>
                <w:szCs w:val="24"/>
              </w:rPr>
              <w:t>Vector; mapped from 30 m Landsat; linear and polygonal feature classes</w:t>
            </w:r>
          </w:p>
        </w:tc>
        <w:tc>
          <w:tcPr>
            <w:tcW w:w="1980" w:type="dxa"/>
            <w:tcBorders/>
            <w:vAlign w:val="center"/>
          </w:tcPr>
          <w:p>
            <w:pPr>
              <w:pStyle w:val="TableContents"/>
              <w:spacing w:before="0" w:after="200"/>
              <w:rPr>
                <w:b w:val="false"/>
                <w:bCs w:val="false"/>
                <w:i w:val="false"/>
                <w:iCs w:val="false"/>
                <w:sz w:val="12"/>
                <w:szCs w:val="24"/>
              </w:rPr>
            </w:pPr>
            <w:r>
              <w:rPr>
                <w:bCs w:val="false"/>
                <w:iCs w:val="false"/>
                <w:sz w:val="12"/>
                <w:szCs w:val="24"/>
              </w:rPr>
              <w:t>Anthropogenic linear &amp; polygonal disturbances (e.g., roads, seismic, pipelines, well pads, mines, agriculture, cutblocks) across the boreal</w:t>
            </w:r>
          </w:p>
        </w:tc>
        <w:tc>
          <w:tcPr>
            <w:tcW w:w="1080" w:type="dxa"/>
            <w:tcBorders/>
            <w:vAlign w:val="center"/>
          </w:tcPr>
          <w:p>
            <w:pPr>
              <w:pStyle w:val="TableContents"/>
              <w:spacing w:before="0" w:after="200"/>
              <w:rPr>
                <w:b w:val="false"/>
                <w:bCs w:val="false"/>
                <w:i w:val="false"/>
                <w:iCs w:val="false"/>
                <w:sz w:val="24"/>
                <w:szCs w:val="24"/>
              </w:rPr>
            </w:pPr>
            <w:r>
              <w:rPr>
                <w:rStyle w:val="Strong"/>
                <w:iCs w:val="false"/>
                <w:sz w:val="12"/>
                <w:szCs w:val="12"/>
              </w:rPr>
              <w:t>Open Government Licence - Canada</w:t>
            </w:r>
          </w:p>
        </w:tc>
        <w:tc>
          <w:tcPr>
            <w:tcW w:w="1609" w:type="dxa"/>
            <w:tcBorders/>
            <w:vAlign w:val="center"/>
          </w:tcPr>
          <w:p>
            <w:pPr>
              <w:pStyle w:val="TableContents"/>
              <w:spacing w:before="0" w:after="200"/>
              <w:rPr>
                <w:b w:val="false"/>
                <w:bCs w:val="false"/>
                <w:i w:val="false"/>
                <w:iCs w:val="false"/>
                <w:sz w:val="24"/>
                <w:szCs w:val="24"/>
              </w:rPr>
            </w:pPr>
            <w:r>
              <w:rPr>
                <w:bCs w:val="false"/>
                <w:iCs w:val="false"/>
                <w:sz w:val="12"/>
                <w:szCs w:val="12"/>
              </w:rPr>
              <w:t>Boreal ecosystem anthropogenic disturbance vector data (2008-2010). (</w:t>
            </w:r>
            <w:hyperlink r:id="rId5">
              <w:r>
                <w:rPr>
                  <w:rStyle w:val="Hyperlink"/>
                  <w:bCs w:val="false"/>
                  <w:iCs w:val="false"/>
                  <w:sz w:val="12"/>
                  <w:szCs w:val="12"/>
                </w:rPr>
                <w:t>open.canada.ca</w:t>
              </w:r>
            </w:hyperlink>
            <w:r>
              <w:rPr>
                <w:bCs w:val="false"/>
                <w:iCs w:val="false"/>
                <w:sz w:val="12"/>
                <w:szCs w:val="12"/>
              </w:rPr>
              <w:t>)</w:t>
            </w:r>
          </w:p>
        </w:tc>
      </w:tr>
      <w:tr>
        <w:trPr/>
        <w:tc>
          <w:tcPr>
            <w:tcW w:w="1380" w:type="dxa"/>
            <w:tcBorders/>
            <w:vAlign w:val="center"/>
          </w:tcPr>
          <w:p>
            <w:pPr>
              <w:pStyle w:val="TableContents"/>
              <w:spacing w:before="0" w:after="200"/>
              <w:rPr>
                <w:b w:val="false"/>
                <w:bCs w:val="false"/>
                <w:i w:val="false"/>
                <w:iCs w:val="false"/>
                <w:sz w:val="24"/>
                <w:szCs w:val="24"/>
              </w:rPr>
            </w:pPr>
            <w:r>
              <w:rPr>
                <w:rStyle w:val="Strong"/>
                <w:iCs w:val="false"/>
                <w:sz w:val="12"/>
                <w:szCs w:val="12"/>
              </w:rPr>
              <w:t>BEAD — 2015 update (linear &amp; polygonal)</w:t>
            </w:r>
            <w:r>
              <w:rPr>
                <w:bCs w:val="false"/>
                <w:iCs w:val="false"/>
                <w:sz w:val="12"/>
                <w:szCs w:val="12"/>
              </w:rPr>
              <w:t xml:space="preserve"> </w:t>
            </w:r>
          </w:p>
        </w:tc>
        <w:tc>
          <w:tcPr>
            <w:tcW w:w="1170" w:type="dxa"/>
            <w:tcBorders/>
            <w:vAlign w:val="center"/>
          </w:tcPr>
          <w:p>
            <w:pPr>
              <w:pStyle w:val="TableContents"/>
              <w:spacing w:before="0" w:after="200"/>
              <w:rPr>
                <w:b w:val="false"/>
                <w:bCs w:val="false"/>
                <w:i w:val="false"/>
                <w:iCs w:val="false"/>
                <w:sz w:val="12"/>
                <w:szCs w:val="24"/>
              </w:rPr>
            </w:pPr>
            <w:r>
              <w:rPr>
                <w:bCs w:val="false"/>
                <w:iCs w:val="false"/>
                <w:sz w:val="12"/>
                <w:szCs w:val="24"/>
              </w:rPr>
              <w:t>Environment and Climate Change Canada (ECCC)</w:t>
            </w:r>
          </w:p>
        </w:tc>
        <w:tc>
          <w:tcPr>
            <w:tcW w:w="1260" w:type="dxa"/>
            <w:tcBorders/>
            <w:vAlign w:val="center"/>
          </w:tcPr>
          <w:p>
            <w:pPr>
              <w:pStyle w:val="TableContents"/>
              <w:spacing w:before="0" w:after="200"/>
              <w:jc w:val="left"/>
              <w:rPr>
                <w:b w:val="false"/>
                <w:bCs w:val="false"/>
                <w:i w:val="false"/>
                <w:iCs w:val="false"/>
                <w:sz w:val="12"/>
                <w:szCs w:val="24"/>
              </w:rPr>
            </w:pPr>
            <w:r>
              <w:rPr>
                <w:bCs w:val="false"/>
                <w:iCs w:val="false"/>
                <w:sz w:val="12"/>
                <w:szCs w:val="24"/>
              </w:rPr>
              <w:t>2015 (interpreted from Landsat)</w:t>
            </w:r>
          </w:p>
        </w:tc>
        <w:tc>
          <w:tcPr>
            <w:tcW w:w="1440" w:type="dxa"/>
            <w:tcBorders/>
            <w:vAlign w:val="center"/>
          </w:tcPr>
          <w:p>
            <w:pPr>
              <w:pStyle w:val="TableContents"/>
              <w:spacing w:before="0" w:after="200"/>
              <w:rPr>
                <w:b w:val="false"/>
                <w:bCs w:val="false"/>
                <w:i w:val="false"/>
                <w:iCs w:val="false"/>
                <w:sz w:val="12"/>
                <w:szCs w:val="24"/>
              </w:rPr>
            </w:pPr>
            <w:r>
              <w:rPr>
                <w:bCs w:val="false"/>
                <w:iCs w:val="false"/>
                <w:sz w:val="12"/>
                <w:szCs w:val="24"/>
              </w:rPr>
              <w:t>Vector; delivered with 15 m &amp; 30 m disturbance “footprints” (buffered products) plus original geometry</w:t>
            </w:r>
          </w:p>
        </w:tc>
        <w:tc>
          <w:tcPr>
            <w:tcW w:w="1980" w:type="dxa"/>
            <w:tcBorders/>
            <w:vAlign w:val="center"/>
          </w:tcPr>
          <w:p>
            <w:pPr>
              <w:pStyle w:val="TableContents"/>
              <w:spacing w:before="0" w:after="200"/>
              <w:rPr>
                <w:b w:val="false"/>
                <w:bCs w:val="false"/>
                <w:i w:val="false"/>
                <w:iCs w:val="false"/>
                <w:sz w:val="12"/>
                <w:szCs w:val="24"/>
              </w:rPr>
            </w:pPr>
            <w:r>
              <w:rPr>
                <w:bCs w:val="false"/>
                <w:iCs w:val="false"/>
                <w:sz w:val="12"/>
                <w:szCs w:val="24"/>
              </w:rPr>
              <w:t>Anthropogenic linear &amp; polygonal disturbances across boreal caribou ranges (national)</w:t>
            </w:r>
          </w:p>
        </w:tc>
        <w:tc>
          <w:tcPr>
            <w:tcW w:w="1080" w:type="dxa"/>
            <w:tcBorders/>
            <w:vAlign w:val="center"/>
          </w:tcPr>
          <w:p>
            <w:pPr>
              <w:pStyle w:val="TableContents"/>
              <w:spacing w:before="0" w:after="200"/>
              <w:rPr>
                <w:b w:val="false"/>
                <w:bCs w:val="false"/>
                <w:i w:val="false"/>
                <w:iCs w:val="false"/>
                <w:sz w:val="24"/>
                <w:szCs w:val="24"/>
              </w:rPr>
            </w:pPr>
            <w:r>
              <w:rPr>
                <w:rStyle w:val="Strong"/>
                <w:iCs w:val="false"/>
                <w:sz w:val="12"/>
                <w:szCs w:val="12"/>
              </w:rPr>
              <w:t>Open Government Licence - Canada</w:t>
            </w:r>
          </w:p>
        </w:tc>
        <w:tc>
          <w:tcPr>
            <w:tcW w:w="1609" w:type="dxa"/>
            <w:tcBorders/>
            <w:vAlign w:val="center"/>
          </w:tcPr>
          <w:p>
            <w:pPr>
              <w:pStyle w:val="TableContents"/>
              <w:spacing w:before="0" w:after="200"/>
              <w:rPr>
                <w:b w:val="false"/>
                <w:bCs w:val="false"/>
                <w:i w:val="false"/>
                <w:iCs w:val="false"/>
                <w:sz w:val="24"/>
                <w:szCs w:val="24"/>
              </w:rPr>
            </w:pPr>
            <w:r>
              <w:rPr>
                <w:bCs w:val="false"/>
                <w:iCs w:val="false"/>
                <w:sz w:val="12"/>
                <w:szCs w:val="12"/>
              </w:rPr>
              <w:t>2015 Anthropogenic disturbance footprint within boreal caribou ranges across Canada. (</w:t>
            </w:r>
            <w:hyperlink r:id="rId6">
              <w:r>
                <w:rPr>
                  <w:rStyle w:val="Hyperlink"/>
                  <w:bCs w:val="false"/>
                  <w:iCs w:val="false"/>
                  <w:sz w:val="12"/>
                  <w:szCs w:val="12"/>
                </w:rPr>
                <w:t>open.canada.ca</w:t>
              </w:r>
            </w:hyperlink>
            <w:r>
              <w:rPr>
                <w:bCs w:val="false"/>
                <w:iCs w:val="false"/>
                <w:sz w:val="12"/>
                <w:szCs w:val="12"/>
              </w:rPr>
              <w:t>)</w:t>
            </w:r>
          </w:p>
        </w:tc>
      </w:tr>
      <w:tr>
        <w:trPr/>
        <w:tc>
          <w:tcPr>
            <w:tcW w:w="1380" w:type="dxa"/>
            <w:tcBorders/>
            <w:vAlign w:val="center"/>
          </w:tcPr>
          <w:p>
            <w:pPr>
              <w:pStyle w:val="TableContents"/>
              <w:spacing w:before="0" w:after="200"/>
              <w:rPr>
                <w:b w:val="false"/>
                <w:bCs w:val="false"/>
                <w:i w:val="false"/>
                <w:iCs w:val="false"/>
                <w:sz w:val="24"/>
                <w:szCs w:val="24"/>
              </w:rPr>
            </w:pPr>
            <w:r>
              <w:rPr>
                <w:rStyle w:val="Strong"/>
                <w:iCs w:val="false"/>
                <w:sz w:val="12"/>
                <w:szCs w:val="12"/>
              </w:rPr>
              <w:t>Road network (used to QA/augment baseline linear features)</w:t>
            </w:r>
            <w:r>
              <w:rPr>
                <w:bCs w:val="false"/>
                <w:iCs w:val="false"/>
                <w:sz w:val="12"/>
                <w:szCs w:val="12"/>
              </w:rPr>
              <w:t xml:space="preserve"> </w:t>
            </w:r>
          </w:p>
        </w:tc>
        <w:tc>
          <w:tcPr>
            <w:tcW w:w="1170" w:type="dxa"/>
            <w:tcBorders/>
            <w:vAlign w:val="center"/>
          </w:tcPr>
          <w:p>
            <w:pPr>
              <w:pStyle w:val="TableContents"/>
              <w:spacing w:before="0" w:after="200"/>
              <w:rPr>
                <w:b w:val="false"/>
                <w:bCs w:val="false"/>
                <w:i w:val="false"/>
                <w:iCs w:val="false"/>
                <w:sz w:val="12"/>
                <w:szCs w:val="24"/>
              </w:rPr>
            </w:pPr>
            <w:r>
              <w:rPr>
                <w:bCs w:val="false"/>
                <w:iCs w:val="false"/>
                <w:sz w:val="12"/>
                <w:szCs w:val="24"/>
              </w:rPr>
              <w:t>Government of Canada — Statistics Canada (National Road Network, NRN)</w:t>
            </w:r>
          </w:p>
        </w:tc>
        <w:tc>
          <w:tcPr>
            <w:tcW w:w="1260" w:type="dxa"/>
            <w:tcBorders/>
            <w:vAlign w:val="center"/>
          </w:tcPr>
          <w:p>
            <w:pPr>
              <w:pStyle w:val="TableContents"/>
              <w:spacing w:before="0" w:after="200"/>
              <w:jc w:val="left"/>
              <w:rPr>
                <w:b w:val="false"/>
                <w:bCs w:val="false"/>
                <w:i w:val="false"/>
                <w:iCs w:val="false"/>
                <w:sz w:val="24"/>
                <w:szCs w:val="24"/>
              </w:rPr>
            </w:pPr>
            <w:r>
              <w:rPr>
                <w:bCs w:val="false"/>
                <w:iCs w:val="false"/>
                <w:sz w:val="12"/>
                <w:szCs w:val="12"/>
              </w:rPr>
              <w:t>Multi</w:t>
              <w:noBreakHyphen/>
              <w:t xml:space="preserve">year; dataset temporal coverage commonly spans </w:t>
            </w:r>
            <w:r>
              <w:rPr>
                <w:rStyle w:val="Strong"/>
                <w:iCs w:val="false"/>
                <w:sz w:val="12"/>
                <w:szCs w:val="12"/>
              </w:rPr>
              <w:t>1979-2020</w:t>
            </w:r>
            <w:r>
              <w:rPr>
                <w:bCs w:val="false"/>
                <w:iCs w:val="false"/>
                <w:sz w:val="12"/>
                <w:szCs w:val="12"/>
              </w:rPr>
              <w:t xml:space="preserve"> (module uses v13.0 for NT)</w:t>
            </w:r>
          </w:p>
        </w:tc>
        <w:tc>
          <w:tcPr>
            <w:tcW w:w="1440" w:type="dxa"/>
            <w:tcBorders/>
            <w:vAlign w:val="center"/>
          </w:tcPr>
          <w:p>
            <w:pPr>
              <w:pStyle w:val="TableContents"/>
              <w:spacing w:before="0" w:after="200"/>
              <w:rPr>
                <w:b w:val="false"/>
                <w:bCs w:val="false"/>
                <w:i w:val="false"/>
                <w:iCs w:val="false"/>
                <w:sz w:val="12"/>
                <w:szCs w:val="24"/>
              </w:rPr>
            </w:pPr>
            <w:r>
              <w:rPr>
                <w:bCs w:val="false"/>
                <w:iCs w:val="false"/>
                <w:sz w:val="12"/>
                <w:szCs w:val="24"/>
              </w:rPr>
              <w:t>Vector linework; national authoritative road segments (typical map scale 1:10k-1:50k); ISO 14825 compliant</w:t>
            </w:r>
          </w:p>
        </w:tc>
        <w:tc>
          <w:tcPr>
            <w:tcW w:w="1980" w:type="dxa"/>
            <w:tcBorders/>
            <w:vAlign w:val="center"/>
          </w:tcPr>
          <w:p>
            <w:pPr>
              <w:pStyle w:val="TableContents"/>
              <w:spacing w:before="0" w:after="200"/>
              <w:rPr>
                <w:b w:val="false"/>
                <w:bCs w:val="false"/>
                <w:i w:val="false"/>
                <w:iCs w:val="false"/>
                <w:sz w:val="12"/>
                <w:szCs w:val="24"/>
              </w:rPr>
            </w:pPr>
            <w:r>
              <w:rPr>
                <w:bCs w:val="false"/>
                <w:iCs w:val="false"/>
                <w:sz w:val="12"/>
                <w:szCs w:val="24"/>
              </w:rPr>
              <w:t>Transportation (roads, ferries, junctions; used as authoritative linear infrastructure)</w:t>
            </w:r>
          </w:p>
        </w:tc>
        <w:tc>
          <w:tcPr>
            <w:tcW w:w="1080" w:type="dxa"/>
            <w:tcBorders/>
            <w:vAlign w:val="center"/>
          </w:tcPr>
          <w:p>
            <w:pPr>
              <w:pStyle w:val="TableContents"/>
              <w:spacing w:before="0" w:after="200"/>
              <w:rPr>
                <w:b w:val="false"/>
                <w:bCs w:val="false"/>
                <w:i w:val="false"/>
                <w:iCs w:val="false"/>
                <w:sz w:val="24"/>
                <w:szCs w:val="24"/>
              </w:rPr>
            </w:pPr>
            <w:r>
              <w:rPr>
                <w:rStyle w:val="Strong"/>
                <w:iCs w:val="false"/>
                <w:sz w:val="12"/>
                <w:szCs w:val="12"/>
              </w:rPr>
              <w:t>Open Government Licence - Canada</w:t>
            </w:r>
          </w:p>
        </w:tc>
        <w:tc>
          <w:tcPr>
            <w:tcW w:w="1609" w:type="dxa"/>
            <w:tcBorders/>
            <w:vAlign w:val="center"/>
          </w:tcPr>
          <w:p>
            <w:pPr>
              <w:pStyle w:val="TableContents"/>
              <w:spacing w:before="0" w:after="200"/>
              <w:rPr>
                <w:b w:val="false"/>
                <w:bCs w:val="false"/>
                <w:i w:val="false"/>
                <w:iCs w:val="false"/>
                <w:sz w:val="24"/>
                <w:szCs w:val="24"/>
              </w:rPr>
            </w:pPr>
            <w:r>
              <w:rPr>
                <w:bCs w:val="false"/>
                <w:iCs w:val="false"/>
                <w:sz w:val="12"/>
                <w:szCs w:val="12"/>
              </w:rPr>
              <w:t>National Road Network (NRN) — GeoBase Series (national). (</w:t>
            </w:r>
            <w:hyperlink r:id="rId7">
              <w:r>
                <w:rPr>
                  <w:rStyle w:val="Hyperlink"/>
                  <w:bCs w:val="false"/>
                  <w:iCs w:val="false"/>
                  <w:sz w:val="12"/>
                  <w:szCs w:val="12"/>
                </w:rPr>
                <w:t>open.canada.ca</w:t>
              </w:r>
            </w:hyperlink>
            <w:r>
              <w:rPr>
                <w:bCs w:val="false"/>
                <w:iCs w:val="false"/>
                <w:sz w:val="12"/>
                <w:szCs w:val="12"/>
              </w:rPr>
              <w:t>)</w:t>
            </w:r>
          </w:p>
        </w:tc>
      </w:tr>
      <w:tr>
        <w:trPr/>
        <w:tc>
          <w:tcPr>
            <w:tcW w:w="1380" w:type="dxa"/>
            <w:tcBorders/>
            <w:vAlign w:val="center"/>
          </w:tcPr>
          <w:p>
            <w:pPr>
              <w:pStyle w:val="TableContents"/>
              <w:spacing w:before="0" w:after="200"/>
              <w:rPr>
                <w:b w:val="false"/>
                <w:bCs w:val="false"/>
                <w:i w:val="false"/>
                <w:iCs w:val="false"/>
                <w:sz w:val="24"/>
                <w:szCs w:val="24"/>
              </w:rPr>
            </w:pPr>
            <w:r>
              <w:rPr>
                <w:rStyle w:val="Strong"/>
                <w:iCs w:val="false"/>
                <w:sz w:val="12"/>
                <w:szCs w:val="12"/>
              </w:rPr>
              <w:t>Wind turbines (energy infrastructure)</w:t>
            </w:r>
            <w:r>
              <w:rPr>
                <w:bCs w:val="false"/>
                <w:iCs w:val="false"/>
                <w:sz w:val="12"/>
                <w:szCs w:val="12"/>
              </w:rPr>
              <w:t xml:space="preserve"> </w:t>
            </w:r>
          </w:p>
        </w:tc>
        <w:tc>
          <w:tcPr>
            <w:tcW w:w="1170" w:type="dxa"/>
            <w:tcBorders/>
            <w:vAlign w:val="center"/>
          </w:tcPr>
          <w:p>
            <w:pPr>
              <w:pStyle w:val="TableContents"/>
              <w:spacing w:before="0" w:after="200"/>
              <w:rPr>
                <w:b w:val="false"/>
                <w:bCs w:val="false"/>
                <w:i w:val="false"/>
                <w:iCs w:val="false"/>
                <w:sz w:val="12"/>
                <w:szCs w:val="24"/>
              </w:rPr>
            </w:pPr>
            <w:r>
              <w:rPr>
                <w:bCs w:val="false"/>
                <w:iCs w:val="false"/>
                <w:sz w:val="12"/>
                <w:szCs w:val="24"/>
              </w:rPr>
              <w:t>Natural Resources Canada (NRCan), CanmetENERGY</w:t>
              <w:noBreakHyphen/>
              <w:t>Ottawa (with partners)</w:t>
            </w:r>
          </w:p>
        </w:tc>
        <w:tc>
          <w:tcPr>
            <w:tcW w:w="1260" w:type="dxa"/>
            <w:tcBorders/>
            <w:vAlign w:val="center"/>
          </w:tcPr>
          <w:p>
            <w:pPr>
              <w:pStyle w:val="TableContents"/>
              <w:spacing w:before="0" w:after="200"/>
              <w:jc w:val="left"/>
              <w:rPr>
                <w:b w:val="false"/>
                <w:bCs w:val="false"/>
                <w:i w:val="false"/>
                <w:iCs w:val="false"/>
                <w:sz w:val="12"/>
                <w:szCs w:val="24"/>
              </w:rPr>
            </w:pPr>
            <w:r>
              <w:rPr>
                <w:bCs w:val="false"/>
                <w:iCs w:val="false"/>
                <w:sz w:val="12"/>
                <w:szCs w:val="24"/>
              </w:rPr>
              <w:t>~1993-2023 (national coverage; regularly updated)</w:t>
            </w:r>
          </w:p>
        </w:tc>
        <w:tc>
          <w:tcPr>
            <w:tcW w:w="1440" w:type="dxa"/>
            <w:tcBorders/>
            <w:vAlign w:val="center"/>
          </w:tcPr>
          <w:p>
            <w:pPr>
              <w:pStyle w:val="TableContents"/>
              <w:spacing w:before="0" w:after="200"/>
              <w:rPr>
                <w:b w:val="false"/>
                <w:bCs w:val="false"/>
                <w:i w:val="false"/>
                <w:iCs w:val="false"/>
                <w:sz w:val="12"/>
                <w:szCs w:val="24"/>
              </w:rPr>
            </w:pPr>
            <w:r>
              <w:rPr>
                <w:bCs w:val="false"/>
                <w:iCs w:val="false"/>
                <w:sz w:val="12"/>
                <w:szCs w:val="24"/>
              </w:rPr>
              <w:t>Vector points (turbine locations) with key attributes</w:t>
            </w:r>
          </w:p>
        </w:tc>
        <w:tc>
          <w:tcPr>
            <w:tcW w:w="1980" w:type="dxa"/>
            <w:tcBorders/>
            <w:vAlign w:val="center"/>
          </w:tcPr>
          <w:p>
            <w:pPr>
              <w:pStyle w:val="TableContents"/>
              <w:spacing w:before="0" w:after="200"/>
              <w:rPr>
                <w:b w:val="false"/>
                <w:bCs w:val="false"/>
                <w:i w:val="false"/>
                <w:iCs w:val="false"/>
                <w:sz w:val="12"/>
                <w:szCs w:val="24"/>
              </w:rPr>
            </w:pPr>
            <w:r>
              <w:rPr>
                <w:bCs w:val="false"/>
                <w:iCs w:val="false"/>
                <w:sz w:val="12"/>
                <w:szCs w:val="24"/>
              </w:rPr>
              <w:t>Energy infrastructure (onshore wind turbines; used to represent industrial footprint)</w:t>
            </w:r>
          </w:p>
        </w:tc>
        <w:tc>
          <w:tcPr>
            <w:tcW w:w="1080" w:type="dxa"/>
            <w:tcBorders/>
            <w:vAlign w:val="center"/>
          </w:tcPr>
          <w:p>
            <w:pPr>
              <w:pStyle w:val="TableContents"/>
              <w:spacing w:before="0" w:after="200"/>
              <w:rPr>
                <w:b w:val="false"/>
                <w:bCs w:val="false"/>
                <w:i w:val="false"/>
                <w:iCs w:val="false"/>
                <w:sz w:val="24"/>
                <w:szCs w:val="24"/>
              </w:rPr>
            </w:pPr>
            <w:r>
              <w:rPr>
                <w:rStyle w:val="Strong"/>
                <w:iCs w:val="false"/>
                <w:sz w:val="12"/>
                <w:szCs w:val="12"/>
              </w:rPr>
              <w:t>Open Government Licence - Canada</w:t>
            </w:r>
          </w:p>
        </w:tc>
        <w:tc>
          <w:tcPr>
            <w:tcW w:w="1609" w:type="dxa"/>
            <w:tcBorders/>
            <w:vAlign w:val="center"/>
          </w:tcPr>
          <w:p>
            <w:pPr>
              <w:pStyle w:val="TableContents"/>
              <w:spacing w:before="0" w:after="200"/>
              <w:rPr>
                <w:b w:val="false"/>
                <w:bCs w:val="false"/>
                <w:i w:val="false"/>
                <w:iCs w:val="false"/>
                <w:sz w:val="24"/>
                <w:szCs w:val="24"/>
              </w:rPr>
            </w:pPr>
            <w:r>
              <w:rPr>
                <w:bCs w:val="false"/>
                <w:iCs w:val="false"/>
                <w:sz w:val="12"/>
                <w:szCs w:val="12"/>
              </w:rPr>
              <w:t>Canadian Wind Turbine Database (FGDB, services &amp; docs). (</w:t>
            </w:r>
            <w:hyperlink r:id="rId8">
              <w:r>
                <w:rPr>
                  <w:rStyle w:val="Hyperlink"/>
                  <w:bCs w:val="false"/>
                  <w:iCs w:val="false"/>
                  <w:sz w:val="12"/>
                  <w:szCs w:val="12"/>
                </w:rPr>
                <w:t>open.canada.ca</w:t>
              </w:r>
            </w:hyperlink>
            <w:r>
              <w:rPr>
                <w:bCs w:val="false"/>
                <w:iCs w:val="false"/>
                <w:sz w:val="12"/>
                <w:szCs w:val="12"/>
              </w:rPr>
              <w:t>)</w:t>
            </w:r>
          </w:p>
        </w:tc>
      </w:tr>
      <w:tr>
        <w:trPr/>
        <w:tc>
          <w:tcPr>
            <w:tcW w:w="1380" w:type="dxa"/>
            <w:tcBorders/>
            <w:vAlign w:val="center"/>
          </w:tcPr>
          <w:p>
            <w:pPr>
              <w:pStyle w:val="TableContents"/>
              <w:spacing w:before="0" w:after="200"/>
              <w:rPr>
                <w:b w:val="false"/>
                <w:bCs w:val="false"/>
                <w:i w:val="false"/>
                <w:iCs w:val="false"/>
                <w:sz w:val="24"/>
                <w:szCs w:val="24"/>
              </w:rPr>
            </w:pPr>
            <w:r>
              <w:rPr>
                <w:rStyle w:val="Strong"/>
                <w:iCs w:val="false"/>
                <w:sz w:val="12"/>
                <w:szCs w:val="12"/>
              </w:rPr>
              <w:t>Mineral tenure</w:t>
            </w:r>
            <w:r>
              <w:rPr>
                <w:bCs w:val="false"/>
                <w:iCs w:val="false"/>
                <w:sz w:val="12"/>
                <w:szCs w:val="12"/>
              </w:rPr>
              <w:t xml:space="preserve"> </w:t>
            </w:r>
          </w:p>
        </w:tc>
        <w:tc>
          <w:tcPr>
            <w:tcW w:w="1170" w:type="dxa"/>
            <w:tcBorders/>
            <w:vAlign w:val="center"/>
          </w:tcPr>
          <w:p>
            <w:pPr>
              <w:pStyle w:val="TableContents"/>
              <w:spacing w:before="0" w:after="200"/>
              <w:rPr>
                <w:b w:val="false"/>
                <w:bCs w:val="false"/>
                <w:i w:val="false"/>
                <w:iCs w:val="false"/>
                <w:sz w:val="12"/>
                <w:szCs w:val="24"/>
              </w:rPr>
            </w:pPr>
            <w:r>
              <w:rPr>
                <w:bCs w:val="false"/>
                <w:iCs w:val="false"/>
                <w:sz w:val="12"/>
                <w:szCs w:val="24"/>
              </w:rPr>
              <w:t>Government of Northwest Territories (GNWT) — Mining Recorder’s Office / NTGS</w:t>
            </w:r>
          </w:p>
        </w:tc>
        <w:tc>
          <w:tcPr>
            <w:tcW w:w="1260" w:type="dxa"/>
            <w:tcBorders/>
            <w:vAlign w:val="center"/>
          </w:tcPr>
          <w:p>
            <w:pPr>
              <w:pStyle w:val="TableContents"/>
              <w:spacing w:before="0" w:after="200"/>
              <w:jc w:val="left"/>
              <w:rPr>
                <w:b w:val="false"/>
                <w:bCs w:val="false"/>
                <w:i w:val="false"/>
                <w:iCs w:val="false"/>
                <w:sz w:val="12"/>
                <w:szCs w:val="24"/>
              </w:rPr>
            </w:pPr>
            <w:r>
              <w:rPr>
                <w:bCs w:val="false"/>
                <w:iCs w:val="false"/>
                <w:sz w:val="12"/>
                <w:szCs w:val="24"/>
              </w:rPr>
              <w:t>Continuously updated (current at download time)</w:t>
            </w:r>
          </w:p>
        </w:tc>
        <w:tc>
          <w:tcPr>
            <w:tcW w:w="1440" w:type="dxa"/>
            <w:tcBorders/>
            <w:vAlign w:val="center"/>
          </w:tcPr>
          <w:p>
            <w:pPr>
              <w:pStyle w:val="TableContents"/>
              <w:spacing w:before="0" w:after="200"/>
              <w:rPr>
                <w:b w:val="false"/>
                <w:bCs w:val="false"/>
                <w:i w:val="false"/>
                <w:iCs w:val="false"/>
                <w:sz w:val="12"/>
                <w:szCs w:val="24"/>
              </w:rPr>
            </w:pPr>
            <w:r>
              <w:rPr>
                <w:bCs w:val="false"/>
                <w:iCs w:val="false"/>
                <w:sz w:val="12"/>
                <w:szCs w:val="24"/>
              </w:rPr>
              <w:t>Vector polygons</w:t>
            </w:r>
          </w:p>
        </w:tc>
        <w:tc>
          <w:tcPr>
            <w:tcW w:w="1980" w:type="dxa"/>
            <w:tcBorders/>
            <w:vAlign w:val="center"/>
          </w:tcPr>
          <w:p>
            <w:pPr>
              <w:pStyle w:val="TableContents"/>
              <w:spacing w:before="0" w:after="200"/>
              <w:rPr>
                <w:b w:val="false"/>
                <w:bCs w:val="false"/>
                <w:i w:val="false"/>
                <w:iCs w:val="false"/>
                <w:sz w:val="12"/>
                <w:szCs w:val="24"/>
              </w:rPr>
            </w:pPr>
            <w:r>
              <w:rPr>
                <w:bCs w:val="false"/>
                <w:iCs w:val="false"/>
                <w:sz w:val="12"/>
                <w:szCs w:val="24"/>
              </w:rPr>
              <w:t>Tenure layers (claims, leases, prospecting permits). Used to contextualize/QA industrial footprints; not a disturbance per se</w:t>
            </w:r>
          </w:p>
        </w:tc>
        <w:tc>
          <w:tcPr>
            <w:tcW w:w="1080" w:type="dxa"/>
            <w:tcBorders/>
            <w:vAlign w:val="center"/>
          </w:tcPr>
          <w:p>
            <w:pPr>
              <w:pStyle w:val="TableContents"/>
              <w:spacing w:before="0" w:after="200"/>
              <w:rPr>
                <w:b w:val="false"/>
                <w:bCs w:val="false"/>
                <w:i w:val="false"/>
                <w:iCs w:val="false"/>
                <w:sz w:val="24"/>
                <w:szCs w:val="24"/>
              </w:rPr>
            </w:pPr>
            <w:r>
              <w:rPr>
                <w:rStyle w:val="Strong"/>
                <w:iCs w:val="false"/>
                <w:sz w:val="12"/>
                <w:szCs w:val="12"/>
              </w:rPr>
              <w:t>Open Government Licence - Northwest Territories</w:t>
            </w:r>
          </w:p>
        </w:tc>
        <w:tc>
          <w:tcPr>
            <w:tcW w:w="1609" w:type="dxa"/>
            <w:tcBorders/>
            <w:vAlign w:val="center"/>
          </w:tcPr>
          <w:p>
            <w:pPr>
              <w:pStyle w:val="TableContents"/>
              <w:spacing w:before="0" w:after="200"/>
              <w:rPr>
                <w:b w:val="false"/>
                <w:bCs w:val="false"/>
                <w:i w:val="false"/>
                <w:iCs w:val="false"/>
                <w:sz w:val="24"/>
                <w:szCs w:val="24"/>
              </w:rPr>
            </w:pPr>
            <w:r>
              <w:rPr>
                <w:bCs w:val="false"/>
                <w:iCs w:val="false"/>
                <w:sz w:val="12"/>
                <w:szCs w:val="12"/>
              </w:rPr>
              <w:t>Mineral Claims (GNWT Open Data); Mining Leases; Prospecting Permits; MRO web map. (</w:t>
            </w:r>
            <w:hyperlink r:id="rId9">
              <w:r>
                <w:rPr>
                  <w:rStyle w:val="Hyperlink"/>
                  <w:bCs w:val="false"/>
                  <w:iCs w:val="false"/>
                  <w:sz w:val="12"/>
                  <w:szCs w:val="12"/>
                </w:rPr>
                <w:t>ouvert.canada.ca</w:t>
              </w:r>
            </w:hyperlink>
            <w:r>
              <w:rPr>
                <w:bCs w:val="false"/>
                <w:iCs w:val="false"/>
                <w:sz w:val="12"/>
                <w:szCs w:val="12"/>
              </w:rPr>
              <w:t>)</w:t>
            </w:r>
          </w:p>
        </w:tc>
      </w:tr>
      <w:tr>
        <w:trPr/>
        <w:tc>
          <w:tcPr>
            <w:tcW w:w="1380" w:type="dxa"/>
            <w:tcBorders/>
            <w:vAlign w:val="center"/>
          </w:tcPr>
          <w:p>
            <w:pPr>
              <w:pStyle w:val="TableContents"/>
              <w:spacing w:before="0" w:after="200"/>
              <w:rPr>
                <w:b w:val="false"/>
                <w:bCs w:val="false"/>
                <w:i w:val="false"/>
                <w:iCs w:val="false"/>
                <w:sz w:val="24"/>
                <w:szCs w:val="24"/>
              </w:rPr>
            </w:pPr>
            <w:r>
              <w:rPr>
                <w:rStyle w:val="Strong"/>
                <w:iCs w:val="false"/>
                <w:sz w:val="12"/>
                <w:szCs w:val="12"/>
              </w:rPr>
              <w:t>Oil &amp; gas rights</w:t>
            </w:r>
            <w:r>
              <w:rPr>
                <w:bCs w:val="false"/>
                <w:iCs w:val="false"/>
                <w:sz w:val="12"/>
                <w:szCs w:val="12"/>
              </w:rPr>
              <w:t xml:space="preserve"> </w:t>
            </w:r>
          </w:p>
        </w:tc>
        <w:tc>
          <w:tcPr>
            <w:tcW w:w="1170" w:type="dxa"/>
            <w:tcBorders/>
            <w:vAlign w:val="center"/>
          </w:tcPr>
          <w:p>
            <w:pPr>
              <w:pStyle w:val="TableContents"/>
              <w:spacing w:before="0" w:after="200"/>
              <w:rPr>
                <w:b w:val="false"/>
                <w:bCs w:val="false"/>
                <w:i w:val="false"/>
                <w:iCs w:val="false"/>
                <w:sz w:val="12"/>
                <w:szCs w:val="24"/>
              </w:rPr>
            </w:pPr>
            <w:r>
              <w:rPr>
                <w:bCs w:val="false"/>
                <w:iCs w:val="false"/>
                <w:sz w:val="12"/>
                <w:szCs w:val="24"/>
              </w:rPr>
              <w:t>Government of Northwest Territories (GNWT) — Industry, Tourism &amp; Investment (ITI), Petroleum Resources</w:t>
            </w:r>
          </w:p>
        </w:tc>
        <w:tc>
          <w:tcPr>
            <w:tcW w:w="1260" w:type="dxa"/>
            <w:tcBorders/>
            <w:vAlign w:val="center"/>
          </w:tcPr>
          <w:p>
            <w:pPr>
              <w:pStyle w:val="TableContents"/>
              <w:spacing w:before="0" w:after="200"/>
              <w:jc w:val="left"/>
              <w:rPr>
                <w:b w:val="false"/>
                <w:bCs w:val="false"/>
                <w:i w:val="false"/>
                <w:iCs w:val="false"/>
                <w:sz w:val="12"/>
                <w:szCs w:val="24"/>
              </w:rPr>
            </w:pPr>
            <w:r>
              <w:rPr>
                <w:bCs w:val="false"/>
                <w:iCs w:val="false"/>
                <w:sz w:val="12"/>
                <w:szCs w:val="24"/>
              </w:rPr>
              <w:t>Continuously updated (current at download time)</w:t>
            </w:r>
          </w:p>
        </w:tc>
        <w:tc>
          <w:tcPr>
            <w:tcW w:w="1440" w:type="dxa"/>
            <w:tcBorders/>
            <w:vAlign w:val="center"/>
          </w:tcPr>
          <w:p>
            <w:pPr>
              <w:pStyle w:val="TableContents"/>
              <w:spacing w:before="0" w:after="200"/>
              <w:rPr>
                <w:b w:val="false"/>
                <w:bCs w:val="false"/>
                <w:i w:val="false"/>
                <w:iCs w:val="false"/>
                <w:sz w:val="12"/>
                <w:szCs w:val="24"/>
              </w:rPr>
            </w:pPr>
            <w:r>
              <w:rPr>
                <w:bCs w:val="false"/>
                <w:iCs w:val="false"/>
                <w:sz w:val="12"/>
                <w:szCs w:val="24"/>
              </w:rPr>
              <w:t>Vector polygons</w:t>
            </w:r>
          </w:p>
        </w:tc>
        <w:tc>
          <w:tcPr>
            <w:tcW w:w="1980" w:type="dxa"/>
            <w:tcBorders/>
            <w:vAlign w:val="center"/>
          </w:tcPr>
          <w:p>
            <w:pPr>
              <w:pStyle w:val="TableContents"/>
              <w:spacing w:before="0" w:after="200"/>
              <w:rPr>
                <w:b w:val="false"/>
                <w:bCs w:val="false"/>
                <w:i w:val="false"/>
                <w:iCs w:val="false"/>
                <w:sz w:val="12"/>
                <w:szCs w:val="24"/>
              </w:rPr>
            </w:pPr>
            <w:r>
              <w:rPr>
                <w:bCs w:val="false"/>
                <w:iCs w:val="false"/>
                <w:sz w:val="12"/>
                <w:szCs w:val="24"/>
              </w:rPr>
              <w:t>Petroleum rights (permits/leases). Used to contextualize hydrocarbon infrastructure; not a disturbance per se</w:t>
            </w:r>
          </w:p>
        </w:tc>
        <w:tc>
          <w:tcPr>
            <w:tcW w:w="1080" w:type="dxa"/>
            <w:tcBorders/>
            <w:vAlign w:val="center"/>
          </w:tcPr>
          <w:p>
            <w:pPr>
              <w:pStyle w:val="TableContents"/>
              <w:spacing w:before="0" w:after="200"/>
              <w:rPr>
                <w:b w:val="false"/>
                <w:bCs w:val="false"/>
                <w:i w:val="false"/>
                <w:iCs w:val="false"/>
                <w:sz w:val="24"/>
                <w:szCs w:val="24"/>
              </w:rPr>
            </w:pPr>
            <w:r>
              <w:rPr>
                <w:rStyle w:val="Strong"/>
                <w:iCs w:val="false"/>
                <w:sz w:val="12"/>
                <w:szCs w:val="12"/>
              </w:rPr>
              <w:t>Open Government Licence - Northwest Territories</w:t>
            </w:r>
          </w:p>
        </w:tc>
        <w:tc>
          <w:tcPr>
            <w:tcW w:w="1609" w:type="dxa"/>
            <w:tcBorders/>
            <w:vAlign w:val="center"/>
          </w:tcPr>
          <w:p>
            <w:pPr>
              <w:pStyle w:val="TableContents"/>
              <w:spacing w:before="0" w:after="200"/>
              <w:rPr>
                <w:b w:val="false"/>
                <w:bCs w:val="false"/>
                <w:i w:val="false"/>
                <w:iCs w:val="false"/>
                <w:sz w:val="24"/>
                <w:szCs w:val="24"/>
              </w:rPr>
            </w:pPr>
            <w:r>
              <w:rPr>
                <w:bCs w:val="false"/>
                <w:iCs w:val="false"/>
                <w:sz w:val="12"/>
                <w:szCs w:val="12"/>
              </w:rPr>
              <w:t>NWT Oil and Gas Rights — program/data overview (GNWT ITI). (</w:t>
            </w:r>
            <w:hyperlink r:id="rId10">
              <w:r>
                <w:rPr>
                  <w:rStyle w:val="Hyperlink"/>
                  <w:bCs w:val="false"/>
                  <w:iCs w:val="false"/>
                  <w:sz w:val="12"/>
                  <w:szCs w:val="12"/>
                </w:rPr>
                <w:t>iti.gov.nt.ca</w:t>
              </w:r>
            </w:hyperlink>
            <w:r>
              <w:rPr>
                <w:bCs w:val="false"/>
                <w:iCs w:val="false"/>
                <w:sz w:val="12"/>
                <w:szCs w:val="12"/>
              </w:rPr>
              <w:t>)</w:t>
            </w:r>
          </w:p>
        </w:tc>
      </w:tr>
      <w:tr>
        <w:trPr/>
        <w:tc>
          <w:tcPr>
            <w:tcW w:w="1380" w:type="dxa"/>
            <w:tcBorders/>
            <w:vAlign w:val="center"/>
          </w:tcPr>
          <w:p>
            <w:pPr>
              <w:pStyle w:val="TableContents"/>
              <w:spacing w:before="0" w:after="200"/>
              <w:rPr/>
            </w:pPr>
            <w:r>
              <w:rPr>
                <w:rStyle w:val="Strong"/>
                <w:sz w:val="12"/>
                <w:szCs w:val="12"/>
              </w:rPr>
              <w:t>Anthropogenic disturbance footprint within boreal caribou ranges across Canada (2020)</w:t>
            </w:r>
          </w:p>
        </w:tc>
        <w:tc>
          <w:tcPr>
            <w:tcW w:w="1170" w:type="dxa"/>
            <w:tcBorders/>
            <w:vAlign w:val="center"/>
          </w:tcPr>
          <w:p>
            <w:pPr>
              <w:pStyle w:val="TableContents"/>
              <w:spacing w:before="0" w:after="200"/>
              <w:rPr>
                <w:sz w:val="12"/>
                <w:szCs w:val="12"/>
              </w:rPr>
            </w:pPr>
            <w:r>
              <w:rPr>
                <w:sz w:val="12"/>
                <w:szCs w:val="12"/>
              </w:rPr>
              <w:t>Environment and Climate Change Canada (ECCC)</w:t>
            </w:r>
          </w:p>
        </w:tc>
        <w:tc>
          <w:tcPr>
            <w:tcW w:w="1260" w:type="dxa"/>
            <w:tcBorders/>
            <w:vAlign w:val="center"/>
          </w:tcPr>
          <w:p>
            <w:pPr>
              <w:pStyle w:val="TableContents"/>
              <w:spacing w:before="0" w:after="200"/>
              <w:rPr>
                <w:sz w:val="12"/>
                <w:szCs w:val="12"/>
              </w:rPr>
            </w:pPr>
            <w:r>
              <w:rPr>
                <w:sz w:val="12"/>
                <w:szCs w:val="12"/>
              </w:rPr>
              <w:t>2020 (mapped from 2020 Landsat; national update to 2010 &amp; 2015 baselines)</w:t>
            </w:r>
          </w:p>
        </w:tc>
        <w:tc>
          <w:tcPr>
            <w:tcW w:w="1440" w:type="dxa"/>
            <w:tcBorders/>
            <w:vAlign w:val="center"/>
          </w:tcPr>
          <w:p>
            <w:pPr>
              <w:pStyle w:val="TableContents"/>
              <w:spacing w:before="0" w:after="200"/>
              <w:rPr>
                <w:sz w:val="12"/>
                <w:szCs w:val="12"/>
              </w:rPr>
            </w:pPr>
            <w:r>
              <w:rPr>
                <w:sz w:val="12"/>
                <w:szCs w:val="12"/>
              </w:rPr>
              <w:t>Source: 30 m Landsat; outputs are vector lines/polygons (buffers to 500 m used for footprint)</w:t>
            </w:r>
          </w:p>
        </w:tc>
        <w:tc>
          <w:tcPr>
            <w:tcW w:w="1980" w:type="dxa"/>
            <w:tcBorders/>
            <w:vAlign w:val="center"/>
          </w:tcPr>
          <w:p>
            <w:pPr>
              <w:pStyle w:val="TableContents"/>
              <w:spacing w:before="0" w:after="200"/>
              <w:rPr>
                <w:sz w:val="12"/>
                <w:szCs w:val="12"/>
              </w:rPr>
            </w:pPr>
            <w:r>
              <w:rPr>
                <w:sz w:val="12"/>
                <w:szCs w:val="12"/>
              </w:rPr>
              <w:t>National, range-based mapping of linear (roads, seismic, pipelines, powerlines, etc.) and polygonal (cutblocks/harvest, mines, built-up, wells, ag, oil &amp; gas) disturbances for 51 boreal caribou ranges</w:t>
            </w:r>
          </w:p>
        </w:tc>
        <w:tc>
          <w:tcPr>
            <w:tcW w:w="1080" w:type="dxa"/>
            <w:tcBorders/>
            <w:vAlign w:val="center"/>
          </w:tcPr>
          <w:p>
            <w:pPr>
              <w:pStyle w:val="TableContents"/>
              <w:spacing w:before="0" w:after="200"/>
              <w:rPr>
                <w:b/>
                <w:bCs/>
                <w:sz w:val="12"/>
                <w:szCs w:val="12"/>
              </w:rPr>
            </w:pPr>
            <w:r>
              <w:rPr>
                <w:b/>
                <w:bCs/>
                <w:sz w:val="12"/>
                <w:szCs w:val="12"/>
              </w:rPr>
              <w:t>Open Government Licence – Canada</w:t>
            </w:r>
          </w:p>
        </w:tc>
        <w:tc>
          <w:tcPr>
            <w:tcW w:w="1609" w:type="dxa"/>
            <w:tcBorders/>
            <w:vAlign w:val="center"/>
          </w:tcPr>
          <w:p>
            <w:pPr>
              <w:pStyle w:val="TableContents"/>
              <w:spacing w:before="0" w:after="200"/>
              <w:rPr/>
            </w:pPr>
            <w:r>
              <w:rPr>
                <w:sz w:val="12"/>
                <w:szCs w:val="12"/>
              </w:rPr>
              <w:t xml:space="preserve">Dataset record (incl. license and methods): Arctic SDI mirror of Open Gov record (ECCC is custodian). </w:t>
            </w:r>
            <w:hyperlink r:id="rId11">
              <w:r>
                <w:rPr>
                  <w:rStyle w:val="Hyperlink"/>
                  <w:sz w:val="12"/>
                  <w:szCs w:val="12"/>
                </w:rPr>
                <w:t>catalogue.arctic-sdi.org</w:t>
              </w:r>
            </w:hyperlink>
          </w:p>
        </w:tc>
      </w:tr>
      <w:tr>
        <w:trPr/>
        <w:tc>
          <w:tcPr>
            <w:tcW w:w="1380" w:type="dxa"/>
            <w:tcBorders/>
            <w:vAlign w:val="center"/>
          </w:tcPr>
          <w:p>
            <w:pPr>
              <w:pStyle w:val="TableContents"/>
              <w:spacing w:before="0" w:after="200"/>
              <w:rPr>
                <w:sz w:val="12"/>
                <w:szCs w:val="12"/>
              </w:rPr>
            </w:pPr>
            <w:r>
              <w:rPr>
                <w:sz w:val="12"/>
                <w:szCs w:val="12"/>
              </w:rPr>
              <w:t xml:space="preserve">Elevation </w:t>
            </w:r>
          </w:p>
        </w:tc>
        <w:tc>
          <w:tcPr>
            <w:tcW w:w="1170" w:type="dxa"/>
            <w:tcBorders/>
            <w:vAlign w:val="center"/>
          </w:tcPr>
          <w:p>
            <w:pPr>
              <w:pStyle w:val="TableContents"/>
              <w:spacing w:before="0" w:after="200"/>
              <w:rPr>
                <w:b w:val="false"/>
                <w:bCs w:val="false"/>
                <w:sz w:val="12"/>
                <w:szCs w:val="12"/>
              </w:rPr>
            </w:pPr>
            <w:r>
              <w:rPr>
                <w:b w:val="false"/>
                <w:bCs w:val="false"/>
                <w:sz w:val="12"/>
                <w:szCs w:val="12"/>
              </w:rPr>
              <w:t>CGIAR</w:t>
              <w:noBreakHyphen/>
              <w:t>CSI SRTM (aggregated) + USGS GTOPO30 (high latitudes)</w:t>
            </w:r>
          </w:p>
        </w:tc>
        <w:tc>
          <w:tcPr>
            <w:tcW w:w="1260" w:type="dxa"/>
            <w:tcBorders/>
            <w:vAlign w:val="center"/>
          </w:tcPr>
          <w:p>
            <w:pPr>
              <w:pStyle w:val="TableContents"/>
              <w:spacing w:before="0" w:after="200"/>
              <w:rPr>
                <w:b w:val="false"/>
                <w:bCs w:val="false"/>
                <w:sz w:val="12"/>
                <w:szCs w:val="12"/>
              </w:rPr>
            </w:pPr>
            <w:r>
              <w:rPr>
                <w:b w:val="false"/>
                <w:bCs w:val="false"/>
                <w:sz w:val="12"/>
                <w:szCs w:val="12"/>
              </w:rPr>
              <w:t>SRTM acquisition ~2000; GTOPO30 (compiled 1996)</w:t>
            </w:r>
          </w:p>
        </w:tc>
        <w:tc>
          <w:tcPr>
            <w:tcW w:w="1440" w:type="dxa"/>
            <w:tcBorders/>
            <w:vAlign w:val="center"/>
          </w:tcPr>
          <w:p>
            <w:pPr>
              <w:pStyle w:val="TableContents"/>
              <w:spacing w:before="0" w:after="200"/>
              <w:rPr/>
            </w:pPr>
            <w:r>
              <w:rPr>
                <w:rStyle w:val="Strong"/>
                <w:b w:val="false"/>
                <w:bCs w:val="false"/>
                <w:sz w:val="12"/>
                <w:szCs w:val="12"/>
              </w:rPr>
              <w:t>30 arc</w:t>
              <w:noBreakHyphen/>
              <w:t>seconds (~1 km)</w:t>
            </w:r>
            <w:r>
              <w:rPr>
                <w:b w:val="false"/>
                <w:bCs w:val="false"/>
                <w:sz w:val="12"/>
                <w:szCs w:val="12"/>
              </w:rPr>
              <w:t xml:space="preserve"> (aggregated from 90 m SRTM; GTOP30 north of ~60°)</w:t>
            </w:r>
          </w:p>
        </w:tc>
        <w:tc>
          <w:tcPr>
            <w:tcW w:w="1980" w:type="dxa"/>
            <w:tcBorders/>
            <w:vAlign w:val="center"/>
          </w:tcPr>
          <w:p>
            <w:pPr>
              <w:pStyle w:val="TableContents"/>
              <w:spacing w:before="0" w:after="200"/>
              <w:rPr>
                <w:b w:val="false"/>
                <w:bCs w:val="false"/>
                <w:sz w:val="12"/>
                <w:szCs w:val="12"/>
              </w:rPr>
            </w:pPr>
            <w:r>
              <w:rPr>
                <w:b w:val="false"/>
                <w:bCs w:val="false"/>
                <w:sz w:val="12"/>
                <w:szCs w:val="12"/>
              </w:rPr>
              <w:t>Global topography / DEM used for elevation baseline</w:t>
            </w:r>
          </w:p>
        </w:tc>
        <w:tc>
          <w:tcPr>
            <w:tcW w:w="1080" w:type="dxa"/>
            <w:tcBorders/>
            <w:vAlign w:val="center"/>
          </w:tcPr>
          <w:p>
            <w:pPr>
              <w:pStyle w:val="TableContents"/>
              <w:spacing w:before="0" w:after="200"/>
              <w:rPr>
                <w:b/>
                <w:bCs/>
                <w:sz w:val="12"/>
                <w:szCs w:val="12"/>
              </w:rPr>
            </w:pPr>
            <w:r>
              <w:rPr>
                <w:b/>
                <w:bCs/>
                <w:sz w:val="12"/>
                <w:szCs w:val="12"/>
              </w:rPr>
              <w:t>SRTM &amp; GTOPO30 are public/free-to-use datasets (acknowledgement required by providers)</w:t>
            </w:r>
          </w:p>
        </w:tc>
        <w:tc>
          <w:tcPr>
            <w:tcW w:w="1609" w:type="dxa"/>
            <w:tcBorders/>
            <w:vAlign w:val="center"/>
          </w:tcPr>
          <w:p>
            <w:pPr>
              <w:pStyle w:val="TableContents"/>
              <w:spacing w:before="0" w:after="200"/>
              <w:rPr/>
            </w:pPr>
            <w:r>
              <w:rPr>
                <w:sz w:val="12"/>
                <w:szCs w:val="12"/>
              </w:rPr>
              <w:t xml:space="preserve">R </w:t>
            </w:r>
            <w:r>
              <w:rPr>
                <w:rStyle w:val="Strong"/>
                <w:sz w:val="12"/>
                <w:szCs w:val="12"/>
              </w:rPr>
              <w:t>geodata</w:t>
            </w:r>
            <w:r>
              <w:rPr>
                <w:sz w:val="12"/>
                <w:szCs w:val="12"/>
              </w:rPr>
              <w:t xml:space="preserve"> docs (method &amp; sources): “1 km (30″) aggregated from SRTM 90 m; supplemented with GTOPO30 at &gt;60°.” CGIAR</w:t>
              <w:noBreakHyphen/>
              <w:t xml:space="preserve">CSI SRTM description. </w:t>
            </w:r>
            <w:hyperlink r:id="rId12">
              <w:r>
                <w:rPr>
                  <w:rStyle w:val="Hyperlink"/>
                  <w:sz w:val="12"/>
                  <w:szCs w:val="12"/>
                </w:rPr>
                <w:t>bigdata.cgiar.org</w:t>
              </w:r>
            </w:hyperlink>
          </w:p>
        </w:tc>
      </w:tr>
      <w:tr>
        <w:trPr/>
        <w:tc>
          <w:tcPr>
            <w:tcW w:w="1380" w:type="dxa"/>
            <w:tcBorders/>
            <w:vAlign w:val="center"/>
          </w:tcPr>
          <w:p>
            <w:pPr>
              <w:pStyle w:val="TableContents"/>
              <w:spacing w:before="0" w:after="200"/>
              <w:rPr>
                <w:sz w:val="12"/>
                <w:szCs w:val="12"/>
              </w:rPr>
            </w:pPr>
            <w:r>
              <w:rPr>
                <w:sz w:val="12"/>
                <w:szCs w:val="12"/>
              </w:rPr>
              <w:t xml:space="preserve">Land cover fractions </w:t>
            </w:r>
            <w:r>
              <w:rPr>
                <w:sz w:val="12"/>
                <w:szCs w:val="12"/>
              </w:rPr>
              <w:t>(water and wetlands)</w:t>
            </w:r>
            <w:r>
              <w:rPr>
                <w:sz w:val="12"/>
                <w:szCs w:val="12"/>
              </w:rPr>
              <w:t xml:space="preserve"> </w:t>
            </w:r>
          </w:p>
        </w:tc>
        <w:tc>
          <w:tcPr>
            <w:tcW w:w="1170" w:type="dxa"/>
            <w:tcBorders/>
            <w:vAlign w:val="center"/>
          </w:tcPr>
          <w:p>
            <w:pPr>
              <w:pStyle w:val="TableContents"/>
              <w:spacing w:before="0" w:after="200"/>
              <w:rPr/>
            </w:pPr>
            <w:r>
              <w:rPr>
                <w:b w:val="false"/>
                <w:bCs w:val="false"/>
                <w:sz w:val="12"/>
                <w:szCs w:val="12"/>
              </w:rPr>
              <w:t xml:space="preserve">derived from </w:t>
            </w:r>
            <w:r>
              <w:rPr>
                <w:rStyle w:val="Strong"/>
                <w:b w:val="false"/>
                <w:bCs w:val="false"/>
                <w:sz w:val="12"/>
                <w:szCs w:val="12"/>
              </w:rPr>
              <w:t>ESA WorldCover</w:t>
            </w:r>
            <w:r>
              <w:rPr>
                <w:b w:val="false"/>
                <w:bCs w:val="false"/>
                <w:sz w:val="12"/>
                <w:szCs w:val="12"/>
              </w:rPr>
              <w:t xml:space="preserve"> 10 m</w:t>
            </w:r>
          </w:p>
        </w:tc>
        <w:tc>
          <w:tcPr>
            <w:tcW w:w="1260" w:type="dxa"/>
            <w:tcBorders/>
            <w:vAlign w:val="center"/>
          </w:tcPr>
          <w:p>
            <w:pPr>
              <w:pStyle w:val="TableContents"/>
              <w:spacing w:before="0" w:after="200"/>
              <w:rPr>
                <w:b w:val="false"/>
                <w:bCs w:val="false"/>
                <w:sz w:val="12"/>
                <w:szCs w:val="12"/>
              </w:rPr>
            </w:pPr>
            <w:r>
              <w:rPr>
                <w:b w:val="false"/>
                <w:bCs w:val="false"/>
                <w:sz w:val="12"/>
                <w:szCs w:val="12"/>
              </w:rPr>
              <w:t>2020 and 2021 releases (v100/v200) aggregated to 30″ fractions</w:t>
            </w:r>
          </w:p>
        </w:tc>
        <w:tc>
          <w:tcPr>
            <w:tcW w:w="1440" w:type="dxa"/>
            <w:tcBorders/>
            <w:vAlign w:val="center"/>
          </w:tcPr>
          <w:p>
            <w:pPr>
              <w:pStyle w:val="TableContents"/>
              <w:spacing w:before="0" w:after="200"/>
              <w:rPr/>
            </w:pPr>
            <w:r>
              <w:rPr>
                <w:rStyle w:val="Strong"/>
                <w:b w:val="false"/>
                <w:bCs w:val="false"/>
                <w:sz w:val="12"/>
                <w:szCs w:val="12"/>
              </w:rPr>
              <w:t>30 arc</w:t>
              <w:noBreakHyphen/>
              <w:t>seconds (~1 km)</w:t>
            </w:r>
            <w:r>
              <w:rPr>
                <w:b w:val="false"/>
                <w:bCs w:val="false"/>
                <w:sz w:val="12"/>
                <w:szCs w:val="12"/>
              </w:rPr>
              <w:t xml:space="preserve"> fractions from 10 m source</w:t>
            </w:r>
          </w:p>
        </w:tc>
        <w:tc>
          <w:tcPr>
            <w:tcW w:w="1980" w:type="dxa"/>
            <w:tcBorders/>
            <w:vAlign w:val="center"/>
          </w:tcPr>
          <w:p>
            <w:pPr>
              <w:pStyle w:val="TableContents"/>
              <w:spacing w:before="0" w:after="200"/>
              <w:rPr>
                <w:b w:val="false"/>
                <w:bCs w:val="false"/>
                <w:sz w:val="12"/>
                <w:szCs w:val="12"/>
              </w:rPr>
            </w:pPr>
            <w:r>
              <w:rPr>
                <w:b w:val="false"/>
                <w:bCs w:val="false"/>
                <w:sz w:val="12"/>
                <w:szCs w:val="12"/>
              </w:rPr>
              <w:t>Global fractional land cover used for water and herbaceous wetland masks and land-use baseline</w:t>
            </w:r>
          </w:p>
        </w:tc>
        <w:tc>
          <w:tcPr>
            <w:tcW w:w="1080" w:type="dxa"/>
            <w:tcBorders/>
            <w:vAlign w:val="center"/>
          </w:tcPr>
          <w:p>
            <w:pPr>
              <w:pStyle w:val="TableContents"/>
              <w:spacing w:before="0" w:after="200"/>
              <w:rPr/>
            </w:pPr>
            <w:r>
              <w:rPr>
                <w:rStyle w:val="Strong"/>
                <w:b/>
                <w:bCs/>
                <w:sz w:val="12"/>
                <w:szCs w:val="12"/>
              </w:rPr>
              <w:t>CC BY 4.0</w:t>
            </w:r>
            <w:r>
              <w:rPr>
                <w:b/>
                <w:bCs/>
                <w:sz w:val="12"/>
                <w:szCs w:val="12"/>
              </w:rPr>
              <w:t xml:space="preserve"> (ESA WorldCover)</w:t>
            </w:r>
          </w:p>
        </w:tc>
        <w:tc>
          <w:tcPr>
            <w:tcW w:w="1609" w:type="dxa"/>
            <w:tcBorders/>
            <w:vAlign w:val="center"/>
          </w:tcPr>
          <w:p>
            <w:pPr>
              <w:pStyle w:val="TableContents"/>
              <w:spacing w:before="0" w:after="200"/>
              <w:rPr/>
            </w:pPr>
            <w:r>
              <w:rPr>
                <w:sz w:val="12"/>
                <w:szCs w:val="12"/>
              </w:rPr>
              <w:t>geodata::</w:t>
            </w:r>
            <w:r>
              <w:rPr>
                <w:rStyle w:val="Strong"/>
                <w:sz w:val="12"/>
                <w:szCs w:val="12"/>
              </w:rPr>
              <w:t>landcover</w:t>
            </w:r>
            <w:r>
              <w:rPr>
                <w:sz w:val="12"/>
                <w:szCs w:val="12"/>
              </w:rPr>
              <w:t xml:space="preserve"> docs (30″ fractional layers derived from ESA WorldCover). ESA WorldCover site &amp; license (CC BY</w:t>
              <w:noBreakHyphen/>
              <w:t xml:space="preserve">4.0). </w:t>
            </w:r>
            <w:hyperlink r:id="rId13">
              <w:r>
                <w:rPr>
                  <w:rStyle w:val="Hyperlink"/>
                  <w:sz w:val="12"/>
                  <w:szCs w:val="12"/>
                </w:rPr>
                <w:t>esa-worldcover.org</w:t>
              </w:r>
            </w:hyperlink>
          </w:p>
        </w:tc>
      </w:tr>
    </w:tbl>
    <w:p>
      <w:pPr>
        <w:pStyle w:val="Normal"/>
        <w:rPr/>
      </w:pPr>
      <w:r>
        <w:rPr/>
        <w:t>Tabel 1: Default datasets in use</w:t>
      </w:r>
    </w:p>
    <w:p>
      <w:pPr>
        <w:pStyle w:val="BodyText"/>
        <w:rPr/>
      </w:pPr>
      <w:r>
        <w:rPr/>
      </w:r>
    </w:p>
    <w:p>
      <w:pPr>
        <w:pStyle w:val="Heading2"/>
        <w:rPr/>
      </w:pPr>
      <w:bookmarkStart w:id="15" w:name="__RefHeading___Toc2091_3305361968"/>
      <w:bookmarkStart w:id="16" w:name="submodels"/>
      <w:bookmarkEnd w:id="15"/>
      <w:r>
        <w:rPr/>
        <w:t>7. Submodels</w:t>
      </w:r>
    </w:p>
    <w:p>
      <w:pPr>
        <w:pStyle w:val="FirstParagraph"/>
        <w:rPr/>
      </w:pPr>
      <w:r>
        <w:rPr/>
        <w:t>Here we detail the submodels corresponding to each major process: data harmonization, potential layer combination, disturbance parameter calculation, disturbance generation, and state updating. Pseudocode or equations are provided where applicable to clarify how the model operates at each step.</w:t>
      </w:r>
    </w:p>
    <w:p>
      <w:pPr>
        <w:pStyle w:val="Heading3"/>
        <w:rPr/>
      </w:pPr>
      <w:bookmarkStart w:id="17" w:name="__RefHeading___Toc2093_3305361968"/>
      <w:bookmarkStart w:id="18" w:name="data-harmonization-disturbance-data-prep"/>
      <w:bookmarkEnd w:id="17"/>
      <w:r>
        <w:rPr/>
        <w:t>7.1 Data Harmonization (Disturbance Data Prep)</w:t>
      </w:r>
    </w:p>
    <w:p>
      <w:pPr>
        <w:pStyle w:val="FirstParagraph"/>
        <w:rPr/>
      </w:pPr>
      <w:r>
        <w:rPr>
          <w:b/>
          <w:bCs/>
        </w:rPr>
        <w:t>Submodel A: Create Disturbance List (</w:t>
      </w:r>
      <w:r>
        <w:rPr>
          <w:rStyle w:val="VerbatimChar"/>
          <w:b/>
          <w:bCs/>
        </w:rPr>
        <w:t>createDisturbanceList</w:t>
      </w:r>
      <w:r>
        <w:rPr>
          <w:b/>
          <w:bCs/>
        </w:rPr>
        <w:t>)</w:t>
      </w:r>
      <w:r>
        <w:rPr/>
        <w:t xml:space="preserve"> - </w:t>
      </w:r>
      <w:r>
        <w:rPr>
          <w:i/>
          <w:iCs/>
        </w:rPr>
        <w:t>Inputs:</w:t>
      </w:r>
      <w:r>
        <w:rPr/>
        <w:t xml:space="preserve"> </w:t>
      </w:r>
      <w:r>
        <w:rPr>
          <w:rStyle w:val="VerbatimChar"/>
        </w:rPr>
        <w:t>DT</w:t>
      </w:r>
      <w:r>
        <w:rPr/>
        <w:t xml:space="preserve"> = disturbance metadata table, plus </w:t>
      </w:r>
      <w:r>
        <w:rPr>
          <w:rStyle w:val="VerbatimChar"/>
        </w:rPr>
        <w:t>studyArea</w:t>
      </w:r>
      <w:r>
        <w:rPr/>
        <w:t xml:space="preserve">, </w:t>
      </w:r>
      <w:r>
        <w:rPr>
          <w:rStyle w:val="VerbatimChar"/>
        </w:rPr>
        <w:t>rasterToMatch</w:t>
      </w:r>
      <w:r>
        <w:rPr/>
        <w:t xml:space="preserve">. </w:t>
      </w:r>
      <w:r>
        <w:rPr>
          <w:i/>
          <w:iCs/>
        </w:rPr>
        <w:t>Purpose:</w:t>
      </w:r>
      <w:r>
        <w:rPr/>
        <w:t xml:space="preserve"> Reads all raw disturbance datasets and produces a structured list of spatial objects. The submodel iterates over each unique combination of </w:t>
      </w:r>
      <w:r>
        <w:rPr>
          <w:rStyle w:val="VerbatimChar"/>
        </w:rPr>
        <w:t>dataName</w:t>
      </w:r>
      <w:r>
        <w:rPr/>
        <w:t xml:space="preserve"> and </w:t>
      </w:r>
      <w:r>
        <w:rPr>
          <w:rStyle w:val="VerbatimChar"/>
        </w:rPr>
        <w:t>dataClass</w:t>
      </w:r>
      <w:r>
        <w:rPr/>
        <w:t xml:space="preserve"> in the metadata. For each entry, it performs the following steps:</w:t>
      </w:r>
    </w:p>
    <w:p>
      <w:pPr>
        <w:pStyle w:val="Normal"/>
        <w:numPr>
          <w:ilvl w:val="0"/>
          <w:numId w:val="72"/>
        </w:numPr>
        <w:rPr/>
      </w:pPr>
      <w:r>
        <w:rPr>
          <w:b/>
          <w:bCs/>
        </w:rPr>
        <w:t>Data loading:</w:t>
      </w:r>
      <w:r>
        <w:rPr/>
        <w:t xml:space="preserve"> Use the given </w:t>
      </w:r>
      <w:r>
        <w:rPr>
          <w:rStyle w:val="VerbatimChar"/>
        </w:rPr>
        <w:t>URL</w:t>
      </w:r>
      <w:r>
        <w:rPr/>
        <w:t xml:space="preserve"> and </w:t>
      </w:r>
      <w:r>
        <w:rPr>
          <w:rStyle w:val="VerbatimChar"/>
        </w:rPr>
        <w:t>dataType</w:t>
      </w:r>
      <w:r>
        <w:rPr/>
        <w:t xml:space="preserve"> to download (if not already in cache) and read the spatial data. This is done via </w:t>
      </w:r>
      <w:r>
        <w:rPr>
          <w:rStyle w:val="VerbatimChar"/>
        </w:rPr>
        <w:t>prepInputs()</w:t>
      </w:r>
      <w:r>
        <w:rPr/>
        <w:t xml:space="preserve"> from the reproducible package, which handles downloading and reading in one step. For a shapefile, this yields a </w:t>
      </w:r>
      <w:r>
        <w:rPr>
          <w:rStyle w:val="VerbatimChar"/>
        </w:rPr>
        <w:t>SpatVector</w:t>
      </w:r>
      <w:r>
        <w:rPr/>
        <w:t xml:space="preserve">; for a raster, a </w:t>
      </w:r>
      <w:r>
        <w:rPr>
          <w:rStyle w:val="VerbatimChar"/>
        </w:rPr>
        <w:t>SpatRaster</w:t>
      </w:r>
      <w:r>
        <w:rPr/>
        <w:t xml:space="preserve">. If the file is a </w:t>
      </w:r>
      <w:r>
        <w:rPr>
          <w:rStyle w:val="VerbatimChar"/>
        </w:rPr>
        <w:t>.gdb</w:t>
      </w:r>
      <w:r>
        <w:rPr/>
        <w:t xml:space="preserve"> or other, appropriate functions are used. The function can also unzip files and pick the specified </w:t>
      </w:r>
      <w:r>
        <w:rPr>
          <w:rStyle w:val="VerbatimChar"/>
        </w:rPr>
        <w:t>fileName</w:t>
      </w:r>
      <w:r>
        <w:rPr/>
        <w:t xml:space="preserve"> inside if provided.</w:t>
      </w:r>
    </w:p>
    <w:p>
      <w:pPr>
        <w:pStyle w:val="Normal"/>
        <w:numPr>
          <w:ilvl w:val="0"/>
          <w:numId w:val="73"/>
        </w:numPr>
        <w:rPr/>
      </w:pPr>
      <w:r>
        <w:rPr>
          <w:b/>
          <w:bCs/>
        </w:rPr>
        <w:t>Projection and crop:</w:t>
      </w:r>
      <w:r>
        <w:rPr/>
        <w:t xml:space="preserve"> The spatial object is reprojected to match </w:t>
      </w:r>
      <w:r>
        <w:rPr>
          <w:rStyle w:val="VerbatimChar"/>
        </w:rPr>
        <w:t>rasterToMatch</w:t>
      </w:r>
      <w:r>
        <w:rPr/>
        <w:t xml:space="preserve">’s CRS and then cropped to the </w:t>
      </w:r>
      <w:r>
        <w:rPr>
          <w:rStyle w:val="VerbatimChar"/>
        </w:rPr>
        <w:t>studyArea</w:t>
      </w:r>
      <w:r>
        <w:rPr/>
        <w:t xml:space="preserve"> polygon. This ensures that only disturbances within the region of interest are kept and that all data layers share the same coordinate system and extent. Rasters are also resampled to the target resolution if needed (for example, if a disturbance dataset came as a coarser raster, it will be upscaled to the resolution of </w:t>
      </w:r>
      <w:r>
        <w:rPr>
          <w:rStyle w:val="VerbatimChar"/>
        </w:rPr>
        <w:t>rasterToMatch</w:t>
      </w:r>
      <w:r>
        <w:rPr/>
        <w:t>).</w:t>
      </w:r>
    </w:p>
    <w:p>
      <w:pPr>
        <w:pStyle w:val="Normal"/>
        <w:numPr>
          <w:ilvl w:val="0"/>
          <w:numId w:val="74"/>
        </w:numPr>
        <w:rPr/>
      </w:pPr>
      <w:r>
        <w:rPr>
          <w:b/>
          <w:bCs/>
        </w:rPr>
        <w:t>Filtering (if needed):</w:t>
      </w:r>
      <w:r>
        <w:rPr/>
        <w:t xml:space="preserve"> If the metadata specifies a </w:t>
      </w:r>
      <w:r>
        <w:rPr>
          <w:rStyle w:val="VerbatimChar"/>
        </w:rPr>
        <w:t>fieldToSearch</w:t>
      </w:r>
      <w:r>
        <w:rPr/>
        <w:t xml:space="preserve"> and </w:t>
      </w:r>
      <w:r>
        <w:rPr>
          <w:rStyle w:val="VerbatimChar"/>
        </w:rPr>
        <w:t>classToSearch</w:t>
      </w:r>
      <w:r>
        <w:rPr/>
        <w:t>, the object’s attributes are queried and only features matching the criteria are retained. For instance, if a single shapefile contains multiple disturbance types labeled in an attribute, this filters out only the desired type.</w:t>
      </w:r>
    </w:p>
    <w:p>
      <w:pPr>
        <w:pStyle w:val="Normal"/>
        <w:numPr>
          <w:ilvl w:val="0"/>
          <w:numId w:val="75"/>
        </w:numPr>
        <w:rPr/>
      </w:pPr>
      <w:r>
        <w:rPr>
          <w:b/>
          <w:bCs/>
        </w:rPr>
        <w:t>Error correction (optional):</w:t>
      </w:r>
      <w:r>
        <w:rPr/>
        <w:t xml:space="preserve"> The module may perform some data cleaning such as ensuring polygon validity (e.g. fixing self-intersections) unless the user set a flag to skip it (</w:t>
      </w:r>
      <w:r>
        <w:rPr>
          <w:rStyle w:val="VerbatimChar"/>
        </w:rPr>
        <w:t>skipFixErrors</w:t>
      </w:r>
      <w:r>
        <w:rPr/>
        <w:t xml:space="preserve">). Large polygons with minor topology issues could be fixed using </w:t>
      </w:r>
      <w:r>
        <w:rPr>
          <w:rStyle w:val="VerbatimChar"/>
        </w:rPr>
        <w:t>terra::buffer(x, 0)</w:t>
      </w:r>
      <w:r>
        <w:rPr/>
        <w:t xml:space="preserve"> or similar methods if needed (not explicitly detailed in the excerpt but hinted by skip options).</w:t>
      </w:r>
    </w:p>
    <w:p>
      <w:pPr>
        <w:pStyle w:val="Normal"/>
        <w:numPr>
          <w:ilvl w:val="0"/>
          <w:numId w:val="76"/>
        </w:numPr>
        <w:rPr/>
      </w:pPr>
      <w:r>
        <w:rPr>
          <w:b/>
          <w:bCs/>
        </w:rPr>
        <w:t>Merging:</w:t>
      </w:r>
      <w:r>
        <w:rPr/>
        <w:t xml:space="preserve"> If multiple data sources correspond to the same </w:t>
      </w:r>
      <w:r>
        <w:rPr>
          <w:rStyle w:val="VerbatimChar"/>
        </w:rPr>
        <w:t>dataClass</w:t>
      </w:r>
      <w:r>
        <w:rPr/>
        <w:t xml:space="preserve">, they are merged. For vectors, this means concatenating the features; for rasters, possibly mosaic or stacking (though typically each class is either all vector or all raster). The goal is to end up with one combined layer per class. For example, if </w:t>
      </w:r>
      <w:r>
        <w:rPr>
          <w:rStyle w:val="VerbatimChar"/>
        </w:rPr>
        <w:t>disturbanceDT</w:t>
      </w:r>
      <w:r>
        <w:rPr/>
        <w:t xml:space="preserve"> had separate entries for “Main Roads” and “Secondary Roads” both mapped to </w:t>
      </w:r>
      <w:r>
        <w:rPr>
          <w:rStyle w:val="VerbatimChar"/>
        </w:rPr>
        <w:t>dataClass = roads</w:t>
      </w:r>
      <w:r>
        <w:rPr/>
        <w:t xml:space="preserve">, after loading both, the submodel would combine them into one </w:t>
      </w:r>
      <w:r>
        <w:rPr>
          <w:rStyle w:val="VerbatimChar"/>
        </w:rPr>
        <w:t>roads</w:t>
      </w:r>
      <w:r>
        <w:rPr/>
        <w:t xml:space="preserve"> vector layer.</w:t>
      </w:r>
    </w:p>
    <w:p>
      <w:pPr>
        <w:pStyle w:val="Normal"/>
        <w:numPr>
          <w:ilvl w:val="0"/>
          <w:numId w:val="77"/>
        </w:numPr>
        <w:rPr/>
      </w:pPr>
      <w:r>
        <w:rPr>
          <w:b/>
          <w:bCs/>
        </w:rPr>
        <w:t>Output structuring:</w:t>
      </w:r>
      <w:r>
        <w:rPr/>
        <w:t xml:space="preserve"> The processed layer is placed into a nested list structure: </w:t>
      </w:r>
      <w:r>
        <w:rPr>
          <w:rStyle w:val="VerbatimChar"/>
        </w:rPr>
        <w:t>disturbances[[dataName]][[dataClass]] &lt;- spatialLayer</w:t>
      </w:r>
      <w:r>
        <w:rPr/>
        <w:t xml:space="preserve">. Here </w:t>
      </w:r>
      <w:r>
        <w:rPr>
          <w:rStyle w:val="VerbatimChar"/>
        </w:rPr>
        <w:t>dataName</w:t>
      </w:r>
      <w:r>
        <w:rPr/>
        <w:t xml:space="preserve"> is the sector grouping (like "Forestry") and </w:t>
      </w:r>
      <w:r>
        <w:rPr>
          <w:rStyle w:val="VerbatimChar"/>
        </w:rPr>
        <w:t>dataClass</w:t>
      </w:r>
      <w:r>
        <w:rPr/>
        <w:t xml:space="preserve"> is the specific type (like "cutblocks"). Thus, </w:t>
      </w:r>
      <w:r>
        <w:rPr>
          <w:rStyle w:val="VerbatimChar"/>
        </w:rPr>
        <w:t>disturbances</w:t>
      </w:r>
      <w:r>
        <w:rPr/>
        <w:t xml:space="preserve"> is a list of lists. If multiple classes belong to the same sector, they end up in the same top-level list. If a class appears in multiple sectors (unusual, but e.g. a “roads” might be listed under Transportation and Forestry if separate), they’d still be separate top-level by sector.</w:t>
      </w:r>
    </w:p>
    <w:p>
      <w:pPr>
        <w:pStyle w:val="FirstParagraph"/>
        <w:rPr/>
      </w:pPr>
      <w:r>
        <w:rPr/>
        <w:t xml:space="preserve">This submodel ensures all input data are normalized to a common spatial domain and format. After this, the model has a raw </w:t>
      </w:r>
      <w:r>
        <w:rPr>
          <w:rStyle w:val="VerbatimChar"/>
        </w:rPr>
        <w:t>disturbances</w:t>
      </w:r>
      <w:r>
        <w:rPr/>
        <w:t xml:space="preserve"> list where some classes may still have multiple entries (if not merged yet) or might include “potential” classes that mirror current ones (like an entry for current mines and one for potential mines).</w:t>
      </w:r>
    </w:p>
    <w:p>
      <w:pPr>
        <w:pStyle w:val="BodyText"/>
        <w:rPr/>
      </w:pPr>
      <w:r>
        <w:rPr>
          <w:b/>
          <w:bCs/>
        </w:rPr>
        <w:t>Submodel B: Harmonize List (</w:t>
      </w:r>
      <w:r>
        <w:rPr>
          <w:rStyle w:val="VerbatimChar"/>
          <w:b/>
          <w:bCs/>
        </w:rPr>
        <w:t>harmonizeList</w:t>
      </w:r>
      <w:r>
        <w:rPr>
          <w:b/>
          <w:bCs/>
        </w:rPr>
        <w:t>)</w:t>
      </w:r>
      <w:r>
        <w:rPr/>
        <w:t xml:space="preserve"> - </w:t>
      </w:r>
      <w:r>
        <w:rPr>
          <w:i/>
          <w:iCs/>
        </w:rPr>
        <w:t>Inputs:</w:t>
      </w:r>
      <w:r>
        <w:rPr/>
        <w:t xml:space="preserve"> </w:t>
      </w:r>
      <w:r>
        <w:rPr>
          <w:rStyle w:val="VerbatimChar"/>
        </w:rPr>
        <w:t>disturbances</w:t>
      </w:r>
      <w:r>
        <w:rPr/>
        <w:t xml:space="preserve"> list from above, and </w:t>
      </w:r>
      <w:r>
        <w:rPr>
          <w:rStyle w:val="VerbatimChar"/>
        </w:rPr>
        <w:t>whatNotToCombine</w:t>
      </w:r>
      <w:r>
        <w:rPr/>
        <w:t xml:space="preserve"> parameter. </w:t>
      </w:r>
      <w:r>
        <w:rPr>
          <w:i/>
          <w:iCs/>
        </w:rPr>
        <w:t>Purpose:</w:t>
      </w:r>
      <w:r>
        <w:rPr/>
        <w:t xml:space="preserve"> Finalize the </w:t>
      </w:r>
      <w:r>
        <w:rPr>
          <w:rStyle w:val="VerbatimChar"/>
        </w:rPr>
        <w:t>disturbanceList</w:t>
      </w:r>
      <w:r>
        <w:rPr/>
        <w:t xml:space="preserve"> by unifying duplicate classes and segregating special cases. The algorithm goes through each sector in </w:t>
      </w:r>
      <w:r>
        <w:rPr>
          <w:rStyle w:val="VerbatimChar"/>
        </w:rPr>
        <w:t>disturbances</w:t>
      </w:r>
      <w:r>
        <w:rPr/>
        <w:t xml:space="preserve"> and for each </w:t>
      </w:r>
      <w:r>
        <w:rPr>
          <w:rStyle w:val="VerbatimChar"/>
        </w:rPr>
        <w:t>dataClass</w:t>
      </w:r>
      <w:r>
        <w:rPr/>
        <w:t xml:space="preserve"> inside it:</w:t>
      </w:r>
    </w:p>
    <w:p>
      <w:pPr>
        <w:pStyle w:val="Normal"/>
        <w:numPr>
          <w:ilvl w:val="0"/>
          <w:numId w:val="78"/>
        </w:numPr>
        <w:rPr/>
      </w:pPr>
      <w:r>
        <w:rPr/>
        <w:t xml:space="preserve">If the </w:t>
      </w:r>
      <w:r>
        <w:rPr>
          <w:rStyle w:val="VerbatimChar"/>
        </w:rPr>
        <w:t>dataClass</w:t>
      </w:r>
      <w:r>
        <w:rPr/>
        <w:t xml:space="preserve"> name contains any substring listed in </w:t>
      </w:r>
      <w:r>
        <w:rPr>
          <w:rStyle w:val="VerbatimChar"/>
        </w:rPr>
        <w:t>whatNotToCombine</w:t>
      </w:r>
      <w:r>
        <w:rPr/>
        <w:t xml:space="preserve"> (by default this list contains </w:t>
      </w:r>
      <w:r>
        <w:rPr>
          <w:rStyle w:val="VerbatimChar"/>
        </w:rPr>
        <w:t>"potential"</w:t>
      </w:r>
      <w:r>
        <w:rPr/>
        <w:t xml:space="preserve">), then that class is </w:t>
      </w:r>
      <w:r>
        <w:rPr>
          <w:b/>
          <w:bCs/>
        </w:rPr>
        <w:t>excluded from combination</w:t>
      </w:r>
      <w:r>
        <w:rPr/>
        <w:t xml:space="preserve">. This means if, for example, there are multiple “potentialSomething” layers, they will remain separate or be handled in another module. In the NW Territories case, </w:t>
      </w:r>
      <w:r>
        <w:rPr>
          <w:rStyle w:val="VerbatimChar"/>
        </w:rPr>
        <w:t>whatNotToCombine = "potential"</w:t>
      </w:r>
      <w:r>
        <w:rPr/>
        <w:t xml:space="preserve"> ensures that classes like "potentialMining" and "potentialOilGas" are not merged with other classes (since they need idiosyncratic processing).</w:t>
      </w:r>
    </w:p>
    <w:p>
      <w:pPr>
        <w:pStyle w:val="Normal"/>
        <w:numPr>
          <w:ilvl w:val="0"/>
          <w:numId w:val="79"/>
        </w:numPr>
        <w:rPr/>
      </w:pPr>
      <w:r>
        <w:rPr/>
        <w:t xml:space="preserve">For all other classes, if a sector has more than one list element for the same class (which could happen if the data sources were split by region or year), they are merged into one. In many cases, </w:t>
      </w:r>
      <w:r>
        <w:rPr>
          <w:rStyle w:val="VerbatimChar"/>
        </w:rPr>
        <w:t>createDisturbanceList</w:t>
      </w:r>
      <w:r>
        <w:rPr/>
        <w:t xml:space="preserve"> already merged by class, so </w:t>
      </w:r>
      <w:r>
        <w:rPr>
          <w:rStyle w:val="VerbatimChar"/>
        </w:rPr>
        <w:t>harmonizeList</w:t>
      </w:r>
      <w:r>
        <w:rPr/>
        <w:t xml:space="preserve"> primarily just copies the structure. The outcome is a new list </w:t>
      </w:r>
      <w:r>
        <w:rPr>
          <w:rStyle w:val="VerbatimChar"/>
        </w:rPr>
        <w:t>disturbanceList</w:t>
      </w:r>
      <w:r>
        <w:rPr/>
        <w:t xml:space="preserve"> where each (sector, class) combination is unique and holds a single spatial layer. Essentially it collapses </w:t>
      </w:r>
      <w:r>
        <w:rPr>
          <w:rStyle w:val="VerbatimChar"/>
        </w:rPr>
        <w:t>disturbances</w:t>
      </w:r>
      <w:r>
        <w:rPr/>
        <w:t xml:space="preserve"> into a cleaner form.</w:t>
      </w:r>
    </w:p>
    <w:p>
      <w:pPr>
        <w:pStyle w:val="Normal"/>
        <w:numPr>
          <w:ilvl w:val="0"/>
          <w:numId w:val="80"/>
        </w:numPr>
        <w:rPr/>
      </w:pPr>
      <w:r>
        <w:rPr/>
        <w:t>Additionally, the function might also convert any remaining rasters to vectors or vice versa as needed (for example, if it expects vector layers for certain processes). In this model, most disturbance layers are likely kept as vector shapes for precision, but the generator has an option to work in raster mode (</w:t>
      </w:r>
      <w:r>
        <w:rPr>
          <w:rStyle w:val="VerbatimChar"/>
        </w:rPr>
        <w:t>generatedDisturbanceAsRaster</w:t>
      </w:r>
      <w:r>
        <w:rPr/>
        <w:t xml:space="preserve">). By default, the output </w:t>
      </w:r>
      <w:r>
        <w:rPr>
          <w:rStyle w:val="VerbatimChar"/>
        </w:rPr>
        <w:t>disturbanceList</w:t>
      </w:r>
      <w:r>
        <w:rPr/>
        <w:t xml:space="preserve"> is a list of </w:t>
      </w:r>
      <w:r>
        <w:rPr>
          <w:rStyle w:val="VerbatimChar"/>
        </w:rPr>
        <w:t>SpatVector</w:t>
      </w:r>
      <w:r>
        <w:rPr/>
        <w:t xml:space="preserve"> objects (for lines/polygons) for each class, unless a class is inherently raster (none are inherently raster except potential surfaces which can be raster).</w:t>
      </w:r>
    </w:p>
    <w:p>
      <w:pPr>
        <w:pStyle w:val="FirstParagraph"/>
        <w:rPr/>
      </w:pPr>
      <w:r>
        <w:rPr/>
        <w:t xml:space="preserve">The </w:t>
      </w:r>
      <w:r>
        <w:rPr>
          <w:rStyle w:val="VerbatimChar"/>
        </w:rPr>
        <w:t>harmonizeList</w:t>
      </w:r>
      <w:r>
        <w:rPr/>
        <w:t xml:space="preserve"> returns </w:t>
      </w:r>
      <w:r>
        <w:rPr>
          <w:rStyle w:val="VerbatimChar"/>
        </w:rPr>
        <w:t>sim$disturbanceList</w:t>
      </w:r>
      <w:r>
        <w:rPr/>
        <w:t xml:space="preserve">. After Submodel A and B, the data are ready for use by the simulation. For example, </w:t>
      </w:r>
      <w:r>
        <w:rPr>
          <w:rStyle w:val="VerbatimChar"/>
        </w:rPr>
        <w:t>disturbanceList$Forestry$cutblocks</w:t>
      </w:r>
      <w:r>
        <w:rPr/>
        <w:t xml:space="preserve"> might be a polygon layer of all existing cutblocks in the study area; </w:t>
      </w:r>
      <w:r>
        <w:rPr>
          <w:rStyle w:val="VerbatimChar"/>
        </w:rPr>
        <w:t>disturbanceList$Energy$windTurbines</w:t>
      </w:r>
      <w:r>
        <w:rPr/>
        <w:t xml:space="preserve"> might be point locations of wind farms; </w:t>
      </w:r>
      <w:r>
        <w:rPr>
          <w:rStyle w:val="VerbatimChar"/>
        </w:rPr>
        <w:t>disturbanceList$Energy$potentialWind</w:t>
      </w:r>
      <w:r>
        <w:rPr/>
        <w:t xml:space="preserve"> might be a raster of wind power potential (this one would be left separate for potential processing if needed).</w:t>
      </w:r>
      <w:bookmarkEnd w:id="18"/>
    </w:p>
    <w:p>
      <w:pPr>
        <w:pStyle w:val="Heading3"/>
        <w:rPr/>
      </w:pPr>
      <w:bookmarkStart w:id="19" w:name="__RefHeading___Toc2095_3305361968"/>
      <w:bookmarkStart w:id="20" w:name="Xbe3ba1434b25d3ce118903deed84297a6a64c84"/>
      <w:bookmarkEnd w:id="19"/>
      <w:r>
        <w:rPr/>
        <w:t>7.2 Potential Resource Layer Combination (Idiosyncratic Data Prep)</w:t>
      </w:r>
    </w:p>
    <w:p>
      <w:pPr>
        <w:pStyle w:val="FirstParagraph"/>
        <w:rPr/>
      </w:pPr>
      <w:r>
        <w:rPr/>
        <w:t xml:space="preserve">This submodel (implemented in the </w:t>
      </w:r>
      <w:r>
        <w:rPr>
          <w:rStyle w:val="VerbatimChar"/>
        </w:rPr>
        <w:t>potentialResourcesNT_DataPrep</w:t>
      </w:r>
      <w:r>
        <w:rPr/>
        <w:t xml:space="preserve"> module for the NT case) handles special rules to combine multiple data sources into single “potential” layers for future development. The need for this arises when the way new disturbances should be generated cannot rely on a single raw input layer. Two key examples are </w:t>
      </w:r>
      <w:r>
        <w:rPr>
          <w:b/>
          <w:bCs/>
        </w:rPr>
        <w:t>Oil &amp; Gas</w:t>
      </w:r>
      <w:r>
        <w:rPr/>
        <w:t xml:space="preserve"> and </w:t>
      </w:r>
      <w:r>
        <w:rPr>
          <w:b/>
          <w:bCs/>
        </w:rPr>
        <w:t>Mining</w:t>
      </w:r>
      <w:r>
        <w:rPr/>
        <w:t xml:space="preserve"> potential, where multiple datasets (e.g. geological survey outputs, current exploration activities) must be fused.</w:t>
      </w:r>
    </w:p>
    <w:p>
      <w:pPr>
        <w:pStyle w:val="BodyText"/>
        <w:rPr/>
      </w:pPr>
      <w:r>
        <w:rPr>
          <w:b/>
          <w:bCs/>
        </w:rPr>
        <w:t>Submodel C: Create Combined Potential Layers</w:t>
      </w:r>
      <w:r>
        <w:rPr/>
        <w:t xml:space="preserve"> - The module runs a series of events at initialization:</w:t>
      </w:r>
    </w:p>
    <w:p>
      <w:pPr>
        <w:pStyle w:val="Normal"/>
        <w:numPr>
          <w:ilvl w:val="0"/>
          <w:numId w:val="81"/>
        </w:numPr>
        <w:rPr/>
      </w:pPr>
      <w:r>
        <w:rPr>
          <w:b/>
          <w:bCs/>
        </w:rPr>
        <w:t>createPotentialMining:</w:t>
      </w:r>
      <w:r>
        <w:rPr/>
        <w:t xml:space="preserve"> This uses the </w:t>
      </w:r>
      <w:r>
        <w:rPr>
          <w:rStyle w:val="VerbatimChar"/>
        </w:rPr>
        <w:t>whatToCombine</w:t>
      </w:r>
      <w:r>
        <w:rPr/>
        <w:t xml:space="preserve"> table (see Input Data) to identify which disturbanceList entries to combine for mining. In the NT example, </w:t>
      </w:r>
      <w:r>
        <w:rPr>
          <w:rStyle w:val="VerbatimChar"/>
        </w:rPr>
        <w:t>whatToCombine</w:t>
      </w:r>
      <w:r>
        <w:rPr/>
        <w:t xml:space="preserve"> indicates that for </w:t>
      </w:r>
      <w:r>
        <w:rPr>
          <w:rStyle w:val="VerbatimChar"/>
        </w:rPr>
        <w:t>dataName = "mining"</w:t>
      </w:r>
      <w:r>
        <w:rPr/>
        <w:t xml:space="preserve"> and </w:t>
      </w:r>
      <w:r>
        <w:rPr>
          <w:rStyle w:val="VerbatimChar"/>
        </w:rPr>
        <w:t>dataClass = "potentialMining"</w:t>
      </w:r>
      <w:r>
        <w:rPr/>
        <w:t xml:space="preserve">, two inputs are relevant: one with </w:t>
      </w:r>
      <w:r>
        <w:rPr>
          <w:rStyle w:val="VerbatimChar"/>
        </w:rPr>
        <w:t>toDifferentiate = "CLAIM_STAT"</w:t>
      </w:r>
      <w:r>
        <w:rPr/>
        <w:t xml:space="preserve"> and one with </w:t>
      </w:r>
      <w:r>
        <w:rPr>
          <w:rStyle w:val="VerbatimChar"/>
        </w:rPr>
        <w:t>toDifferentiate = "PERMIT_STA"</w:t>
      </w:r>
      <w:r>
        <w:rPr/>
        <w:t xml:space="preserve">. Likely, the disturbance list at this point has two raster layers (or Spatial tables) for mining potential: one showing areas of active claims and one of permits. The submodel reads those from </w:t>
      </w:r>
      <w:r>
        <w:rPr>
          <w:rStyle w:val="VerbatimChar"/>
        </w:rPr>
        <w:t>sim$disturbanceList</w:t>
      </w:r>
      <w:r>
        <w:rPr/>
        <w:t xml:space="preserve"> and creates a new raster that assigns higher values to cells with active claims, slightly lower to cells with only permits, and baseline values to other areas (perhaps based on an underlying geological potential if available). In practice: it might take the “CLAIM_STAT” layer (which could be a polygon of mineral claims) and rasterize it, giving those cells a high score (say 1.0), take the “PERMIT_STA” (exploration permit areas) and give them a moderate score (say 0.5), and everywhere else 0. Then maybe add a base geological favorability map if provided. The output is a raster with values from high (very likely to develop - active claims) to low (no interest). This becomes </w:t>
      </w:r>
      <w:r>
        <w:rPr>
          <w:rStyle w:val="VerbatimChar"/>
        </w:rPr>
        <w:t>sim$potentialMining</w:t>
      </w:r>
      <w:r>
        <w:rPr/>
        <w:t xml:space="preserve">. The exact algorithm could be: </w:t>
      </w:r>
      <w:r>
        <w:rPr>
          <w:rStyle w:val="VerbatimChar"/>
        </w:rPr>
        <w:t>potentialMining = normalize( w1*ClaimAreas + w2*PermitAreas + w3*Geology )</w:t>
      </w:r>
      <w:r>
        <w:rPr/>
        <w:t xml:space="preserve"> where weights w1 &gt; w2 &gt;&gt; w3, for example. The documentation suggests claims are considered "most likely", followed by permits, aligning with that approach.</w:t>
      </w:r>
    </w:p>
    <w:p>
      <w:pPr>
        <w:pStyle w:val="Normal"/>
        <w:numPr>
          <w:ilvl w:val="0"/>
          <w:numId w:val="82"/>
        </w:numPr>
        <w:rPr/>
      </w:pPr>
      <w:r>
        <w:rPr>
          <w:b/>
          <w:bCs/>
        </w:rPr>
        <w:t>createPotentialOilGas:</w:t>
      </w:r>
      <w:r>
        <w:rPr/>
        <w:t xml:space="preserve"> Similarly, this combines layers for oil and gas. The </w:t>
      </w:r>
      <w:r>
        <w:rPr>
          <w:rStyle w:val="VerbatimChar"/>
        </w:rPr>
        <w:t>whatToCombine</w:t>
      </w:r>
      <w:r>
        <w:rPr/>
        <w:t xml:space="preserve"> for oilGas has two entries, one probably corresponds to an exploration permits layer (or wells), and one to a continuous potential raster </w:t>
      </w:r>
      <w:r>
        <w:rPr>
          <w:rStyle w:val="VerbatimChar"/>
        </w:rPr>
        <w:t>C2H4_BCR6_NT1</w:t>
      </w:r>
      <w:r>
        <w:rPr/>
        <w:t xml:space="preserve">. The submodel likely uses the exploration permits as starting points and the continuous potential as a weight map. A possible procedure: mark all cells within current oil/gas license areas (exploration leases) and then within those areas, rank cells by the value of the prospectivity raster (C2H4...). If more development is needed than fits in current leases, possibly expand beyond, but prioritizing high C2H4 values. The output </w:t>
      </w:r>
      <w:r>
        <w:rPr>
          <w:rStyle w:val="VerbatimChar"/>
        </w:rPr>
        <w:t>sim$potentialOilGas</w:t>
      </w:r>
      <w:r>
        <w:rPr/>
        <w:t xml:space="preserve"> might essentially be the C2H4 raster, but with an overlay that ensures cells inside licensed areas are considered highest priority (maybe given a boost or simply the fact that new structures will first fill those areas). The text indicates a two-step filling: first place structures in the exploration permits, then randomly in highest C2H4 values until the required total is reached. In implementation, the raster might remain the raw potential values (C2H4), but the generator will be coded to first use license polygons as a mask. Alternatively, the raster itself could be multiplied by a factor &gt;1 inside permit areas to guarantee those get chosen first in an “exhaustive” selection approach.</w:t>
      </w:r>
    </w:p>
    <w:p>
      <w:pPr>
        <w:pStyle w:val="Normal"/>
        <w:numPr>
          <w:ilvl w:val="0"/>
          <w:numId w:val="83"/>
        </w:numPr>
        <w:rPr/>
      </w:pPr>
      <w:r>
        <w:rPr>
          <w:b/>
          <w:bCs/>
        </w:rPr>
        <w:t>createPotentialSeismicLines:</w:t>
      </w:r>
      <w:r>
        <w:rPr/>
        <w:t xml:space="preserve"> In NT, seismic lines potential is assumed equivalent to oil/gas potential (since seismic lines are cut mainly for oil exploration). The submodel simply does </w:t>
      </w:r>
      <w:r>
        <w:rPr>
          <w:rStyle w:val="VerbatimChar"/>
        </w:rPr>
        <w:t>sim$potentialSeismicLines &lt;- copy(sim$potentialOilGas)</w:t>
      </w:r>
      <w:r>
        <w:rPr/>
        <w:t>. This avoids needing separate data; seismic lines will be generated in the same areas as oil infrastructure.</w:t>
      </w:r>
    </w:p>
    <w:p>
      <w:pPr>
        <w:pStyle w:val="Normal"/>
        <w:numPr>
          <w:ilvl w:val="0"/>
          <w:numId w:val="84"/>
        </w:numPr>
        <w:rPr/>
      </w:pPr>
      <w:r>
        <w:rPr>
          <w:b/>
          <w:bCs/>
        </w:rPr>
        <w:t>createPotentialCutblocks:</w:t>
      </w:r>
      <w:r>
        <w:rPr/>
        <w:t xml:space="preserve"> This likely creates a potential layer for forestry cutblocks. If the disturbance list has something like a “forest cover” or an index of standing timber volume, it could use that. If not, a simple approach is to take the study area’s forested land (could be derived from a land cover map) and use that as uniform potential - essentially every forest cell is equally potential unless refined by some criteria (distance from roads, etc.). The code call </w:t>
      </w:r>
      <w:r>
        <w:rPr>
          <w:rStyle w:val="VerbatimChar"/>
        </w:rPr>
        <w:t>makePotentialCutblocks(disturbanceList)</w:t>
      </w:r>
      <w:r>
        <w:rPr/>
        <w:t xml:space="preserve"> suggests it might look at current roads or something to favor accessible forest. Without the details, we assume it produces a raster (or set of polygons) representing remaining harvestable forest. Possibly it erodes a buffer around current cutblocks (to simulate how forestry often expands outward) or simply flags all forest as 1.</w:t>
      </w:r>
    </w:p>
    <w:p>
      <w:pPr>
        <w:pStyle w:val="FirstParagraph"/>
        <w:rPr/>
      </w:pPr>
      <w:r>
        <w:rPr/>
        <w:t xml:space="preserve">Each of these create* functions returns a new spatial layer which the module stores in sim (e.g., </w:t>
      </w:r>
      <w:r>
        <w:rPr>
          <w:rStyle w:val="VerbatimChar"/>
        </w:rPr>
        <w:t>sim$potentialMining</w:t>
      </w:r>
      <w:r>
        <w:rPr/>
        <w:t>).</w:t>
      </w:r>
    </w:p>
    <w:p>
      <w:pPr>
        <w:pStyle w:val="Compact"/>
        <w:numPr>
          <w:ilvl w:val="0"/>
          <w:numId w:val="85"/>
        </w:numPr>
        <w:rPr/>
      </w:pPr>
      <w:r>
        <w:rPr>
          <w:b/>
          <w:bCs/>
        </w:rPr>
        <w:t>replaceInDisturbanceList:</w:t>
      </w:r>
      <w:r>
        <w:rPr/>
        <w:t xml:space="preserve"> After creating the new layers, this final step updates the main </w:t>
      </w:r>
      <w:r>
        <w:rPr>
          <w:rStyle w:val="VerbatimChar"/>
        </w:rPr>
        <w:t>disturbanceList</w:t>
      </w:r>
      <w:r>
        <w:rPr/>
        <w:t xml:space="preserve">. For each combined potential (mining, oilGas, seismic, cutblocks), it finds the corresponding entries in </w:t>
      </w:r>
      <w:r>
        <w:rPr>
          <w:rStyle w:val="VerbatimChar"/>
        </w:rPr>
        <w:t>disturbanceList</w:t>
      </w:r>
      <w:r>
        <w:rPr/>
        <w:t xml:space="preserve"> and replaces them. For example, originally </w:t>
      </w:r>
      <w:r>
        <w:rPr>
          <w:rStyle w:val="VerbatimChar"/>
        </w:rPr>
        <w:t>disturbanceList$Mining</w:t>
      </w:r>
      <w:r>
        <w:rPr/>
        <w:t xml:space="preserve"> might have had two entries: </w:t>
      </w:r>
      <w:r>
        <w:rPr>
          <w:rStyle w:val="VerbatimChar"/>
        </w:rPr>
        <w:t>claims</w:t>
      </w:r>
      <w:r>
        <w:rPr/>
        <w:t xml:space="preserve"> and </w:t>
      </w:r>
      <w:r>
        <w:rPr>
          <w:rStyle w:val="VerbatimChar"/>
        </w:rPr>
        <w:t>permits</w:t>
      </w:r>
      <w:r>
        <w:rPr/>
        <w:t xml:space="preserve"> (or a placeholder </w:t>
      </w:r>
      <w:r>
        <w:rPr>
          <w:rStyle w:val="VerbatimChar"/>
        </w:rPr>
        <w:t>potentialMining</w:t>
      </w:r>
      <w:r>
        <w:rPr/>
        <w:t xml:space="preserve"> that was not yet combined). Now it will have one entry </w:t>
      </w:r>
      <w:r>
        <w:rPr>
          <w:rStyle w:val="VerbatimChar"/>
        </w:rPr>
        <w:t>potentialMining</w:t>
      </w:r>
      <w:r>
        <w:rPr/>
        <w:t xml:space="preserve"> (the combined raster) and presumably no separate permits/claims entries (those could be removed). Similarly, </w:t>
      </w:r>
      <w:r>
        <w:rPr>
          <w:rStyle w:val="VerbatimChar"/>
        </w:rPr>
        <w:t>disturbanceList$Energy</w:t>
      </w:r>
      <w:r>
        <w:rPr/>
        <w:t xml:space="preserve"> might replace separate </w:t>
      </w:r>
      <w:r>
        <w:rPr>
          <w:rStyle w:val="VerbatimChar"/>
        </w:rPr>
        <w:t>potentialOil</w:t>
      </w:r>
      <w:r>
        <w:rPr/>
        <w:t xml:space="preserve"> and </w:t>
      </w:r>
      <w:r>
        <w:rPr>
          <w:rStyle w:val="VerbatimChar"/>
        </w:rPr>
        <w:t>potentialGas</w:t>
      </w:r>
      <w:r>
        <w:rPr/>
        <w:t xml:space="preserve"> with a unified </w:t>
      </w:r>
      <w:r>
        <w:rPr>
          <w:rStyle w:val="VerbatimChar"/>
        </w:rPr>
        <w:t>potentialOilGas</w:t>
      </w:r>
      <w:r>
        <w:rPr/>
        <w:t xml:space="preserve">. Additionally, if </w:t>
      </w:r>
      <w:r>
        <w:rPr>
          <w:rStyle w:val="VerbatimChar"/>
        </w:rPr>
        <w:t>potentialCutblocks</w:t>
      </w:r>
      <w:r>
        <w:rPr/>
        <w:t xml:space="preserve"> did not exist before, it will be added under the Forestry sector list. The </w:t>
      </w:r>
      <w:r>
        <w:rPr>
          <w:rStyle w:val="VerbatimChar"/>
        </w:rPr>
        <w:t>replaceList</w:t>
      </w:r>
      <w:r>
        <w:rPr/>
        <w:t xml:space="preserve"> function likely handles the list merging efficiently.</w:t>
      </w:r>
    </w:p>
    <w:p>
      <w:pPr>
        <w:pStyle w:val="FirstParagraph"/>
        <w:rPr/>
      </w:pPr>
      <w:r>
        <w:rPr/>
        <w:t xml:space="preserve">After this submodel, the </w:t>
      </w:r>
      <w:r>
        <w:rPr>
          <w:rStyle w:val="VerbatimChar"/>
        </w:rPr>
        <w:t>disturbanceList</w:t>
      </w:r>
      <w:r>
        <w:rPr/>
        <w:t xml:space="preserve"> is fully updated with refined potential layers. This completes the initialization phase. The generator module now has everything it needs: a disturbanceList with current disturbances and potential surfaces, and the disturbance parameters table.</w:t>
      </w:r>
      <w:bookmarkEnd w:id="20"/>
    </w:p>
    <w:p>
      <w:pPr>
        <w:pStyle w:val="Heading3"/>
        <w:rPr/>
      </w:pPr>
      <w:bookmarkStart w:id="21" w:name="__RefHeading___Toc2097_3305361968"/>
      <w:bookmarkStart w:id="22" w:name="disturbance-parameter-calculations"/>
      <w:bookmarkEnd w:id="21"/>
      <w:r>
        <w:rPr/>
        <w:t>7.3 Disturbance Parameter Calculations</w:t>
      </w:r>
    </w:p>
    <w:p>
      <w:pPr>
        <w:pStyle w:val="FirstParagraph"/>
        <w:rPr/>
      </w:pPr>
      <w:r>
        <w:rPr/>
        <w:t xml:space="preserve">Once the simulation proper begins, the first events address any </w:t>
      </w:r>
      <w:r>
        <w:rPr>
          <w:b/>
          <w:bCs/>
        </w:rPr>
        <w:t>missing parameters</w:t>
      </w:r>
      <w:r>
        <w:rPr/>
        <w:t xml:space="preserve"> that need to be derived from data. These submodels run at the first time step (and can be skipped thereafter).</w:t>
      </w:r>
    </w:p>
    <w:p>
      <w:pPr>
        <w:pStyle w:val="BodyText"/>
        <w:rPr/>
      </w:pPr>
      <w:r>
        <w:rPr>
          <w:b/>
          <w:bCs/>
        </w:rPr>
        <w:t>Submodel D: Calculate Disturbance Size (</w:t>
      </w:r>
      <w:r>
        <w:rPr>
          <w:rStyle w:val="VerbatimChar"/>
          <w:b/>
          <w:bCs/>
        </w:rPr>
        <w:t>calculateSize</w:t>
      </w:r>
      <w:r>
        <w:rPr>
          <w:b/>
          <w:bCs/>
        </w:rPr>
        <w:t>)</w:t>
      </w:r>
      <w:r>
        <w:rPr/>
        <w:t xml:space="preserve"> - </w:t>
      </w:r>
      <w:r>
        <w:rPr>
          <w:i/>
          <w:iCs/>
        </w:rPr>
        <w:t>Purpose:</w:t>
      </w:r>
      <w:r>
        <w:rPr/>
        <w:t xml:space="preserve"> Determine a representative </w:t>
      </w:r>
      <w:r>
        <w:rPr>
          <w:b/>
          <w:bCs/>
        </w:rPr>
        <w:t>size or geometry</w:t>
      </w:r>
      <w:r>
        <w:rPr/>
        <w:t xml:space="preserve"> for new disturbance features of types that require it. This applies to disturbance types of </w:t>
      </w:r>
      <w:r>
        <w:rPr>
          <w:rStyle w:val="VerbatimChar"/>
        </w:rPr>
        <w:t>disturbanceType = "Generating"</w:t>
      </w:r>
      <w:r>
        <w:rPr/>
        <w:t xml:space="preserve"> (i.e. new point or polygon features that will be created) if their </w:t>
      </w:r>
      <w:r>
        <w:rPr>
          <w:rStyle w:val="VerbatimChar"/>
        </w:rPr>
        <w:t>disturbanceSize</w:t>
      </w:r>
      <w:r>
        <w:rPr/>
        <w:t xml:space="preserve"> field in the parameters table is NA (undefined). For example, if we are going to generate new mines but we don’t know how large a typical mine footprint is, we can calculate it from existing data.</w:t>
      </w:r>
    </w:p>
    <w:p>
      <w:pPr>
        <w:pStyle w:val="BodyText"/>
        <w:rPr/>
      </w:pPr>
      <w:r>
        <w:rPr/>
        <w:t xml:space="preserve">The submodel goes through the </w:t>
      </w:r>
      <w:r>
        <w:rPr>
          <w:rStyle w:val="VerbatimChar"/>
        </w:rPr>
        <w:t>sim$disturbanceParameters</w:t>
      </w:r>
      <w:r>
        <w:rPr/>
        <w:t xml:space="preserve"> table and identifies which entries need a size. For each such disturbance class:</w:t>
      </w:r>
    </w:p>
    <w:p>
      <w:pPr>
        <w:pStyle w:val="Compact"/>
        <w:numPr>
          <w:ilvl w:val="0"/>
          <w:numId w:val="86"/>
        </w:numPr>
        <w:rPr/>
      </w:pPr>
      <w:r>
        <w:rPr/>
        <w:t xml:space="preserve">It retrieves the corresponding spatial layer from </w:t>
      </w:r>
      <w:r>
        <w:rPr>
          <w:rStyle w:val="VerbatimChar"/>
        </w:rPr>
        <w:t>sim$disturbanceList</w:t>
      </w:r>
      <w:r>
        <w:rPr/>
        <w:t xml:space="preserve"> (e.g. all existing mines polygon).</w:t>
      </w:r>
    </w:p>
    <w:p>
      <w:pPr>
        <w:pStyle w:val="Compact"/>
        <w:numPr>
          <w:ilvl w:val="0"/>
          <w:numId w:val="87"/>
        </w:numPr>
        <w:rPr/>
      </w:pPr>
      <w:r>
        <w:rPr/>
        <w:t xml:space="preserve">It computes the area (for polygons) or length (for linear features, if any “Generating” lines) of each feature in that layer. In code, for a polygon layer </w:t>
      </w:r>
      <w:r>
        <w:rPr>
          <w:rStyle w:val="VerbatimChar"/>
        </w:rPr>
        <w:t>lay</w:t>
      </w:r>
      <w:r>
        <w:rPr/>
        <w:t xml:space="preserve">, they use </w:t>
      </w:r>
      <w:r>
        <w:rPr>
          <w:rStyle w:val="VerbatimChar"/>
        </w:rPr>
        <w:t>terra::expanse(lay, unit="m")</w:t>
      </w:r>
      <w:r>
        <w:rPr/>
        <w:t xml:space="preserve"> to get areas; for a line layer, they might use </w:t>
      </w:r>
      <w:r>
        <w:rPr>
          <w:rStyle w:val="VerbatimChar"/>
        </w:rPr>
        <w:t>terra::perim(lay)</w:t>
      </w:r>
      <w:r>
        <w:rPr/>
        <w:t xml:space="preserve"> to get length (perimeter effectively yields total length for lines).</w:t>
      </w:r>
    </w:p>
    <w:p>
      <w:pPr>
        <w:pStyle w:val="Compact"/>
        <w:numPr>
          <w:ilvl w:val="0"/>
          <w:numId w:val="88"/>
        </w:numPr>
        <w:rPr/>
      </w:pPr>
      <w:r>
        <w:rPr/>
        <w:t xml:space="preserve">It calculates summary statistics: typically the </w:t>
      </w:r>
      <w:r>
        <w:rPr>
          <w:b/>
          <w:bCs/>
        </w:rPr>
        <w:t>mean</w:t>
      </w:r>
      <w:r>
        <w:rPr/>
        <w:t xml:space="preserve"> and </w:t>
      </w:r>
      <w:r>
        <w:rPr>
          <w:b/>
          <w:bCs/>
        </w:rPr>
        <w:t>standard deviation</w:t>
      </w:r>
      <w:r>
        <w:rPr/>
        <w:t xml:space="preserve"> of the feature sizes (area or length). If there is only one feature or the data is degenerate, it applies some fallback (ensuring mean &gt; 0 and a non-zero sd by setting a small value if needed).</w:t>
      </w:r>
    </w:p>
    <w:p>
      <w:pPr>
        <w:pStyle w:val="Compact"/>
        <w:numPr>
          <w:ilvl w:val="0"/>
          <w:numId w:val="89"/>
        </w:numPr>
        <w:rPr/>
      </w:pPr>
      <w:r>
        <w:rPr/>
        <w:t xml:space="preserve">Using these statistics, it defines a random distribution for new sizes. The model uses a truncated normal distribution: for example, it sets </w:t>
      </w:r>
      <w:r>
        <w:rPr>
          <w:rStyle w:val="VerbatimChar"/>
        </w:rPr>
        <w:t>disturbanceSize = "rtnorm(1, meanArea, sdArea, lower=0)"</w:t>
      </w:r>
      <w:r>
        <w:rPr/>
        <w:t xml:space="preserve"> as a formula string in the parameters table. This indicates that each time a new feature of this class is created, its size will be drawn from a normal distribution with the calculated mean and sd, truncated at 0 to avoid negatives. The use of a string suggests that later the code will </w:t>
      </w:r>
      <w:r>
        <w:rPr>
          <w:rStyle w:val="VerbatimChar"/>
        </w:rPr>
        <w:t>eval()</w:t>
      </w:r>
      <w:r>
        <w:rPr/>
        <w:t xml:space="preserve"> this expression to generate a random number. Alternatively, the function might directly sample a value now. But given it returns the string, likely it stores the distribution for on-demand sampling.</w:t>
      </w:r>
    </w:p>
    <w:p>
      <w:pPr>
        <w:pStyle w:val="Compact"/>
        <w:numPr>
          <w:ilvl w:val="0"/>
          <w:numId w:val="90"/>
        </w:numPr>
        <w:rPr/>
      </w:pPr>
      <w:r>
        <w:rPr/>
        <w:t xml:space="preserve">It updates the </w:t>
      </w:r>
      <w:r>
        <w:rPr>
          <w:rStyle w:val="VerbatimChar"/>
        </w:rPr>
        <w:t>sim$disturbanceParameters$disturbanceSize</w:t>
      </w:r>
      <w:r>
        <w:rPr/>
        <w:t xml:space="preserve"> for that class with this value/expression.</w:t>
      </w:r>
    </w:p>
    <w:p>
      <w:pPr>
        <w:pStyle w:val="FirstParagraph"/>
        <w:rPr/>
      </w:pPr>
      <w:r>
        <w:rPr/>
        <w:t>After running this, all generating disturbance types now have a defined typical size. For instance, if existing settlements average 2 ha with sd 0.5 ha, then new settlements will use that distribution. If no existing features (e.g. a completely new type), the code had fallbacks to at least set a small default (perhaps 1 unit). The submodel returns the updated disturbanceParameters.</w:t>
      </w:r>
    </w:p>
    <w:p>
      <w:pPr>
        <w:pStyle w:val="BodyText"/>
        <w:rPr/>
      </w:pPr>
      <w:r>
        <w:rPr>
          <w:b/>
          <w:bCs/>
        </w:rPr>
        <w:t>Submodel E: Calculate Disturbance Rate (</w:t>
      </w:r>
      <w:r>
        <w:rPr>
          <w:rStyle w:val="VerbatimChar"/>
          <w:b/>
          <w:bCs/>
        </w:rPr>
        <w:t>calculateRate</w:t>
      </w:r>
      <w:r>
        <w:rPr>
          <w:b/>
          <w:bCs/>
        </w:rPr>
        <w:t>)</w:t>
      </w:r>
      <w:r>
        <w:rPr/>
        <w:t xml:space="preserve"> - </w:t>
      </w:r>
      <w:r>
        <w:rPr>
          <w:i/>
          <w:iCs/>
        </w:rPr>
        <w:t>Purpose:</w:t>
      </w:r>
      <w:r>
        <w:rPr/>
        <w:t xml:space="preserve"> Estimate the </w:t>
      </w:r>
      <w:r>
        <w:rPr>
          <w:b/>
          <w:bCs/>
        </w:rPr>
        <w:t>annual disturbance rate</w:t>
      </w:r>
      <w:r>
        <w:rPr/>
        <w:t xml:space="preserve"> (fraction or amount of new disturbance per year) for each relevant disturbance type, if not already provided. This is more complex because it involves temporal patterns. It applies to </w:t>
      </w:r>
      <w:r>
        <w:rPr>
          <w:rStyle w:val="VerbatimChar"/>
        </w:rPr>
        <w:t>disturbanceType</w:t>
      </w:r>
      <w:r>
        <w:rPr/>
        <w:t xml:space="preserve"> in {"Generating", "Enlarging"} that have missing </w:t>
      </w:r>
      <w:r>
        <w:rPr>
          <w:rStyle w:val="VerbatimChar"/>
        </w:rPr>
        <w:t>disturbanceRate</w:t>
      </w:r>
      <w:r>
        <w:rPr/>
        <w:t>. “Connecting” types might not have a set rate (they occur as needed to connect other features).</w:t>
      </w:r>
    </w:p>
    <w:p>
      <w:pPr>
        <w:pStyle w:val="BodyText"/>
        <w:rPr/>
      </w:pPr>
      <w:r>
        <w:rPr/>
        <w:t xml:space="preserve">The algorithm for rate calculation in the code calls a function </w:t>
      </w:r>
      <w:r>
        <w:rPr>
          <w:rStyle w:val="VerbatimChar"/>
        </w:rPr>
        <w:t>calculateRate(disturbanceParameters, whichToUpdate, ...)</w:t>
      </w:r>
      <w:r>
        <w:rPr/>
        <w:t xml:space="preserve"> with several arguments including </w:t>
      </w:r>
      <w:r>
        <w:rPr>
          <w:rStyle w:val="VerbatimChar"/>
        </w:rPr>
        <w:t>studyArea</w:t>
      </w:r>
      <w:r>
        <w:rPr/>
        <w:t xml:space="preserve">, the original </w:t>
      </w:r>
      <w:r>
        <w:rPr>
          <w:rStyle w:val="VerbatimChar"/>
        </w:rPr>
        <w:t>disturbanceDT</w:t>
      </w:r>
      <w:r>
        <w:rPr/>
        <w:t>, and a set of external data references (</w:t>
      </w:r>
      <w:r>
        <w:rPr>
          <w:rStyle w:val="VerbatimChar"/>
        </w:rPr>
        <w:t>urlOLD</w:t>
      </w:r>
      <w:r>
        <w:rPr/>
        <w:t xml:space="preserve">, </w:t>
      </w:r>
      <w:r>
        <w:rPr>
          <w:rStyle w:val="VerbatimChar"/>
        </w:rPr>
        <w:t>urlNEW</w:t>
      </w:r>
      <w:r>
        <w:rPr/>
        <w:t>, etc.). The logic likely goes as follows:</w:t>
      </w:r>
    </w:p>
    <w:p>
      <w:pPr>
        <w:pStyle w:val="Normal"/>
        <w:numPr>
          <w:ilvl w:val="0"/>
          <w:numId w:val="91"/>
        </w:numPr>
        <w:rPr/>
      </w:pPr>
      <w:r>
        <w:rPr>
          <w:b/>
          <w:bCs/>
        </w:rPr>
        <w:t>Identify reference years:</w:t>
      </w:r>
      <w:r>
        <w:rPr/>
        <w:t xml:space="preserve"> The parameter </w:t>
      </w:r>
      <w:r>
        <w:rPr>
          <w:rStyle w:val="VerbatimChar"/>
        </w:rPr>
        <w:t>diffYears</w:t>
      </w:r>
      <w:r>
        <w:rPr/>
        <w:t xml:space="preserve"> (a string like "2010_2015") is used to specify two years for comparison. The code validates this input (ensuring it contains two years in ascending order). In our case, diffYears = "2010_2015" by default</w:t>
      </w:r>
      <w:hyperlink r:id="rId14">
        <w:r>
          <w:rPr>
            <w:rStyle w:val="Hyperlink"/>
          </w:rPr>
          <w:t>[7]</w:t>
        </w:r>
      </w:hyperlink>
      <w:r>
        <w:rPr/>
        <w:t>. This implies the model will compare a baseline around 2010 (or “OLD”) to 2015 data.</w:t>
      </w:r>
    </w:p>
    <w:p>
      <w:pPr>
        <w:pStyle w:val="Normal"/>
        <w:numPr>
          <w:ilvl w:val="0"/>
          <w:numId w:val="92"/>
        </w:numPr>
        <w:rPr/>
      </w:pPr>
      <w:r>
        <w:rPr>
          <w:b/>
          <w:bCs/>
        </w:rPr>
        <w:t>Retrieve or compute area change:</w:t>
      </w:r>
      <w:r>
        <w:rPr/>
        <w:t xml:space="preserve"> The function may use an external dataset of </w:t>
      </w:r>
      <w:r>
        <w:rPr>
          <w:b/>
          <w:bCs/>
        </w:rPr>
        <w:t>disturbance footprints</w:t>
      </w:r>
      <w:r>
        <w:rPr/>
        <w:t xml:space="preserve"> for those years. Indeed, the code references </w:t>
      </w:r>
      <w:r>
        <w:rPr>
          <w:rStyle w:val="VerbatimChar"/>
        </w:rPr>
        <w:t>disturbanceInfoFromECCC(...)</w:t>
      </w:r>
      <w:r>
        <w:rPr/>
        <w:t xml:space="preserve"> and files named </w:t>
      </w:r>
      <w:r>
        <w:rPr>
          <w:rStyle w:val="VerbatimChar"/>
        </w:rPr>
        <w:t>Anthro_Disturb_Perturb_30m_OLD.zip</w:t>
      </w:r>
      <w:r>
        <w:rPr/>
        <w:t xml:space="preserve"> and </w:t>
      </w:r>
      <w:r>
        <w:rPr>
          <w:rStyle w:val="VerbatimChar"/>
        </w:rPr>
        <w:t>NEW.zip</w:t>
      </w:r>
      <w:r>
        <w:rPr/>
        <w:t xml:space="preserve"> in comments. It appears the model can read an official Canada-wide disturbance raster for ~2010 ("OLD") and 2015 and compute the difference in disturbed area within the study area. This yields the total new disturbance (all types combined) that occurred between 2010 and 2015. There is a note that the 2015 data is cropped to caribou ranges, causing underestimation if the study area extends beyond those ranges. A warning is issued if diffYears == "OLD_2015" to acknowledge this bias.</w:t>
      </w:r>
    </w:p>
    <w:p>
      <w:pPr>
        <w:pStyle w:val="Normal"/>
        <w:numPr>
          <w:ilvl w:val="0"/>
          <w:numId w:val="93"/>
        </w:numPr>
        <w:rPr/>
      </w:pPr>
      <w:r>
        <w:rPr>
          <w:b/>
          <w:bCs/>
        </w:rPr>
        <w:t>Adjust for buffered vs unbuffered:</w:t>
      </w:r>
      <w:r>
        <w:rPr/>
        <w:t xml:space="preserve"> If </w:t>
      </w:r>
      <w:r>
        <w:rPr>
          <w:rStyle w:val="VerbatimChar"/>
        </w:rPr>
        <w:t>disturbanceRateRelatesToBufferedArea = TRUE</w:t>
      </w:r>
      <w:r>
        <w:rPr/>
        <w:t xml:space="preserve"> (default for caribou), the calculation uses </w:t>
      </w:r>
      <w:r>
        <w:rPr>
          <w:i/>
          <w:iCs/>
        </w:rPr>
        <w:t>buffered</w:t>
      </w:r>
      <w:r>
        <w:rPr/>
        <w:t xml:space="preserve"> disturbance area (i.e. each disturbance feature plus a 500 m buffer around it, as per caribou habitat disturbance definition). The code checks this flag and, if true, likely buffers the footprints before computing areas. This can significantly increase the counted disturbed area (e.g. a line 1 km long adds a buffered corridor area). The model takes that into account to derive rates that correspond to buffered disturbance percent per year (for caribou habitat, usually aiming for &lt;35% total disturbed which roughly equals 0.2% new buffered disturbance per year).</w:t>
      </w:r>
    </w:p>
    <w:p>
      <w:pPr>
        <w:pStyle w:val="Normal"/>
        <w:numPr>
          <w:ilvl w:val="0"/>
          <w:numId w:val="94"/>
        </w:numPr>
        <w:rPr/>
      </w:pPr>
      <w:r>
        <w:rPr>
          <w:b/>
          <w:bCs/>
        </w:rPr>
        <w:t>Compute annual rates:</w:t>
      </w:r>
      <w:r>
        <w:rPr/>
        <w:t xml:space="preserve"> From the difference between the two years, an annual rate is computed. Possibly: </w:t>
      </w:r>
      <w:r>
        <w:rPr>
          <w:rStyle w:val="VerbatimChar"/>
        </w:rPr>
        <w:t>total_new_area = area(2015_disturbed) - area(2010_disturbed)</w:t>
      </w:r>
      <w:r>
        <w:rPr/>
        <w:t xml:space="preserve">. Annual rate (as fraction of area) = total_new_area / area(studyArea) / (2015-2010). If </w:t>
      </w:r>
      <w:r>
        <w:rPr>
          <w:rStyle w:val="VerbatimChar"/>
        </w:rPr>
        <w:t>totalDisturbanceRate</w:t>
      </w:r>
      <w:r>
        <w:rPr/>
        <w:t xml:space="preserve"> parameter is provided by user (overriding data), it may use that instead. The code passes both </w:t>
      </w:r>
      <w:r>
        <w:rPr>
          <w:rStyle w:val="VerbatimChar"/>
        </w:rPr>
        <w:t>DisturbanceRate</w:t>
      </w:r>
      <w:r>
        <w:rPr/>
        <w:t xml:space="preserve"> and </w:t>
      </w:r>
      <w:r>
        <w:rPr>
          <w:rStyle w:val="VerbatimChar"/>
        </w:rPr>
        <w:t>totalDisturbanceRate</w:t>
      </w:r>
      <w:r>
        <w:rPr/>
        <w:t xml:space="preserve"> - these could be user inputs to override or supplement calculations.</w:t>
      </w:r>
    </w:p>
    <w:p>
      <w:pPr>
        <w:pStyle w:val="Normal"/>
        <w:numPr>
          <w:ilvl w:val="0"/>
          <w:numId w:val="95"/>
        </w:numPr>
        <w:rPr/>
      </w:pPr>
      <w:r>
        <w:rPr>
          <w:b/>
          <w:bCs/>
        </w:rPr>
        <w:t>Allocate to disturbance types:</w:t>
      </w:r>
      <w:r>
        <w:rPr/>
        <w:t xml:space="preserve"> The model must decide how this overall disturbance increase is split among the different disturbance classes. It likely uses the proportion of each class in the baseline data or some rules. It might examine the </w:t>
      </w:r>
      <w:r>
        <w:rPr>
          <w:rStyle w:val="VerbatimChar"/>
        </w:rPr>
        <w:t>disturbanceDT</w:t>
      </w:r>
      <w:r>
        <w:rPr/>
        <w:t xml:space="preserve"> to see how much each sector contributed to disturbed area. Or it might rely on user-provided hints (the </w:t>
      </w:r>
      <w:r>
        <w:rPr>
          <w:rStyle w:val="VerbatimChar"/>
        </w:rPr>
        <w:t>disturbanceParameters</w:t>
      </w:r>
      <w:r>
        <w:rPr/>
        <w:t xml:space="preserve"> table might have some classes pre-filled with a partial rate). Another possibility: the code could run an algorithm to match known proportions from literature. In absence of explicit info, one strategy is to assign each generating/enlarging type an equal share or a share proportional to its existing presence. However, since they have </w:t>
      </w:r>
      <w:r>
        <w:rPr>
          <w:rStyle w:val="VerbatimChar"/>
        </w:rPr>
        <w:t>disturbanceOrigin</w:t>
      </w:r>
      <w:r>
        <w:rPr/>
        <w:t xml:space="preserve"> categories and possibly calibrations, they might do something more nuanced. The test data suggests they have unit tests for ensure warnings and correctness (there are tests for diffYears like "OLD_2015" and for relative change calculations).</w:t>
      </w:r>
    </w:p>
    <w:p>
      <w:pPr>
        <w:pStyle w:val="Normal"/>
        <w:numPr>
          <w:ilvl w:val="0"/>
          <w:numId w:val="96"/>
        </w:numPr>
        <w:rPr/>
      </w:pPr>
      <w:r>
        <w:rPr>
          <w:b/>
          <w:bCs/>
        </w:rPr>
        <w:t>Setting rates:</w:t>
      </w:r>
      <w:r>
        <w:rPr/>
        <w:t xml:space="preserve"> For each </w:t>
      </w:r>
      <w:r>
        <w:rPr>
          <w:rStyle w:val="VerbatimChar"/>
        </w:rPr>
        <w:t>whichToUpdate</w:t>
      </w:r>
      <w:r>
        <w:rPr/>
        <w:t xml:space="preserve"> type, it sets </w:t>
      </w:r>
      <w:r>
        <w:rPr>
          <w:rStyle w:val="VerbatimChar"/>
        </w:rPr>
        <w:t>disturbanceParameters$disturbanceRate</w:t>
      </w:r>
      <w:r>
        <w:rPr/>
        <w:t xml:space="preserve">. Likely in terms of fraction of study area per year (if </w:t>
      </w:r>
      <w:r>
        <w:rPr>
          <w:rStyle w:val="VerbatimChar"/>
        </w:rPr>
        <w:t>disturbanceRateRelatesToBufferedArea=FALSE</w:t>
      </w:r>
      <w:r>
        <w:rPr/>
        <w:t xml:space="preserve">, then it’s unbuffered fraction; if TRUE, likely buffered fraction). For instance, if total new buffered disturbance was 1% over 5 years (~0.2%/yr) and forestry historically accounted for 30% of that, then forestry’s rate might be 0.06%/yr of area. The code might automate such logic. Some parameters like </w:t>
      </w:r>
      <w:r>
        <w:rPr>
          <w:rStyle w:val="VerbatimChar"/>
        </w:rPr>
        <w:t>aggregateSameDisturbances</w:t>
      </w:r>
      <w:r>
        <w:rPr/>
        <w:t xml:space="preserve"> and </w:t>
      </w:r>
      <w:r>
        <w:rPr>
          <w:rStyle w:val="VerbatimChar"/>
        </w:rPr>
        <w:t>maskOutLinesFromPolys</w:t>
      </w:r>
      <w:r>
        <w:rPr/>
        <w:t xml:space="preserve"> are passed in, which suggests it has options to treat overlapping disturbances specially when counting area (to avoid double counting lines inside polygons either by masking lines or aggregating them). This ensures the area accounting for rates is accurate (e.g. if a road lies in a cutblock, we don’t want to count that area twice in total).</w:t>
      </w:r>
    </w:p>
    <w:p>
      <w:pPr>
        <w:pStyle w:val="FirstParagraph"/>
        <w:rPr/>
      </w:pPr>
      <w:r>
        <w:rPr/>
        <w:t xml:space="preserve">The outcome is that now every relevant disturbance type has an annual </w:t>
      </w:r>
      <w:r>
        <w:rPr>
          <w:b/>
          <w:bCs/>
        </w:rPr>
        <w:t>disturbanceRate</w:t>
      </w:r>
      <w:r>
        <w:rPr/>
        <w:t xml:space="preserve"> set (either as a proportion of area or perhaps in some cases as number of features per year for point events - but since everything can be related to area, likely proportion is used for all, converting features to area via average size if needed).</w:t>
      </w:r>
    </w:p>
    <w:p>
      <w:pPr>
        <w:pStyle w:val="BodyText"/>
        <w:rPr/>
      </w:pPr>
      <w:r>
        <w:rPr/>
        <w:t xml:space="preserve">The calculated rates essentially calibrate the model to historical data patterns (unless overridden). If the user provided a </w:t>
      </w:r>
      <w:r>
        <w:rPr>
          <w:rStyle w:val="VerbatimChar"/>
        </w:rPr>
        <w:t>DisturbanceRate</w:t>
      </w:r>
      <w:r>
        <w:rPr/>
        <w:t xml:space="preserve"> table (like specifying explicitly a scenario where forestry = 0.1%/yr, oil = 0.05%/yr, etc.), the function would simply plug those in. The design allows flexibility for scenario analysis. By default though, for NW Territories, they might use the 0.2%/yr total (as per caribou guidance) across all types, distributed such that the total matches and the relative contributions mirror past trends.</w:t>
      </w:r>
      <w:bookmarkEnd w:id="22"/>
    </w:p>
    <w:p>
      <w:pPr>
        <w:pStyle w:val="Heading3"/>
        <w:rPr/>
      </w:pPr>
      <w:bookmarkStart w:id="23" w:name="__RefHeading___Toc2099_3305361968"/>
      <w:bookmarkStart w:id="24" w:name="disturbance-generation-dynamics"/>
      <w:bookmarkEnd w:id="23"/>
      <w:r>
        <w:rPr/>
        <w:t>7.4 Disturbance Generation Dynamics</w:t>
      </w:r>
    </w:p>
    <w:p>
      <w:pPr>
        <w:pStyle w:val="FirstParagraph"/>
        <w:rPr/>
      </w:pPr>
      <w:r>
        <w:rPr/>
        <w:t xml:space="preserve">This set of submodels governs how disturbances actually grow or appear each simulated interval. It corresponds to the </w:t>
      </w:r>
      <w:r>
        <w:rPr>
          <w:rStyle w:val="VerbatimChar"/>
        </w:rPr>
        <w:t>generatingDisturbances</w:t>
      </w:r>
      <w:r>
        <w:rPr/>
        <w:t xml:space="preserve"> event in the module, which encompasses three categories of disturbance dynamics:</w:t>
      </w:r>
    </w:p>
    <w:p>
      <w:pPr>
        <w:pStyle w:val="BodyText"/>
        <w:rPr/>
      </w:pPr>
      <w:r>
        <w:rPr>
          <w:b/>
          <w:bCs/>
        </w:rPr>
        <w:t>Enlarging Existing Disturbances:</w:t>
      </w:r>
      <w:r>
        <w:rPr/>
        <w:t xml:space="preserve"> Some disturbances are modeled as </w:t>
      </w:r>
      <w:r>
        <w:rPr>
          <w:b/>
          <w:bCs/>
        </w:rPr>
        <w:t>expanding the footprint of existing features</w:t>
      </w:r>
      <w:r>
        <w:rPr/>
        <w:t xml:space="preserve"> over time (disturbanceType = "Enlarging"). For example, settlements might slowly grow outward, or seismic lines might widen slightly. The submodel for enlarging typically involves </w:t>
      </w:r>
      <w:r>
        <w:rPr>
          <w:b/>
          <w:bCs/>
        </w:rPr>
        <w:t>buffering</w:t>
      </w:r>
      <w:r>
        <w:rPr/>
        <w:t xml:space="preserve"> current features.</w:t>
      </w:r>
    </w:p>
    <w:p>
      <w:pPr>
        <w:pStyle w:val="Normal"/>
        <w:numPr>
          <w:ilvl w:val="0"/>
          <w:numId w:val="97"/>
        </w:numPr>
        <w:rPr/>
      </w:pPr>
      <w:r>
        <w:rPr>
          <w:i/>
          <w:iCs/>
        </w:rPr>
        <w:t>Submodel F: Enlarging Algorithm:</w:t>
      </w:r>
      <w:r>
        <w:rPr/>
        <w:t xml:space="preserve"> For each disturbance class marked "Enlarging," determine how much its area should increase this time step. This is based on its annual disturbanceRate and the time interval. For instance, if settlements have a rate of 0.1% of area per year and the interval is 10 years, then in 10 years the target is ~1% of the study area newly disturbed by settlements (though likely buffered area if in caribou context). In practice, one would calculate: </w:t>
      </w:r>
      <w:r>
        <w:rPr>
          <w:rStyle w:val="VerbatimChar"/>
        </w:rPr>
        <w:t>target_increase_area = disturbanceRate * interval * area(studyArea)</w:t>
      </w:r>
      <w:r>
        <w:rPr/>
        <w:t xml:space="preserve"> (if rate is fraction of studyArea per year)</w:t>
      </w:r>
      <w:hyperlink r:id="rId15">
        <w:r>
          <w:rPr>
            <w:rStyle w:val="Hyperlink"/>
          </w:rPr>
          <w:t>[8]</w:t>
        </w:r>
      </w:hyperlink>
      <w:hyperlink r:id="rId16">
        <w:r>
          <w:rPr>
            <w:rStyle w:val="Hyperlink"/>
          </w:rPr>
          <w:t>[9]</w:t>
        </w:r>
      </w:hyperlink>
      <w:r>
        <w:rPr/>
        <w:t xml:space="preserve">. The model then takes the current geometry for that class from </w:t>
      </w:r>
      <w:r>
        <w:rPr>
          <w:rStyle w:val="VerbatimChar"/>
        </w:rPr>
        <w:t>disturbanceList</w:t>
      </w:r>
      <w:r>
        <w:rPr/>
        <w:t xml:space="preserve"> and iteratively </w:t>
      </w:r>
      <w:r>
        <w:rPr>
          <w:b/>
          <w:bCs/>
        </w:rPr>
        <w:t>buffers it outward</w:t>
      </w:r>
      <w:r>
        <w:rPr/>
        <w:t xml:space="preserve"> until the additional area reaches the target. The code does precisely this: it uses </w:t>
      </w:r>
      <w:r>
        <w:rPr>
          <w:rStyle w:val="VerbatimChar"/>
        </w:rPr>
        <w:t>terra::buffer</w:t>
      </w:r>
      <w:r>
        <w:rPr/>
        <w:t xml:space="preserve"> in a loop, growing the buffer by small increments (parameters </w:t>
      </w:r>
      <w:r>
        <w:rPr>
          <w:rStyle w:val="VerbatimChar"/>
        </w:rPr>
        <w:t>growthStepEnlargingPolys</w:t>
      </w:r>
      <w:r>
        <w:rPr/>
        <w:t xml:space="preserve"> or </w:t>
      </w:r>
      <w:r>
        <w:rPr>
          <w:rStyle w:val="VerbatimChar"/>
        </w:rPr>
        <w:t>...Lines</w:t>
      </w:r>
      <w:r>
        <w:rPr/>
        <w:t xml:space="preserve">) and measuring the area until achieving the desired area. For polygonal disturbances (e.g. towns), </w:t>
      </w:r>
      <w:r>
        <w:rPr>
          <w:rStyle w:val="VerbatimChar"/>
        </w:rPr>
        <w:t>growthStepEnlargingPolys</w:t>
      </w:r>
      <w:r>
        <w:rPr/>
        <w:t xml:space="preserve"> might be 1 meter initially, so it buffers by 1 m repeatedly. For linear disturbances, </w:t>
      </w:r>
      <w:r>
        <w:rPr>
          <w:rStyle w:val="VerbatimChar"/>
        </w:rPr>
        <w:t>growthStepEnlargingLines</w:t>
      </w:r>
      <w:r>
        <w:rPr/>
        <w:t xml:space="preserve"> (not explicitly shown above, but likely in parameters) would be used similarly. The iterative approach avoids over-buffering. Once the sum of buffered area equals or slightly exceeds target, the loop stops. The result is an expanded polygon/line representing the new extent. This new feature essentially is the union of the old and newly disturbed fringe. The model prints or logs how close it got to the target (difference between expected and achieved area). Finally, this enlarged layer is stored as part of the outputs for this time step (it will replace the old layer in the disturbanceList during the update event).</w:t>
      </w:r>
    </w:p>
    <w:p>
      <w:pPr>
        <w:pStyle w:val="Normal"/>
        <w:numPr>
          <w:ilvl w:val="0"/>
          <w:numId w:val="98"/>
        </w:numPr>
        <w:rPr/>
      </w:pPr>
      <w:r>
        <w:rPr/>
        <w:t xml:space="preserve">If </w:t>
      </w:r>
      <w:r>
        <w:rPr>
          <w:rStyle w:val="VerbatimChar"/>
        </w:rPr>
        <w:t>disturbanceRateRelatesToBufferedArea = TRUE</w:t>
      </w:r>
      <w:r>
        <w:rPr/>
        <w:t>, an extra consideration: the model might buffer the layer by 500 m first when calculating how much area corresponds to a given footprint (since buffered area is the metric). In the code snippet, inside the enlarging loop, if that flag is true, they do an extra 500 m buffer (</w:t>
      </w:r>
      <w:r>
        <w:rPr>
          <w:rStyle w:val="VerbatimChar"/>
        </w:rPr>
        <w:t>LayUpdatedBuff</w:t>
      </w:r>
      <w:r>
        <w:rPr/>
        <w:t>) and aggregate it to get area. This suggests that they are computing future area in terms of buffered footprints for caribou. In any case, the algorithm ensures the correct proportion of area (buffered or not) is disturbed.</w:t>
      </w:r>
    </w:p>
    <w:p>
      <w:pPr>
        <w:pStyle w:val="FirstParagraph"/>
        <w:rPr/>
      </w:pPr>
      <w:r>
        <w:rPr/>
        <w:t>Output of this submodel: for each enlarging class, an updated spatial layer of that class, now larger by the required amount.</w:t>
      </w:r>
    </w:p>
    <w:p>
      <w:pPr>
        <w:pStyle w:val="BodyText"/>
        <w:rPr/>
      </w:pPr>
      <w:r>
        <w:rPr>
          <w:b/>
          <w:bCs/>
        </w:rPr>
        <w:t>Generating New Disturbances:</w:t>
      </w:r>
      <w:r>
        <w:rPr/>
        <w:t xml:space="preserve"> These are new features appearing in previously undisturbed locations (disturbanceType = "Generating"). They could be point features (like new well pads or mines) or small polygons (like new cutblocks). The submodel for generating focuses on selecting locations and creating features of the appropriate size.</w:t>
      </w:r>
    </w:p>
    <w:p>
      <w:pPr>
        <w:pStyle w:val="Compact"/>
        <w:numPr>
          <w:ilvl w:val="0"/>
          <w:numId w:val="99"/>
        </w:numPr>
        <w:rPr/>
      </w:pPr>
      <w:r>
        <w:rPr>
          <w:i/>
          <w:iCs/>
        </w:rPr>
        <w:t>Submodel G: Site Selection and Creation:</w:t>
      </w:r>
      <w:r>
        <w:rPr/>
        <w:t xml:space="preserve"> For each "Generating" class scheduled to occur in the current time step, the model must generate new disturbances to meet the target rate. First, determine if the class should be generated this year. This is often based on a </w:t>
      </w:r>
      <w:r>
        <w:rPr>
          <w:rStyle w:val="VerbatimChar"/>
        </w:rPr>
        <w:t>disturbanceInterval</w:t>
      </w:r>
      <w:r>
        <w:rPr/>
        <w:t xml:space="preserve"> or a schedule - e.g. if forestry has interval 10, it happens in year 2021, 2031, etc. The model uses a helper </w:t>
      </w:r>
      <w:r>
        <w:rPr>
          <w:rStyle w:val="VerbatimChar"/>
        </w:rPr>
        <w:t>whichDisturbancesToGenerate(startTime, currentTime, endTime, disturbanceParameters)</w:t>
      </w:r>
      <w:r>
        <w:rPr/>
        <w:t xml:space="preserve"> to get the indices of classes to run. Essentially, if </w:t>
      </w:r>
      <w:r>
        <w:rPr>
          <w:rStyle w:val="VerbatimChar"/>
        </w:rPr>
        <w:t>(currentTime - startTime)</w:t>
      </w:r>
      <w:r>
        <w:rPr/>
        <w:t xml:space="preserve"> is divisible by the interval for that class, it will generate; if not, skip. Also if </w:t>
      </w:r>
      <w:r>
        <w:rPr>
          <w:rStyle w:val="VerbatimChar"/>
        </w:rPr>
        <w:t>disturbFirstYear=FALSE</w:t>
      </w:r>
      <w:r>
        <w:rPr/>
        <w:t xml:space="preserve"> and currentTime == startTime, it skips as mentioned.</w:t>
      </w:r>
    </w:p>
    <w:p>
      <w:pPr>
        <w:pStyle w:val="FirstParagraph"/>
        <w:rPr/>
      </w:pPr>
      <w:r>
        <w:rPr/>
        <w:t xml:space="preserve">For each class that needs generation now: - </w:t>
      </w:r>
      <w:r>
        <w:rPr>
          <w:b/>
          <w:bCs/>
        </w:rPr>
        <w:t>Determine quantity:</w:t>
      </w:r>
      <w:r>
        <w:rPr/>
        <w:t xml:space="preserve"> Compute how many new features or total area to add. Typically, they convert the disturbanceRate to an area as in enlarging: </w:t>
      </w:r>
      <w:r>
        <w:rPr>
          <w:rStyle w:val="VerbatimChar"/>
        </w:rPr>
        <w:t>target_area = rate * interval * area(studyArea)</w:t>
      </w:r>
      <w:r>
        <w:rPr/>
        <w:t xml:space="preserve"> (if using unbuffered measure). Alternatively, they might compute the number of features by dividing target_area by average feature size. Given that </w:t>
      </w:r>
      <w:r>
        <w:rPr>
          <w:rStyle w:val="VerbatimChar"/>
        </w:rPr>
        <w:t>calculateSize</w:t>
      </w:r>
      <w:r>
        <w:rPr/>
        <w:t xml:space="preserve"> provided an average size and distribution, the model can sample sizes for each new feature. It might do: while total added area &lt; target_area, create a new feature of size = sample from distribution. Or simpler, it might decide a fixed number of features = round(target_area / mean_size). The snippet from Appendix C suggests they calculate “target number of pixels to disturb” for raster-based generation</w:t>
      </w:r>
      <w:hyperlink r:id="rId17">
        <w:r>
          <w:rPr>
            <w:rStyle w:val="Hyperlink"/>
          </w:rPr>
          <w:t>[10]</w:t>
        </w:r>
      </w:hyperlink>
      <w:hyperlink r:id="rId18">
        <w:r>
          <w:rPr>
            <w:rStyle w:val="Hyperlink"/>
          </w:rPr>
          <w:t>[11]</w:t>
        </w:r>
      </w:hyperlink>
      <w:r>
        <w:rPr/>
        <w:t xml:space="preserve">. E.g. if the study area has N total pixels, and we need to disturb X% of them, that’s </w:t>
      </w:r>
      <w:r>
        <w:rPr>
          <w:rStyle w:val="VerbatimChar"/>
        </w:rPr>
        <w:t>N * X</w:t>
      </w:r>
      <w:r>
        <w:rPr/>
        <w:t xml:space="preserve"> pixels to turn from undisturbed to disturbed in the potential raster. - </w:t>
      </w:r>
      <w:r>
        <w:rPr>
          <w:b/>
          <w:bCs/>
        </w:rPr>
        <w:t>Choose locations:</w:t>
      </w:r>
      <w:r>
        <w:rPr/>
        <w:t xml:space="preserve"> This is the core of site selection. They have two modes: - </w:t>
      </w:r>
      <w:r>
        <w:rPr>
          <w:i/>
          <w:iCs/>
        </w:rPr>
        <w:t>Exhaustive (deterministic):</w:t>
      </w:r>
      <w:r>
        <w:rPr/>
        <w:t xml:space="preserve"> pick the highest-valued cells in the potential raster until the required number is reached. This simulates developers always taking the best sites first (like a greedy filling of development). - </w:t>
      </w:r>
      <w:r>
        <w:rPr>
          <w:i/>
          <w:iCs/>
        </w:rPr>
        <w:t>Distributing (stochastic):</w:t>
      </w:r>
      <w:r>
        <w:rPr/>
        <w:t xml:space="preserve"> each potential cell’s chance of being picked is proportional to its value, so the selection is randomized but biased to high potential</w:t>
      </w:r>
      <w:hyperlink r:id="rId19">
        <w:r>
          <w:rPr>
            <w:rStyle w:val="Hyperlink"/>
          </w:rPr>
          <w:t>[4]</w:t>
        </w:r>
      </w:hyperlink>
      <w:hyperlink r:id="rId20">
        <w:r>
          <w:rPr>
            <w:rStyle w:val="Hyperlink"/>
          </w:rPr>
          <w:t>[12]</w:t>
        </w:r>
      </w:hyperlink>
      <w:r>
        <w:rPr/>
        <w:t xml:space="preserve">. The parameter </w:t>
      </w:r>
      <w:r>
        <w:rPr>
          <w:rStyle w:val="VerbatimChar"/>
        </w:rPr>
        <w:t>siteSelectionAsDistributing</w:t>
      </w:r>
      <w:r>
        <w:rPr/>
        <w:t xml:space="preserve"> controls this. If it is set to a particular disturbance origin, then for that origin they use distributing; otherwise, exhaustive by default. Implementation-wise, with a raster of potential values: exhaustive mode would sort pixels by value and take top K. Distributing mode would treat the values as weights and sample K pixels without replacement according to those probabilities. In both cases, the model must ensure no pixel that is already disturbed is selected. So it will use the </w:t>
      </w:r>
      <w:r>
        <w:rPr>
          <w:rStyle w:val="VerbatimChar"/>
        </w:rPr>
        <w:t>sim$currentDisturbanceLayer</w:t>
      </w:r>
      <w:r>
        <w:rPr/>
        <w:t xml:space="preserve"> (or union of all current disturbance shapes) as a mask to exclude those cells. In code, they had </w:t>
      </w:r>
      <w:r>
        <w:rPr>
          <w:rStyle w:val="VerbatimChar"/>
        </w:rPr>
        <w:t>currDis &lt;- tail(sim$currentDisturbanceLayer,1)</w:t>
      </w:r>
      <w:r>
        <w:rPr/>
        <w:t xml:space="preserve"> and passed it into generation functions, presumably to avoid overlap. Also, for linear features, they might exclude cells near existing lines? (Not sure, but possible.) Additional constraints: If a </w:t>
      </w:r>
      <w:r>
        <w:rPr>
          <w:b/>
          <w:bCs/>
        </w:rPr>
        <w:t>featuresToAvoid</w:t>
      </w:r>
      <w:r>
        <w:rPr/>
        <w:t xml:space="preserve"> raster is provided (e.g. lakes), those cells should not be chosen - likely implemented as giving them zero potential or masking them out beforehand (in the test, they ensure no line crosses NA areas). For </w:t>
      </w:r>
      <w:r>
        <w:rPr>
          <w:b/>
          <w:bCs/>
        </w:rPr>
        <w:t>forestry</w:t>
      </w:r>
      <w:r>
        <w:rPr/>
        <w:t>, if a burn raster is available (</w:t>
      </w:r>
      <w:r>
        <w:rPr>
          <w:rStyle w:val="VerbatimChar"/>
        </w:rPr>
        <w:t>rstCurrentBurn</w:t>
      </w:r>
      <w:r>
        <w:rPr/>
        <w:t xml:space="preserve"> for that year), the model will avoid picking cutblocks inside recently burned areas (the code checks and loads a burn map if available). - </w:t>
      </w:r>
      <w:r>
        <w:rPr>
          <w:b/>
          <w:bCs/>
        </w:rPr>
        <w:t>Create features:</w:t>
      </w:r>
      <w:r>
        <w:rPr/>
        <w:t xml:space="preserve"> Once locations (pixels) are chosen, the model creates actual spatial features. If working in raster mode (</w:t>
      </w:r>
      <w:r>
        <w:rPr>
          <w:rStyle w:val="VerbatimChar"/>
        </w:rPr>
        <w:t>generatedDisturbanceAsRaster = TRUE</w:t>
      </w:r>
      <w:r>
        <w:rPr/>
        <w:t xml:space="preserve">), it might simply mark those pixels as 1 in a new raster for that class. If working in vector mode (the default, </w:t>
      </w:r>
      <w:r>
        <w:rPr>
          <w:rStyle w:val="VerbatimChar"/>
        </w:rPr>
        <w:t>FALSE</w:t>
      </w:r>
      <w:r>
        <w:rPr/>
        <w:t xml:space="preserve">), it will create geometry: - For point-based disturbances (mines, wells, wind turbines), each chosen cell likely becomes a point feature (perhaps at cell center or a random point within cell). - For polygonal disturbances (cutblocks), one approach is to group neighboring chosen cells into clusters to form polygon shapes. But since the algorithm is not clearly detailed, it might simply treat each cell as a "patch" of size one pixel - which is unrealistic as a cutblock is larger than 30m. More plausibly, if mean size of cutblock is e.g. 100 ha, the algorithm might pick a seed cell, then automatically include adjacent cells until area ~ sample size is reached. The text didn't explicitly detail this, but since we have </w:t>
      </w:r>
      <w:r>
        <w:rPr>
          <w:rStyle w:val="VerbatimChar"/>
        </w:rPr>
        <w:t>disturbanceSize</w:t>
      </w:r>
      <w:r>
        <w:rPr/>
        <w:t xml:space="preserve"> distribution, likely they use it: e.g., for a new cutblock, pick a random size (in hectares), then implement by selecting that many adjacent high-potential cells around the chosen location. They might use some cluster-growing algorithm. Absent explicit code, we assume the model either directly uses raster mode to mark multiple cells or uses a function to draw shapes of roughly the desired area. The cluster approach for seismic lines is separate (discussed below). - The module </w:t>
      </w:r>
      <w:r>
        <w:rPr>
          <w:rStyle w:val="VerbatimChar"/>
        </w:rPr>
        <w:t>generateDisturbancesShp</w:t>
      </w:r>
      <w:r>
        <w:rPr/>
        <w:t xml:space="preserve"> likely handles these differences by checking </w:t>
      </w:r>
      <w:r>
        <w:rPr>
          <w:rStyle w:val="VerbatimChar"/>
        </w:rPr>
        <w:t>disturbanceOrigin</w:t>
      </w:r>
      <w:r>
        <w:rPr/>
        <w:t xml:space="preserve"> (point, polygon, line). For points/polygons (which appear on cells), it can use an internal raster (the potential) and treat it as a probability surface or ranking for points. - For </w:t>
      </w:r>
      <w:r>
        <w:rPr>
          <w:b/>
          <w:bCs/>
        </w:rPr>
        <w:t>wind turbines or oil wells</w:t>
      </w:r>
      <w:r>
        <w:rPr/>
        <w:t xml:space="preserve"> (point origin), each point might just occupy one pixel, but the </w:t>
      </w:r>
      <w:r>
        <w:rPr>
          <w:rStyle w:val="VerbatimChar"/>
        </w:rPr>
        <w:t>disturbanceSize</w:t>
      </w:r>
      <w:r>
        <w:rPr/>
        <w:t xml:space="preserve"> might represent an area footprint (which might be small anyway, like 1 pixel). In such cases, the new "point" could be added as a small polygon (like a 90m x 90m square = 0.81 ha if multiple pixel, or just left as point for simplicity).</w:t>
      </w:r>
    </w:p>
    <w:p>
      <w:pPr>
        <w:pStyle w:val="Compact"/>
        <w:numPr>
          <w:ilvl w:val="0"/>
          <w:numId w:val="100"/>
        </w:numPr>
        <w:rPr/>
      </w:pPr>
      <w:r>
        <w:rPr>
          <w:b/>
          <w:bCs/>
        </w:rPr>
        <w:t>Clustered linear disturbances (seismic lines):</w:t>
      </w:r>
      <w:r>
        <w:rPr/>
        <w:t xml:space="preserve"> Seismic lines are interesting because generating them is not about picking cells but drawing line strings. The model, however, categorized new seismic lines under "Enlarging" if I recall (they said potentialSeismicLines is type "Enlarging" or "Generating"? Actually, they listed seismic lines under Enlarging in the description: "Enlarging (potentialSettlements and potentialSeismicLines) where potential one is exactly same as current layer, only buffer with time". That implies seismic lines may be treated as gradually expanding (widening?) rather than new ones. But that seems off, as new seismic lines do get cut. Possibly they considered the current seismic lines plus potential new ones as one process of enlarging (which might not be conceptually perfect). However, the presence of potentialSeismicLines suggests they might generate seismic lines similarly to oil wells: either by distributing line segments in oil potential areas or by linking them to oil gas. Given the complexity, they actually decided to reuse </w:t>
      </w:r>
      <w:r>
        <w:rPr>
          <w:rStyle w:val="VerbatimChar"/>
        </w:rPr>
        <w:t>potentialOilGas</w:t>
      </w:r>
      <w:r>
        <w:rPr/>
        <w:t xml:space="preserve"> for seismic and not create a separate generation event for seismic lines (just copy potential). This suggests they might not explicitly generate seismic line networks separate from oil/gas wells; they might assume new seismic lines occur around new oil wells (which could be a simplification: often seismic comes </w:t>
      </w:r>
      <w:r>
        <w:rPr>
          <w:i/>
          <w:iCs/>
        </w:rPr>
        <w:t>before</w:t>
      </w:r>
      <w:r>
        <w:rPr/>
        <w:t xml:space="preserve"> wells). In any case, if they did generate new seismic lines, they could use a clustering approach: the code for clustering existing lines (</w:t>
      </w:r>
      <w:r>
        <w:rPr>
          <w:rStyle w:val="VerbatimChar"/>
        </w:rPr>
        <w:t>clusterLines</w:t>
      </w:r>
      <w:r>
        <w:rPr/>
        <w:t xml:space="preserve"> function) extracts stats (angles, spacing). Possibly, to generate new seismic lines, they might: pick an area (like a polygon cell cluster from oil potential), decide on a cluster type (randomly from distribution of cluster stats), and draw a grid of lines in that polygon, with number, orientation, spacing according to that cluster type. That would create a realistic seismic line pattern. The details of </w:t>
      </w:r>
      <w:r>
        <w:rPr>
          <w:rStyle w:val="VerbatimChar"/>
        </w:rPr>
        <w:t>generateDisturbancesShp</w:t>
      </w:r>
      <w:r>
        <w:rPr/>
        <w:t xml:space="preserve"> likely include something like:</w:t>
      </w:r>
    </w:p>
    <w:p>
      <w:pPr>
        <w:pStyle w:val="SourceCode"/>
        <w:numPr>
          <w:ilvl w:val="0"/>
          <w:numId w:val="1"/>
        </w:numPr>
        <w:rPr/>
      </w:pPr>
      <w:r>
        <w:rPr>
          <w:rStyle w:val="VerbatimChar"/>
        </w:rPr>
        <w:t>if disturbanceOrigin == "lines" and type == "Generating":</w:t>
      </w:r>
      <w:r>
        <w:rPr/>
        <w:br/>
      </w:r>
      <w:r>
        <w:rPr>
          <w:rStyle w:val="VerbatimChar"/>
        </w:rPr>
        <w:t xml:space="preserve">   clusterStats &lt;- ... # from clusterLines on existing lines</w:t>
      </w:r>
      <w:r>
        <w:rPr/>
        <w:br/>
      </w:r>
      <w:r>
        <w:rPr>
          <w:rStyle w:val="VerbatimChar"/>
        </w:rPr>
        <w:t xml:space="preserve">   # pick a cluster type (e.g. average lines 5, spacing 200m etc.)</w:t>
      </w:r>
      <w:r>
        <w:rPr/>
        <w:br/>
      </w:r>
      <w:r>
        <w:rPr>
          <w:rStyle w:val="VerbatimChar"/>
        </w:rPr>
        <w:t xml:space="preserve">   # choose a location (maybe around new oil pad or random polygon)</w:t>
      </w:r>
      <w:r>
        <w:rPr/>
        <w:br/>
      </w:r>
      <w:r>
        <w:rPr>
          <w:rStyle w:val="VerbatimChar"/>
        </w:rPr>
        <w:t xml:space="preserve">   # generate line geometry accordingly (perhaps aligned N-S/E-W or similar)</w:t>
      </w:r>
    </w:p>
    <w:p>
      <w:pPr>
        <w:pStyle w:val="Compact"/>
        <w:numPr>
          <w:ilvl w:val="0"/>
          <w:numId w:val="1"/>
        </w:numPr>
        <w:rPr/>
      </w:pPr>
      <w:r>
        <w:rPr/>
        <w:t>But lacking direct code, we'll just note that the model can generate linear networks using either shortest paths (for connecting) or grid patterns (for seismic).</w:t>
      </w:r>
    </w:p>
    <w:p>
      <w:pPr>
        <w:pStyle w:val="FirstParagraph"/>
        <w:rPr/>
      </w:pPr>
      <w:r>
        <w:rPr/>
        <w:t xml:space="preserve">After selecting locations and determining feature extents, the new disturbances are recorded. In raster mode, a new raster of the same resolution is created for each generating type with 1’s where new disturbance occurred. In vector mode, new spatial objects are created (points/lines/polys). The function </w:t>
      </w:r>
      <w:r>
        <w:rPr>
          <w:rStyle w:val="VerbatimChar"/>
        </w:rPr>
        <w:t>generateDisturbancesShp</w:t>
      </w:r>
      <w:r>
        <w:rPr/>
        <w:t xml:space="preserve"> likely returns a list of new layers, perhaps structured by type ("Generated"). In the code, </w:t>
      </w:r>
      <w:r>
        <w:rPr>
          <w:rStyle w:val="VerbatimChar"/>
        </w:rPr>
        <w:t>mod$updatedLayers &lt;- generateDisturbancesShp(...)</w:t>
      </w:r>
      <w:r>
        <w:rPr/>
        <w:t xml:space="preserve"> is called and then </w:t>
      </w:r>
      <w:r>
        <w:rPr>
          <w:rStyle w:val="VerbatimChar"/>
        </w:rPr>
        <w:t>replaceListFast</w:t>
      </w:r>
      <w:r>
        <w:rPr/>
        <w:t xml:space="preserve"> uses </w:t>
      </w:r>
      <w:r>
        <w:rPr>
          <w:rStyle w:val="VerbatimChar"/>
        </w:rPr>
        <w:t>updatedLayers</w:t>
      </w:r>
      <w:r>
        <w:rPr/>
        <w:t xml:space="preserve"> to update the main list.</w:t>
      </w:r>
    </w:p>
    <w:p>
      <w:pPr>
        <w:pStyle w:val="BodyText"/>
        <w:rPr/>
      </w:pPr>
      <w:r>
        <w:rPr/>
        <w:t xml:space="preserve">Also, if </w:t>
      </w:r>
      <w:r>
        <w:rPr>
          <w:rStyle w:val="VerbatimChar"/>
        </w:rPr>
        <w:t>saveInitialDisturbances</w:t>
      </w:r>
      <w:r>
        <w:rPr/>
        <w:t xml:space="preserve"> was TRUE and this is the first time step, the model would have saved the initial state and possibly created a buffered 500m raster of initial disturbances for record. That is not part of generation but an observation step.</w:t>
      </w:r>
    </w:p>
    <w:p>
      <w:pPr>
        <w:pStyle w:val="BodyText"/>
        <w:rPr/>
      </w:pPr>
      <w:r>
        <w:rPr>
          <w:b/>
          <w:bCs/>
        </w:rPr>
        <w:t>Connecting Disturbances:</w:t>
      </w:r>
      <w:r>
        <w:rPr/>
        <w:t xml:space="preserve"> For disturbance types designated as "Connecting" (e.g. roads, transmission lines, pipelines), the model creates features that link new generated features to the existing network. These typically require pathfinding.</w:t>
      </w:r>
    </w:p>
    <w:p>
      <w:pPr>
        <w:pStyle w:val="Compact"/>
        <w:numPr>
          <w:ilvl w:val="0"/>
          <w:numId w:val="101"/>
        </w:numPr>
        <w:rPr/>
      </w:pPr>
      <w:r>
        <w:rPr>
          <w:i/>
          <w:iCs/>
        </w:rPr>
        <w:t>Submodel H: Connectivity Algorithm:</w:t>
      </w:r>
      <w:r>
        <w:rPr/>
        <w:t xml:space="preserve"> After generating new point features (like mines or wells), for each connecting-type class, determine what needs to be connected. For example, if we generated a new mine 5 km from the nearest road, we need to create a road segment from that mine to connect to the road network. The model likely compiles a list of all new point disturbances that require connection (like all new mines and new settlements might need road connections; new wind farms might need transmission line connections, etc.). For each such point (or cluster of points), it finds the nearest existing feature of the same network (for roads, the existing road network; for transmission, existing grid). Then it computes the </w:t>
      </w:r>
      <w:r>
        <w:rPr>
          <w:b/>
          <w:bCs/>
        </w:rPr>
        <w:t>shortest path</w:t>
      </w:r>
      <w:r>
        <w:rPr/>
        <w:t xml:space="preserve"> or </w:t>
      </w:r>
      <w:r>
        <w:rPr>
          <w:b/>
          <w:bCs/>
        </w:rPr>
        <w:t>least-cost path</w:t>
      </w:r>
      <w:r>
        <w:rPr/>
        <w:t xml:space="preserve"> between them. If </w:t>
      </w:r>
      <w:r>
        <w:rPr>
          <w:rStyle w:val="VerbatimChar"/>
        </w:rPr>
        <w:t>featuresToAvoid</w:t>
      </w:r>
      <w:r>
        <w:rPr/>
        <w:t xml:space="preserve"> (water, mountains) is provided, this path calculation uses a cost surface where those features have infinite cost or high cost, so the path will detour around them. If </w:t>
      </w:r>
      <w:r>
        <w:rPr>
          <w:rStyle w:val="VerbatimChar"/>
        </w:rPr>
        <w:t>useRoadsPackage = TRUE</w:t>
      </w:r>
      <w:r>
        <w:rPr/>
        <w:t xml:space="preserve"> and a DEM is given, a more sophisticated cost (accounting for slope steepness) could be used, but by default they might use Euclidean distance or simple Manhattan distance on raster. The code evidence: the test in [26] uses </w:t>
      </w:r>
      <w:r>
        <w:rPr>
          <w:rStyle w:val="VerbatimChar"/>
        </w:rPr>
        <w:t>generateDisturbancesShp</w:t>
      </w:r>
      <w:r>
        <w:rPr/>
        <w:t xml:space="preserve"> with featuresToAvoid and then checks that the output line avoids the NA (obstacle) region. Also, parameter </w:t>
      </w:r>
      <w:r>
        <w:rPr>
          <w:rStyle w:val="VerbatimChar"/>
        </w:rPr>
        <w:t>connectingBlockSize</w:t>
      </w:r>
      <w:r>
        <w:rPr/>
        <w:t xml:space="preserve"> appears - possibly if connecting distance is very large, they break it into segments or consider intermediate nodes (or it might refer to how coarse a raster to use for pathfinding to speed it up).</w:t>
      </w:r>
    </w:p>
    <w:p>
      <w:pPr>
        <w:pStyle w:val="FirstParagraph"/>
        <w:rPr/>
      </w:pPr>
      <w:r>
        <w:rPr/>
        <w:t>The result for each connection is a polyline. They then merge these with the existing network. For roads, the new segment is added, effectively extending the road network to reach the new site. For power lines, similarly.</w:t>
      </w:r>
    </w:p>
    <w:p>
      <w:pPr>
        <w:pStyle w:val="BodyText"/>
        <w:rPr/>
      </w:pPr>
      <w:r>
        <w:rPr/>
        <w:t>If multiple new points are close together, an optimized approach might connect them with a single new road (like build one road branch to serve a cluster of mines). It's not explicit if the model does that optimization or simply connects each point individually. Given complexity, it might connect each individually for simplicity, possibly resulting in parallel roads if points are close (which might be a model limitation). But the user could cluster points first to mitigate that.</w:t>
      </w:r>
    </w:p>
    <w:p>
      <w:pPr>
        <w:pStyle w:val="Compact"/>
        <w:numPr>
          <w:ilvl w:val="0"/>
          <w:numId w:val="102"/>
        </w:numPr>
        <w:rPr/>
      </w:pPr>
      <w:r>
        <w:rPr>
          <w:i/>
          <w:iCs/>
        </w:rPr>
        <w:t>Output:</w:t>
      </w:r>
      <w:r>
        <w:rPr/>
        <w:t xml:space="preserve"> The connecting submodel produces new linear features. These new lines are included in the </w:t>
      </w:r>
      <w:r>
        <w:rPr>
          <w:rStyle w:val="VerbatimChar"/>
        </w:rPr>
        <w:t>updatedLayers</w:t>
      </w:r>
      <w:r>
        <w:rPr/>
        <w:t xml:space="preserve"> set. For example, </w:t>
      </w:r>
      <w:r>
        <w:rPr>
          <w:rStyle w:val="VerbatimChar"/>
        </w:rPr>
        <w:t>updatedLayers$Connected$roads</w:t>
      </w:r>
      <w:r>
        <w:rPr/>
        <w:t xml:space="preserve"> might contain the new road segments. If working in raster mode, these would also be rasterized onto the road raster.</w:t>
      </w:r>
      <w:bookmarkEnd w:id="24"/>
    </w:p>
    <w:p>
      <w:pPr>
        <w:pStyle w:val="Heading3"/>
        <w:rPr/>
      </w:pPr>
      <w:bookmarkStart w:id="25" w:name="__RefHeading___Toc2101_3305361968"/>
      <w:bookmarkStart w:id="26" w:name="state-update-and-outputs"/>
      <w:bookmarkEnd w:id="25"/>
      <w:r>
        <w:rPr/>
        <w:t>7.5 State Update and Outputs</w:t>
      </w:r>
    </w:p>
    <w:p>
      <w:pPr>
        <w:pStyle w:val="FirstParagraph"/>
        <w:rPr/>
      </w:pPr>
      <w:r>
        <w:rPr/>
        <w:t>After generation, the model compiles the results:</w:t>
      </w:r>
    </w:p>
    <w:p>
      <w:pPr>
        <w:pStyle w:val="Compact"/>
        <w:numPr>
          <w:ilvl w:val="0"/>
          <w:numId w:val="103"/>
        </w:numPr>
        <w:rPr/>
      </w:pPr>
      <w:r>
        <w:rPr/>
        <w:t xml:space="preserve">The </w:t>
      </w:r>
      <w:r>
        <w:rPr>
          <w:rStyle w:val="VerbatimChar"/>
        </w:rPr>
        <w:t>generateDisturbances</w:t>
      </w:r>
      <w:r>
        <w:rPr/>
        <w:t xml:space="preserve"> function returns an object (or list) </w:t>
      </w:r>
      <w:r>
        <w:rPr>
          <w:rStyle w:val="VerbatimChar"/>
        </w:rPr>
        <w:t>updatedLayers</w:t>
      </w:r>
      <w:r>
        <w:rPr/>
        <w:t xml:space="preserve"> which typically has components like:</w:t>
      </w:r>
    </w:p>
    <w:p>
      <w:pPr>
        <w:pStyle w:val="Compact"/>
        <w:numPr>
          <w:ilvl w:val="0"/>
          <w:numId w:val="104"/>
        </w:numPr>
        <w:rPr/>
      </w:pPr>
      <w:r>
        <w:rPr>
          <w:rStyle w:val="VerbatimChar"/>
        </w:rPr>
        <w:t>currentDisturbanceLayer</w:t>
      </w:r>
      <w:r>
        <w:rPr/>
        <w:t>: a raster of all disturbances (maybe updated).</w:t>
      </w:r>
    </w:p>
    <w:p>
      <w:pPr>
        <w:pStyle w:val="Compact"/>
        <w:numPr>
          <w:ilvl w:val="0"/>
          <w:numId w:val="105"/>
        </w:numPr>
        <w:rPr/>
      </w:pPr>
      <w:r>
        <w:rPr/>
        <w:t xml:space="preserve">Possibly separate lists of </w:t>
      </w:r>
      <w:r>
        <w:rPr>
          <w:rStyle w:val="VerbatimChar"/>
        </w:rPr>
        <w:t>Enlarged</w:t>
      </w:r>
      <w:r>
        <w:rPr/>
        <w:t xml:space="preserve">, </w:t>
      </w:r>
      <w:r>
        <w:rPr>
          <w:rStyle w:val="VerbatimChar"/>
        </w:rPr>
        <w:t>Generated</w:t>
      </w:r>
      <w:r>
        <w:rPr/>
        <w:t xml:space="preserve">, </w:t>
      </w:r>
      <w:r>
        <w:rPr>
          <w:rStyle w:val="VerbatimChar"/>
        </w:rPr>
        <w:t>Connected</w:t>
      </w:r>
      <w:r>
        <w:rPr/>
        <w:t xml:space="preserve"> as mentioned in Appendix C</w:t>
      </w:r>
      <w:hyperlink r:id="rId21">
        <w:r>
          <w:rPr>
            <w:rStyle w:val="Hyperlink"/>
          </w:rPr>
          <w:t>[13]</w:t>
        </w:r>
      </w:hyperlink>
      <w:hyperlink r:id="rId22">
        <w:r>
          <w:rPr>
            <w:rStyle w:val="Hyperlink"/>
          </w:rPr>
          <w:t>[14]</w:t>
        </w:r>
      </w:hyperlink>
      <w:r>
        <w:rPr/>
        <w:t>. Actually [30] shows an outline:</w:t>
      </w:r>
    </w:p>
    <w:p>
      <w:pPr>
        <w:pStyle w:val="Compact"/>
        <w:numPr>
          <w:ilvl w:val="0"/>
          <w:numId w:val="106"/>
        </w:numPr>
        <w:rPr/>
      </w:pPr>
      <w:r>
        <w:rPr/>
        <w:t>Enlarging: returns enlarged layer.</w:t>
      </w:r>
    </w:p>
    <w:p>
      <w:pPr>
        <w:pStyle w:val="Compact"/>
        <w:numPr>
          <w:ilvl w:val="0"/>
          <w:numId w:val="107"/>
        </w:numPr>
        <w:rPr/>
      </w:pPr>
      <w:r>
        <w:rPr/>
        <w:t>Generating: returns a raster layer of newly generated disturbances.</w:t>
      </w:r>
    </w:p>
    <w:p>
      <w:pPr>
        <w:pStyle w:val="Compact"/>
        <w:numPr>
          <w:ilvl w:val="0"/>
          <w:numId w:val="108"/>
        </w:numPr>
        <w:rPr/>
      </w:pPr>
      <w:r>
        <w:rPr/>
        <w:t>Connecting: returns connected disturbance layers.</w:t>
      </w:r>
    </w:p>
    <w:p>
      <w:pPr>
        <w:pStyle w:val="Normal"/>
        <w:numPr>
          <w:ilvl w:val="0"/>
          <w:numId w:val="109"/>
        </w:numPr>
        <w:rPr/>
      </w:pPr>
      <w:r>
        <w:rPr/>
        <w:t>Then "Output Organization: organizes into a list (Enlarged, Generated, Connected) and returns this list"</w:t>
      </w:r>
      <w:hyperlink r:id="rId23">
        <w:r>
          <w:rPr>
            <w:rStyle w:val="Hyperlink"/>
          </w:rPr>
          <w:t>[15]</w:t>
        </w:r>
      </w:hyperlink>
      <w:r>
        <w:rPr/>
        <w:t>.</w:t>
      </w:r>
    </w:p>
    <w:p>
      <w:pPr>
        <w:pStyle w:val="Normal"/>
        <w:numPr>
          <w:ilvl w:val="0"/>
          <w:numId w:val="110"/>
        </w:numPr>
        <w:rPr/>
      </w:pPr>
      <w:r>
        <w:rPr>
          <w:b/>
          <w:bCs/>
        </w:rPr>
        <w:t>Submodel I: Replace List Fast (</w:t>
      </w:r>
      <w:r>
        <w:rPr>
          <w:rStyle w:val="VerbatimChar"/>
          <w:b/>
          <w:bCs/>
        </w:rPr>
        <w:t>replaceListFast</w:t>
      </w:r>
      <w:r>
        <w:rPr>
          <w:b/>
          <w:bCs/>
        </w:rPr>
        <w:t>):</w:t>
      </w:r>
      <w:r>
        <w:rPr/>
        <w:t xml:space="preserve"> This function takes the </w:t>
      </w:r>
      <w:r>
        <w:rPr>
          <w:rStyle w:val="VerbatimChar"/>
        </w:rPr>
        <w:t>disturbanceList</w:t>
      </w:r>
      <w:r>
        <w:rPr/>
        <w:t xml:space="preserve"> and integrates the new disturbances. It likely does:</w:t>
      </w:r>
    </w:p>
    <w:p>
      <w:pPr>
        <w:pStyle w:val="Compact"/>
        <w:numPr>
          <w:ilvl w:val="0"/>
          <w:numId w:val="111"/>
        </w:numPr>
        <w:rPr/>
      </w:pPr>
      <w:r>
        <w:rPr/>
        <w:t>For each enlarged type, replace the old spatial object with the new enlarged one.</w:t>
      </w:r>
    </w:p>
    <w:p>
      <w:pPr>
        <w:pStyle w:val="Compact"/>
        <w:numPr>
          <w:ilvl w:val="0"/>
          <w:numId w:val="112"/>
        </w:numPr>
        <w:rPr/>
      </w:pPr>
      <w:r>
        <w:rPr/>
        <w:t xml:space="preserve">For each generated type, add the new features to the existing features of that class. For instance, if </w:t>
      </w:r>
      <w:r>
        <w:rPr>
          <w:rStyle w:val="VerbatimChar"/>
        </w:rPr>
        <w:t>disturbanceList$Mining$mines</w:t>
      </w:r>
      <w:r>
        <w:rPr/>
        <w:t xml:space="preserve"> had existing mines, and we generated 3 new mines as points, it will add those points to that spatial object or maintain them separately? Possibly append to the vector (so that now </w:t>
      </w:r>
      <w:r>
        <w:rPr>
          <w:rStyle w:val="VerbatimChar"/>
        </w:rPr>
        <w:t>mines</w:t>
      </w:r>
      <w:r>
        <w:rPr/>
        <w:t xml:space="preserve"> includes the old and new points). Alternatively, it could keep them separate in a list of "year" layers, but since disturbanceList is supposed to always reflect the latest cumulative state, the likely approach is to </w:t>
      </w:r>
      <w:r>
        <w:rPr>
          <w:b/>
          <w:bCs/>
        </w:rPr>
        <w:t>merge the new features with the old ones</w:t>
      </w:r>
      <w:hyperlink r:id="rId24">
        <w:r>
          <w:rPr>
            <w:rStyle w:val="Hyperlink"/>
          </w:rPr>
          <w:t>[16]</w:t>
        </w:r>
      </w:hyperlink>
      <w:r>
        <w:rPr/>
        <w:t>. The description confirms: updatingDisturbanceList “integrates new roads and power lines, adds generated disturbances, and replaces enlarged disturbances with their buffered versions”</w:t>
      </w:r>
      <w:hyperlink r:id="rId25">
        <w:r>
          <w:rPr>
            <w:rStyle w:val="Hyperlink"/>
          </w:rPr>
          <w:t>[17]</w:t>
        </w:r>
      </w:hyperlink>
      <w:hyperlink r:id="rId26">
        <w:r>
          <w:rPr>
            <w:rStyle w:val="Hyperlink"/>
          </w:rPr>
          <w:t>[18]</w:t>
        </w:r>
      </w:hyperlink>
      <w:r>
        <w:rPr/>
        <w:t>. So, for generating: union the new polygon with old ones, or append new point features to existing ones.</w:t>
      </w:r>
    </w:p>
    <w:p>
      <w:pPr>
        <w:pStyle w:val="Compact"/>
        <w:numPr>
          <w:ilvl w:val="0"/>
          <w:numId w:val="113"/>
        </w:numPr>
        <w:rPr/>
      </w:pPr>
      <w:r>
        <w:rPr/>
        <w:t xml:space="preserve">For connecting type, merge the new line segments with the existing network layer. For example, </w:t>
      </w:r>
      <w:r>
        <w:rPr>
          <w:rStyle w:val="VerbatimChar"/>
        </w:rPr>
        <w:t>disturbanceList$Transportation$roads</w:t>
      </w:r>
      <w:r>
        <w:rPr/>
        <w:t xml:space="preserve"> gets updated to include the newly drawn road segments (likely by merging the geometries).</w:t>
      </w:r>
    </w:p>
    <w:p>
      <w:pPr>
        <w:pStyle w:val="Compact"/>
        <w:numPr>
          <w:ilvl w:val="0"/>
          <w:numId w:val="114"/>
        </w:numPr>
        <w:rPr/>
      </w:pPr>
      <w:r>
        <w:rPr/>
        <w:t xml:space="preserve">Ensure no duplication: if a connected line overlaps an existing line at the junction, they might need to snap or merge those (maybe handled by </w:t>
      </w:r>
      <w:r>
        <w:rPr>
          <w:rStyle w:val="VerbatimChar"/>
        </w:rPr>
        <w:t>terra::union</w:t>
      </w:r>
      <w:r>
        <w:rPr/>
        <w:t xml:space="preserve"> or similar).</w:t>
      </w:r>
    </w:p>
    <w:p>
      <w:pPr>
        <w:pStyle w:val="Compact"/>
        <w:numPr>
          <w:ilvl w:val="0"/>
          <w:numId w:val="115"/>
        </w:numPr>
        <w:rPr/>
      </w:pPr>
      <w:r>
        <w:rPr/>
        <w:t xml:space="preserve">Update </w:t>
      </w:r>
      <w:r>
        <w:rPr>
          <w:rStyle w:val="VerbatimChar"/>
        </w:rPr>
        <w:t>sim$disturbanceList</w:t>
      </w:r>
      <w:r>
        <w:rPr/>
        <w:t xml:space="preserve"> in place.</w:t>
      </w:r>
    </w:p>
    <w:p>
      <w:pPr>
        <w:pStyle w:val="FirstParagraph"/>
        <w:rPr/>
      </w:pPr>
      <w:r>
        <w:rPr/>
        <w:t xml:space="preserve">After this, </w:t>
      </w:r>
      <w:r>
        <w:rPr>
          <w:rStyle w:val="VerbatimChar"/>
        </w:rPr>
        <w:t>sim$disturbanceList</w:t>
      </w:r>
      <w:r>
        <w:rPr/>
        <w:t xml:space="preserve"> represents the state </w:t>
      </w:r>
      <w:r>
        <w:rPr>
          <w:i/>
          <w:iCs/>
        </w:rPr>
        <w:t>after</w:t>
      </w:r>
      <w:r>
        <w:rPr/>
        <w:t xml:space="preserve"> the current time step’s disturbances have been added.</w:t>
      </w:r>
    </w:p>
    <w:p>
      <w:pPr>
        <w:pStyle w:val="BodyText"/>
        <w:rPr/>
      </w:pPr>
      <w:r>
        <w:rPr/>
        <w:t xml:space="preserve">If </w:t>
      </w:r>
      <w:r>
        <w:rPr>
          <w:rStyle w:val="VerbatimChar"/>
        </w:rPr>
        <w:t>saveCurrentDisturbances = TRUE</w:t>
      </w:r>
      <w:r>
        <w:rPr/>
        <w:t xml:space="preserve">, the model now saves out the updated disturbance layers to files. Typically, it might save a raster for each class or one combined raster. The code suggests it calls </w:t>
      </w:r>
      <w:r>
        <w:rPr>
          <w:rStyle w:val="VerbatimChar"/>
        </w:rPr>
        <w:t>saveDisturbances(disturbanceList, currentTime)</w:t>
      </w:r>
      <w:r>
        <w:rPr/>
        <w:t xml:space="preserve"> to write out layers with names indicating the year.</w:t>
      </w:r>
    </w:p>
    <w:p>
      <w:pPr>
        <w:pStyle w:val="BodyText"/>
        <w:rPr/>
      </w:pPr>
      <w:r>
        <w:rPr/>
        <w:t xml:space="preserve">Finally, the </w:t>
      </w:r>
      <w:r>
        <w:rPr>
          <w:rStyle w:val="VerbatimChar"/>
        </w:rPr>
        <w:t>currentDisturbanceLayer</w:t>
      </w:r>
      <w:r>
        <w:rPr/>
        <w:t xml:space="preserve"> (the raster of all disturbances) is updated for this time. The model likely creates a combined raster (perhaps by rasterizing all disturbance vectors or by simply marking any cell that’s in any disturbance class). This is stored as </w:t>
      </w:r>
      <w:r>
        <w:rPr>
          <w:rStyle w:val="VerbatimChar"/>
        </w:rPr>
        <w:t>sim$currentDisturbanceLayer[[paste0("Year", time)]]</w:t>
      </w:r>
      <w:r>
        <w:rPr/>
        <w:t>. This is useful for the next iteration to mask out already disturbed areas, as well as for output analysis.</w:t>
      </w:r>
    </w:p>
    <w:p>
      <w:pPr>
        <w:pStyle w:val="BodyText"/>
        <w:rPr/>
      </w:pPr>
      <w:r>
        <w:rPr/>
        <w:t>The event then schedules itself for the next time step (already done within generatingDisturbances submodel by scheduling next generate and update events).</w:t>
      </w:r>
    </w:p>
    <w:p>
      <w:pPr>
        <w:pStyle w:val="BodyText"/>
        <w:rPr/>
      </w:pPr>
      <w:r>
        <w:rPr/>
        <w:t xml:space="preserve">In summary, after each cycle, the model’s state (disturbanceList, currentDisturbanceLayer) is incrementally updated to include new disturbances. Over multiple cycles, this accumulates an ever-growing footprint. By the end of the simulation (final year), </w:t>
      </w:r>
      <w:r>
        <w:rPr>
          <w:rStyle w:val="VerbatimChar"/>
        </w:rPr>
        <w:t>disturbanceList</w:t>
      </w:r>
      <w:r>
        <w:rPr/>
        <w:t xml:space="preserve"> contains the complete set of disturbances (initial plus all that were added), and </w:t>
      </w:r>
      <w:r>
        <w:rPr>
          <w:rStyle w:val="VerbatimChar"/>
        </w:rPr>
        <w:t>currentDisturbanceLayer</w:t>
      </w:r>
      <w:r>
        <w:rPr/>
        <w:t xml:space="preserve"> contains snapshots per time. These can be compared to patterns or used to evaluate impacts (e.g. computing the proportion of landscape disturbed, habitat loss, etc., fulfilling the model’s purpose of scenario evaluation).</w:t>
      </w:r>
    </w:p>
    <w:p>
      <w:pPr>
        <w:pStyle w:val="BodyText"/>
        <w:rPr/>
      </w:pPr>
      <w:r>
        <w:rPr/>
        <w:t>Each submodel described above corresponds to clearly defined portions of the source code, ensuring transparency and reproducibility of the model. By following this ODD protocol, we have documented how the combined SpaDES system works step by step, from data input and processing to the iterative generation of disturbances and updating of the simulated landscape. The model’s design balances empirical pattern-fitting with simple process rules, providing a flexible framework for exploring future land-use disturbance scenarios in a spatially explicit manner.</w:t>
      </w:r>
    </w:p>
    <w:p>
      <w:pPr>
        <w:pStyle w:val="BodyText"/>
        <w:rPr/>
      </w:pPr>
      <w:r>
        <w:rPr>
          <w:b/>
          <w:bCs/>
        </w:rPr>
        <w:t>References:</w:t>
      </w:r>
      <w:r>
        <w:rPr/>
        <w:t xml:space="preserve"> Grimm et al. (2020) ODD Protocol; Railsback &amp; Grimm (2019) pattern-oriented modeling concepts; Micheletti (2023) SpaDES anthropogenic disturbance modules (Appendices A-C).</w:t>
      </w:r>
      <w:bookmarkEnd w:id="1"/>
      <w:bookmarkEnd w:id="2"/>
      <w:bookmarkEnd w:id="16"/>
      <w:bookmarkEnd w:id="26"/>
    </w:p>
    <w:p>
      <w:pPr>
        <w:pStyle w:val="Normal"/>
        <w:spacing w:before="0" w:after="200"/>
        <w:rPr>
          <w:rStyle w:val="Hyperlink"/>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18"/>
    <w:lvlOverride w:ilvl="0">
      <w:startOverride w:val="1"/>
    </w:lvlOverride>
  </w:num>
  <w:num w:numId="73">
    <w:abstractNumId w:val="18"/>
  </w:num>
  <w:num w:numId="74">
    <w:abstractNumId w:val="18"/>
  </w:num>
  <w:num w:numId="75">
    <w:abstractNumId w:val="18"/>
  </w:num>
  <w:num w:numId="76">
    <w:abstractNumId w:val="18"/>
  </w:num>
  <w:num w:numId="77">
    <w:abstractNumId w:val="18"/>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18"/>
    <w:lvlOverride w:ilvl="0">
      <w:startOverride w:val="1"/>
    </w:lvlOverride>
  </w:num>
  <w:num w:numId="92">
    <w:abstractNumId w:val="18"/>
  </w:num>
  <w:num w:numId="93">
    <w:abstractNumId w:val="18"/>
  </w:num>
  <w:num w:numId="94">
    <w:abstractNumId w:val="18"/>
  </w:num>
  <w:num w:numId="95">
    <w:abstractNumId w:val="18"/>
  </w:num>
  <w:num w:numId="96">
    <w:abstractNumId w:val="18"/>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character" w:styleId="Strong">
    <w:name w:val="Strong"/>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Comment">
    <w:name w:val="Comment"/>
    <w:basedOn w:val="Normal"/>
    <w:qFormat/>
    <w:pPr>
      <w:spacing w:lineRule="auto" w:line="240" w:before="56" w:after="0"/>
      <w:ind w:hanging="0" w:left="57" w:right="57"/>
    </w:pPr>
    <w:rPr>
      <w:color w:val="auto"/>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file://file-LSmVp7pAoJiXzjtdfuVkE1#:~:text=disturbanceList&#160;,current%20and%20potential%20disturbance%20layers" TargetMode="External"/><Relationship Id="rId3" Type="http://schemas.openxmlformats.org/officeDocument/2006/relationships/image" Target="media/image1.png"/><Relationship Id="rId4" Type="http://schemas.openxmlformats.org/officeDocument/2006/relationships/hyperlink" Target="file://file-LSmVp7pAoJiXzjtdfuVkE1#:~:text=DisturbanceRate&#160;%28data.table%29%20%28Optional%29%3A&#160;A%20pre,within%20the%20module%20if%20provided" TargetMode="External"/><Relationship Id="rId5" Type="http://schemas.openxmlformats.org/officeDocument/2006/relationships/hyperlink" Target="https://open.canada.ca/data/en/dataset/afd0ce47-17c3-445c-b823-2f86409da2e0?utm" TargetMode="External"/><Relationship Id="rId6" Type="http://schemas.openxmlformats.org/officeDocument/2006/relationships/hyperlink" Target="https://open.canada.ca/data/en/dataset/a71ab99c-6756-4e56-9d2e-2a63246a5e94?utm" TargetMode="External"/><Relationship Id="rId7" Type="http://schemas.openxmlformats.org/officeDocument/2006/relationships/hyperlink" Target="https://open.canada.ca/data/en/dataset/3d282116-e556-400c-9306-ca1a3cada77f?utm" TargetMode="External"/><Relationship Id="rId8" Type="http://schemas.openxmlformats.org/officeDocument/2006/relationships/hyperlink" Target="https://open.canada.ca/data/en/dataset/79fdad93-9025-49ad-ba16-c26d718cc070?utm" TargetMode="External"/><Relationship Id="rId9" Type="http://schemas.openxmlformats.org/officeDocument/2006/relationships/hyperlink" Target="https://ouvert.canada.ca/data/dataset/89763922-4cda-7095-f70f-0a4c287536f0?utm" TargetMode="External"/><Relationship Id="rId10" Type="http://schemas.openxmlformats.org/officeDocument/2006/relationships/hyperlink" Target="https://www.iti.gov.nt.ca/en/services/oil-and-gas-rights-management/nwt-oil-and-gas-rights?utm" TargetMode="External"/><Relationship Id="rId11" Type="http://schemas.openxmlformats.org/officeDocument/2006/relationships/hyperlink" Target="https://catalogue.arctic-sdi.org/geonetwork/srv/api/records/63e1cda6-debe-4b9b-b075-3666443e30b4" TargetMode="External"/><Relationship Id="rId12" Type="http://schemas.openxmlformats.org/officeDocument/2006/relationships/hyperlink" Target="https://bigdata.cgiar.org/srtm-90m-digital-elevation-database/?utm" TargetMode="External"/><Relationship Id="rId13" Type="http://schemas.openxmlformats.org/officeDocument/2006/relationships/hyperlink" Target="https://esa-worldcover.org/en" TargetMode="External"/><Relationship Id="rId14" Type="http://schemas.openxmlformats.org/officeDocument/2006/relationships/hyperlink" Target="file://file-46M9GziVrdYo2AcXQabLej#:~:text=defineParameter%28name%20%3D%20,Needs" TargetMode="External"/><Relationship Id="rId15" Type="http://schemas.openxmlformats.org/officeDocument/2006/relationships/hyperlink" Target="file://file-LSmVp7pAoJiXzjtdfuVkE1#:~:text=Iterates%20through%20each%20,type" TargetMode="External"/><Relationship Id="rId16" Type="http://schemas.openxmlformats.org/officeDocument/2006/relationships/hyperlink" Target="file://file-LSmVp7pAoJiXzjtdfuVkE1#:~:text=Calculates%20the%20target%20area%20increase,based%20on&#160;disturbanceRate%2C&#160;studyArea&#160;size%2C%20and&#160;disturbanceInterval" TargetMode="External"/><Relationship Id="rId17" Type="http://schemas.openxmlformats.org/officeDocument/2006/relationships/hyperlink" Target="file://file-LSmVp7pAoJiXzjtdfuVkE1#:~:text=Retrieves%20the%20potential%20layer%20from&#160;disturbanceList" TargetMode="External"/><Relationship Id="rId18" Type="http://schemas.openxmlformats.org/officeDocument/2006/relationships/hyperlink" Target="file://file-LSmVp7pAoJiXzjtdfuVkE1#:~:text=Calculates%20the%20target%20number%20of,on&#160;disturbanceRate%2C%20total%20pixels%20in&#160;rasterToMatch%2C%20and&#160;disturbanceInterval" TargetMode="External"/><Relationship Id="rId19" Type="http://schemas.openxmlformats.org/officeDocument/2006/relationships/hyperlink" Target="file://file-LSmVp7pAoJiXzjtdfuVkE1#:~:text=Generating%3A&#160;Creates%20new%20disturbances%20,selection%20based%20on%20potential%20values" TargetMode="External"/><Relationship Id="rId20" Type="http://schemas.openxmlformats.org/officeDocument/2006/relationships/hyperlink" Target="file://file-LSmVp7pAoJiXzjtdfuVkE1#:~:text=parameterized%20in%20the&#160;calculatingSize&#160;event%2C%20and%20aiming,selection%20based%20on%20potential%20values" TargetMode="External"/><Relationship Id="rId21" Type="http://schemas.openxmlformats.org/officeDocument/2006/relationships/hyperlink" Target="file://file-LSmVp7pAoJiXzjtdfuVkE1#:~:text=Generating%20Disturbances%3A" TargetMode="External"/><Relationship Id="rId22" Type="http://schemas.openxmlformats.org/officeDocument/2006/relationships/hyperlink" Target="file://file-LSmVp7pAoJiXzjtdfuVkE1#:~:text=Selects%20disturbance%20parameters%20for%20,type%20disturbances" TargetMode="External"/><Relationship Id="rId23" Type="http://schemas.openxmlformats.org/officeDocument/2006/relationships/hyperlink" Target="file://file-LSmVp7pAoJiXzjtdfuVkE1#:~:text=Returns%20the%20connected%20disturbance%20layers" TargetMode="External"/><Relationship Id="rId24" Type="http://schemas.openxmlformats.org/officeDocument/2006/relationships/hyperlink" Target="file://file-LSmVp7pAoJiXzjtdfuVkE1#:~:text=Function%20Call%3A&#160;Calls%20the&#160;replaceListFast,to%20be%20in%20separate%20script" TargetMode="External"/><Relationship Id="rId25" Type="http://schemas.openxmlformats.org/officeDocument/2006/relationships/hyperlink" Target="file://file-LSmVp7pAoJiXzjtdfuVkE1#:~:text=Purpose%3A&#160;This%20event%20updates%20the&#160;disturbanceList&#160;object%20with,with%20their%20buffered%20versions" TargetMode="External"/><Relationship Id="rId26" Type="http://schemas.openxmlformats.org/officeDocument/2006/relationships/hyperlink" Target="file://file-LSmVp7pAoJiXzjtdfuVkE1#:~:text=disturbances%20from%20the%20current%20year,with%20their%20buffered%20versions"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LibreOffice/25.8.2.2$Linux_X86_64 LibreOffice_project/f7b0e4385108b95c134599502a7bccf0a41925c8</Application>
  <AppVersion>15.0000</AppVersion>
  <Pages>31</Pages>
  <Words>11774</Words>
  <Characters>67516</Characters>
  <CharactersWithSpaces>79035</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2025-09-24T10:32:17Z</dcterms:created>
  <dc:creator/>
  <dc:description/>
  <dc:language>en</dc:language>
  <cp:lastModifiedBy/>
  <dcterms:modified xsi:type="dcterms:W3CDTF">2025-11-12T14:19:08Z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