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drawing>
          <wp:inline xmlns:a="http://schemas.openxmlformats.org/drawingml/2006/main" xmlns:pic="http://schemas.openxmlformats.org/drawingml/2006/picture">
            <wp:extent cx="1280160" cy="1167015"/>
            <wp:docPr id="1" name="Picture 1" descr="La Trinidad Municipal Disaster Risk Reduction and Management Council logo"/>
            <wp:cNvGraphicFramePr>
              <a:graphicFrameLocks noChangeAspect="1"/>
            </wp:cNvGraphicFramePr>
            <a:graphic>
              <a:graphicData uri="http://schemas.openxmlformats.org/drawingml/2006/picture">
                <pic:pic>
                  <pic:nvPicPr>
                    <pic:cNvPr id="0" name="mdrrmc-logo.png"/>
                    <pic:cNvPicPr/>
                  </pic:nvPicPr>
                  <pic:blipFill>
                    <a:blip r:embed="rId11"/>
                    <a:stretch>
                      <a:fillRect/>
                    </a:stretch>
                  </pic:blipFill>
                  <pic:spPr>
                    <a:xfrm>
                      <a:off x="0" y="0"/>
                      <a:ext cx="1280160" cy="1167015"/>
                    </a:xfrm>
                    <a:prstGeom prst="rect"/>
                  </pic:spPr>
                </pic:pic>
              </a:graphicData>
            </a:graphic>
          </wp:inline>
        </w:drawing>
      </w:r>
    </w:p>
    <w:p>
      <w:pPr>
        <w:spacing w:before="400" w:after="240"/>
        <w:jc w:val="center"/>
      </w:pPr>
      <w:r>
        <w:rPr>
          <w:rFonts w:ascii="Calibri" w:hAnsi="Calibri"/>
          <w:b/>
          <w:color w:val="155EEF"/>
          <w:sz w:val="20"/>
        </w:rPr>
        <w:t>PRESENTATION DEVELOPMENT GUIDE</w:t>
      </w:r>
    </w:p>
    <w:p>
      <w:pPr>
        <w:pStyle w:val="Title"/>
        <w:jc w:val="center"/>
      </w:pPr>
      <w:r>
        <w:t>Understanding and Presenting NodeGuard</w:t>
      </w:r>
    </w:p>
    <w:p>
      <w:pPr>
        <w:pStyle w:val="Subtitle"/>
        <w:jc w:val="center"/>
      </w:pPr>
      <w:r>
        <w:t>A beginner-friendly, slide-by-slide guide based on the capstone paper and the implemented NodeGuard software</w:t>
      </w:r>
    </w:p>
    <w:p>
      <w:pPr>
        <w:spacing w:before="680"/>
        <w:jc w:val="center"/>
      </w:pPr>
      <w:r>
        <w:rPr>
          <w:rFonts w:ascii="Calibri" w:hAnsi="Calibri"/>
          <w:b/>
          <w:color w:val="0B3A67"/>
          <w:sz w:val="22"/>
        </w:rPr>
        <w:t>Recommended deck: 20 slides | 15-20 minutes | General or academic audience</w:t>
      </w:r>
    </w:p>
    <w:p>
      <w:pPr>
        <w:spacing w:before="840"/>
        <w:jc w:val="center"/>
      </w:pPr>
      <w:r>
        <w:rPr>
          <w:rFonts w:ascii="Calibri" w:hAnsi="Calibri"/>
          <w:color w:val="52606D"/>
          <w:sz w:val="20"/>
        </w:rPr>
        <w:t>La Trinidad, Benguet | July 2026</w:t>
      </w:r>
    </w:p>
    <w:p>
      <w:r>
        <w:br w:type="page"/>
      </w:r>
    </w:p>
    <w:p>
      <w:pPr>
        <w:pStyle w:val="Heading1"/>
        <w:keepNext/>
      </w:pPr>
      <w:r>
        <w:t>How to Use This Guide</w:t>
      </w:r>
    </w:p>
    <w:p>
      <w:r>
        <w:t>This guide is written for a presenter who has little or only surface-level knowledge of NodeGuard. It provides the story, copy-ready slide content, visual direction, speaker notes, and safe claims needed to build an accurate PowerPoint presentation.</w:t>
      </w:r>
    </w:p>
    <w:p>
      <w:pPr>
        <w:spacing w:after="90" w:before="90"/>
        <w:shd w:fill="EAF2FF"/>
        <w:ind w:left="140" w:right="140"/>
      </w:pPr>
      <w:r>
        <w:rPr>
          <w:rFonts w:ascii="Calibri" w:hAnsi="Calibri"/>
          <w:b/>
          <w:color w:val="0B3A67"/>
        </w:rPr>
        <w:t xml:space="preserve">Core message: </w:t>
      </w:r>
      <w:r>
        <w:rPr>
          <w:rFonts w:ascii="Calibri" w:hAnsi="Calibri"/>
          <w:color w:val="172B3A"/>
        </w:rPr>
        <w:t>NodeGuard is a localized, human-controlled emergency reporting and incident-management support system that connects fixed public alert nodes, the MDRRMO coordination website, and an authorized responder application.</w:t>
      </w:r>
    </w:p>
    <w:p>
      <w:pPr>
        <w:pStyle w:val="Heading2"/>
        <w:keepNext/>
      </w:pPr>
      <w:r>
        <w:t>Recommended Presentation Settings</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trPr>
        <w:tc>
          <w:tcPr>
            <w:tcW w:type="dxa" w:w="2700"/>
            <w:shd w:fill="EAF2FF"/>
            <w:vAlign w:val="center"/>
            <w:tcMar>
              <w:top w:w="80" w:type="dxa"/>
              <w:start w:w="120" w:type="dxa"/>
              <w:bottom w:w="80" w:type="dxa"/>
              <w:end w:w="120" w:type="dxa"/>
            </w:tcMar>
          </w:tcPr>
          <w:p>
            <w:r>
              <w:rPr>
                <w:rFonts w:ascii="Calibri" w:hAnsi="Calibri"/>
                <w:b/>
                <w:color w:val="0B3A67"/>
              </w:rPr>
              <w:t>Setting</w:t>
            </w:r>
          </w:p>
        </w:tc>
        <w:tc>
          <w:tcPr>
            <w:tcW w:type="dxa" w:w="6660"/>
            <w:shd w:fill="EAF2FF"/>
            <w:vAlign w:val="center"/>
            <w:tcMar>
              <w:top w:w="80" w:type="dxa"/>
              <w:start w:w="120" w:type="dxa"/>
              <w:bottom w:w="80" w:type="dxa"/>
              <w:end w:w="120" w:type="dxa"/>
            </w:tcMar>
          </w:tcPr>
          <w:p>
            <w:r>
              <w:rPr>
                <w:rFonts w:ascii="Calibri" w:hAnsi="Calibri"/>
                <w:b/>
                <w:color w:val="0B3A67"/>
              </w:rPr>
              <w:t>Recommendation</w:t>
            </w:r>
          </w:p>
        </w:tc>
      </w:tr>
      <w:tr>
        <w:tc>
          <w:tcPr>
            <w:tcW w:type="dxa" w:w="2700"/>
            <w:vAlign w:val="center"/>
            <w:tcMar>
              <w:top w:w="80" w:type="dxa"/>
              <w:start w:w="120" w:type="dxa"/>
              <w:bottom w:w="80" w:type="dxa"/>
              <w:end w:w="120" w:type="dxa"/>
            </w:tcMar>
          </w:tcPr>
          <w:p>
            <w:r>
              <w:rPr>
                <w:rFonts w:ascii="Calibri" w:hAnsi="Calibri"/>
                <w:b/>
                <w:color w:val="0B3A67"/>
              </w:rPr>
              <w:t>Audience</w:t>
            </w:r>
          </w:p>
        </w:tc>
        <w:tc>
          <w:tcPr>
            <w:tcW w:type="dxa" w:w="6660"/>
            <w:vAlign w:val="center"/>
            <w:tcMar>
              <w:top w:w="80" w:type="dxa"/>
              <w:start w:w="120" w:type="dxa"/>
              <w:bottom w:w="80" w:type="dxa"/>
              <w:end w:w="120" w:type="dxa"/>
            </w:tcMar>
          </w:tcPr>
          <w:p>
            <w:r>
              <w:rPr>
                <w:rFonts w:ascii="Calibri" w:hAnsi="Calibri"/>
                <w:color w:val="172B3A"/>
              </w:rPr>
              <w:t>General public, faculty panel, MDRRMO stakeholders, students, or technical evaluators</w:t>
            </w:r>
          </w:p>
        </w:tc>
      </w:tr>
      <w:tr>
        <w:tc>
          <w:tcPr>
            <w:tcW w:type="dxa" w:w="2700"/>
            <w:vAlign w:val="center"/>
            <w:tcMar>
              <w:top w:w="80" w:type="dxa"/>
              <w:start w:w="120" w:type="dxa"/>
              <w:bottom w:w="80" w:type="dxa"/>
              <w:end w:w="120" w:type="dxa"/>
            </w:tcMar>
          </w:tcPr>
          <w:p>
            <w:r>
              <w:rPr>
                <w:rFonts w:ascii="Calibri" w:hAnsi="Calibri"/>
                <w:b/>
                <w:color w:val="0B3A67"/>
              </w:rPr>
              <w:t>Length</w:t>
            </w:r>
          </w:p>
        </w:tc>
        <w:tc>
          <w:tcPr>
            <w:tcW w:type="dxa" w:w="6660"/>
            <w:vAlign w:val="center"/>
            <w:tcMar>
              <w:top w:w="80" w:type="dxa"/>
              <w:start w:w="120" w:type="dxa"/>
              <w:bottom w:w="80" w:type="dxa"/>
              <w:end w:w="120" w:type="dxa"/>
            </w:tcMar>
          </w:tcPr>
          <w:p>
            <w:r>
              <w:rPr>
                <w:rFonts w:ascii="Calibri" w:hAnsi="Calibri"/>
                <w:color w:val="172B3A"/>
              </w:rPr>
              <w:t>20 slides; 15-20 minutes plus questions</w:t>
            </w:r>
          </w:p>
        </w:tc>
      </w:tr>
      <w:tr>
        <w:tc>
          <w:tcPr>
            <w:tcW w:type="dxa" w:w="2700"/>
            <w:vAlign w:val="center"/>
            <w:tcMar>
              <w:top w:w="80" w:type="dxa"/>
              <w:start w:w="120" w:type="dxa"/>
              <w:bottom w:w="80" w:type="dxa"/>
              <w:end w:w="120" w:type="dxa"/>
            </w:tcMar>
          </w:tcPr>
          <w:p>
            <w:r>
              <w:rPr>
                <w:rFonts w:ascii="Calibri" w:hAnsi="Calibri"/>
                <w:b/>
                <w:color w:val="0B3A67"/>
              </w:rPr>
              <w:t>Pacing</w:t>
            </w:r>
          </w:p>
        </w:tc>
        <w:tc>
          <w:tcPr>
            <w:tcW w:type="dxa" w:w="6660"/>
            <w:vAlign w:val="center"/>
            <w:tcMar>
              <w:top w:w="80" w:type="dxa"/>
              <w:start w:w="120" w:type="dxa"/>
              <w:bottom w:w="80" w:type="dxa"/>
              <w:end w:w="120" w:type="dxa"/>
            </w:tcMar>
          </w:tcPr>
          <w:p>
            <w:r>
              <w:rPr>
                <w:rFonts w:ascii="Calibri" w:hAnsi="Calibri"/>
                <w:color w:val="172B3A"/>
              </w:rPr>
              <w:t>Approximately 40-50 seconds per content slide; 1-2 minutes for the workflow and scenario</w:t>
            </w:r>
          </w:p>
        </w:tc>
      </w:tr>
      <w:tr>
        <w:tc>
          <w:tcPr>
            <w:tcW w:type="dxa" w:w="2700"/>
            <w:vAlign w:val="center"/>
            <w:tcMar>
              <w:top w:w="80" w:type="dxa"/>
              <w:start w:w="120" w:type="dxa"/>
              <w:bottom w:w="80" w:type="dxa"/>
              <w:end w:w="120" w:type="dxa"/>
            </w:tcMar>
          </w:tcPr>
          <w:p>
            <w:r>
              <w:rPr>
                <w:rFonts w:ascii="Calibri" w:hAnsi="Calibri"/>
                <w:b/>
                <w:color w:val="0B3A67"/>
              </w:rPr>
              <w:t>Tone</w:t>
            </w:r>
          </w:p>
        </w:tc>
        <w:tc>
          <w:tcPr>
            <w:tcW w:type="dxa" w:w="6660"/>
            <w:vAlign w:val="center"/>
            <w:tcMar>
              <w:top w:w="80" w:type="dxa"/>
              <w:start w:w="120" w:type="dxa"/>
              <w:bottom w:w="80" w:type="dxa"/>
              <w:end w:w="120" w:type="dxa"/>
            </w:tcMar>
          </w:tcPr>
          <w:p>
            <w:r>
              <w:rPr>
                <w:rFonts w:ascii="Calibri" w:hAnsi="Calibri"/>
                <w:color w:val="172B3A"/>
              </w:rPr>
              <w:t>Calm, factual, public-service oriented, and careful about limitations</w:t>
            </w:r>
          </w:p>
        </w:tc>
      </w:tr>
      <w:tr>
        <w:tc>
          <w:tcPr>
            <w:tcW w:type="dxa" w:w="2700"/>
            <w:vAlign w:val="center"/>
            <w:tcMar>
              <w:top w:w="80" w:type="dxa"/>
              <w:start w:w="120" w:type="dxa"/>
              <w:bottom w:w="80" w:type="dxa"/>
              <w:end w:w="120" w:type="dxa"/>
            </w:tcMar>
          </w:tcPr>
          <w:p>
            <w:r>
              <w:rPr>
                <w:rFonts w:ascii="Calibri" w:hAnsi="Calibri"/>
                <w:b/>
                <w:color w:val="0B3A67"/>
              </w:rPr>
              <w:t>Visual system</w:t>
            </w:r>
          </w:p>
        </w:tc>
        <w:tc>
          <w:tcPr>
            <w:tcW w:type="dxa" w:w="6660"/>
            <w:vAlign w:val="center"/>
            <w:tcMar>
              <w:top w:w="80" w:type="dxa"/>
              <w:start w:w="120" w:type="dxa"/>
              <w:bottom w:w="80" w:type="dxa"/>
              <w:end w:w="120" w:type="dxa"/>
            </w:tcMar>
          </w:tcPr>
          <w:p>
            <w:r>
              <w:rPr>
                <w:rFonts w:ascii="Calibri" w:hAnsi="Calibri"/>
                <w:color w:val="172B3A"/>
              </w:rPr>
              <w:t>White = Ready, Blue = Set/coordinated action, Red = urgent Go state only</w:t>
            </w:r>
          </w:p>
        </w:tc>
      </w:tr>
      <w:tr>
        <w:tc>
          <w:tcPr>
            <w:tcW w:type="dxa" w:w="2700"/>
            <w:vAlign w:val="center"/>
            <w:tcMar>
              <w:top w:w="80" w:type="dxa"/>
              <w:start w:w="120" w:type="dxa"/>
              <w:bottom w:w="80" w:type="dxa"/>
              <w:end w:w="120" w:type="dxa"/>
            </w:tcMar>
          </w:tcPr>
          <w:p>
            <w:r>
              <w:rPr>
                <w:rFonts w:ascii="Calibri" w:hAnsi="Calibri"/>
                <w:b/>
                <w:color w:val="0B3A67"/>
              </w:rPr>
              <w:t>Main proof</w:t>
            </w:r>
          </w:p>
        </w:tc>
        <w:tc>
          <w:tcPr>
            <w:tcW w:type="dxa" w:w="6660"/>
            <w:vAlign w:val="center"/>
            <w:tcMar>
              <w:top w:w="80" w:type="dxa"/>
              <w:start w:w="120" w:type="dxa"/>
              <w:bottom w:w="80" w:type="dxa"/>
              <w:end w:w="120" w:type="dxa"/>
            </w:tcMar>
          </w:tcPr>
          <w:p>
            <w:r>
              <w:rPr>
                <w:rFonts w:ascii="Calibri" w:hAnsi="Calibri"/>
                <w:color w:val="172B3A"/>
              </w:rPr>
              <w:t>Show the connected workflow rather than listing programming technologies</w:t>
            </w:r>
          </w:p>
        </w:tc>
      </w:tr>
    </w:tbl>
    <w:p>
      <w:pPr>
        <w:pStyle w:val="Heading2"/>
        <w:keepNext/>
      </w:pPr>
      <w:r>
        <w:t>Story Structure</w:t>
      </w:r>
    </w:p>
    <w:p>
      <w:pPr>
        <w:numPr>
          <w:ilvl w:val="0"/>
          <w:numId w:val="10"/>
        </w:numPr>
      </w:pPr>
      <w:r>
        <w:rPr>
          <w:rFonts w:ascii="Calibri" w:hAnsi="Calibri"/>
          <w:color w:val="172B3A"/>
        </w:rPr>
        <w:t>Problem: emergency information can arrive incomplete, unclear, or difficult to locate.</w:t>
      </w:r>
    </w:p>
    <w:p>
      <w:pPr>
        <w:numPr>
          <w:ilvl w:val="0"/>
          <w:numId w:val="10"/>
        </w:numPr>
      </w:pPr>
      <w:r>
        <w:rPr>
          <w:rFonts w:ascii="Calibri" w:hAnsi="Calibri"/>
          <w:color w:val="172B3A"/>
        </w:rPr>
        <w:t>Solution: a fixed node sends a categorized alert from a known location.</w:t>
      </w:r>
    </w:p>
    <w:p>
      <w:pPr>
        <w:numPr>
          <w:ilvl w:val="0"/>
          <w:numId w:val="10"/>
        </w:numPr>
      </w:pPr>
      <w:r>
        <w:rPr>
          <w:rFonts w:ascii="Calibri" w:hAnsi="Calibri"/>
          <w:color w:val="172B3A"/>
        </w:rPr>
        <w:t>Coordination: MDRRMO verifies, assigns, monitors, documents, and reviews incidents.</w:t>
      </w:r>
    </w:p>
    <w:p>
      <w:pPr>
        <w:numPr>
          <w:ilvl w:val="0"/>
          <w:numId w:val="10"/>
        </w:numPr>
      </w:pPr>
      <w:r>
        <w:rPr>
          <w:rFonts w:ascii="Calibri" w:hAnsi="Calibri"/>
          <w:color w:val="172B3A"/>
        </w:rPr>
        <w:t>Field response: authorized responders receive clear assignments and submit updates.</w:t>
      </w:r>
    </w:p>
    <w:p>
      <w:pPr>
        <w:numPr>
          <w:ilvl w:val="0"/>
          <w:numId w:val="10"/>
        </w:numPr>
      </w:pPr>
      <w:r>
        <w:rPr>
          <w:rFonts w:ascii="Calibri" w:hAnsi="Calibri"/>
          <w:color w:val="172B3A"/>
        </w:rPr>
        <w:t>Responsible scope: NodeGuard supplements existing channels and remains subject to testing, policy, infrastructure, and human authority.</w:t>
      </w:r>
    </w:p>
    <w:p>
      <w:pPr>
        <w:pStyle w:val="Heading2"/>
        <w:keepNext/>
      </w:pPr>
      <w:r>
        <w:t>Language That Keeps the Presentation Accurate</w:t>
      </w:r>
    </w:p>
    <w:p>
      <w:pPr>
        <w:numPr>
          <w:ilvl w:val="0"/>
          <w:numId w:val="10"/>
        </w:numPr>
      </w:pPr>
      <w:r>
        <w:rPr>
          <w:rFonts w:ascii="Calibri" w:hAnsi="Calibri"/>
          <w:color w:val="172B3A"/>
        </w:rPr>
        <w:t>Say supports, assists, is designed to, may improve, or is intended to reduce.</w:t>
      </w:r>
    </w:p>
    <w:p>
      <w:pPr>
        <w:numPr>
          <w:ilvl w:val="0"/>
          <w:numId w:val="10"/>
        </w:numPr>
      </w:pPr>
      <w:r>
        <w:rPr>
          <w:rFonts w:ascii="Calibri" w:hAnsi="Calibri"/>
          <w:color w:val="172B3A"/>
        </w:rPr>
        <w:t>Do not say NodeGuard guarantees faster response, prevents all false alarms, or replaces 911.</w:t>
      </w:r>
    </w:p>
    <w:p>
      <w:pPr>
        <w:numPr>
          <w:ilvl w:val="0"/>
          <w:numId w:val="10"/>
        </w:numPr>
      </w:pPr>
      <w:r>
        <w:rPr>
          <w:rFonts w:ascii="Calibri" w:hAnsi="Calibri"/>
          <w:color w:val="172B3A"/>
        </w:rPr>
        <w:t>Describe the 15-20 typhoon incidents figure as an interviewee estimate from the paper.</w:t>
      </w:r>
    </w:p>
    <w:p>
      <w:pPr>
        <w:numPr>
          <w:ilvl w:val="0"/>
          <w:numId w:val="10"/>
        </w:numPr>
      </w:pPr>
      <w:r>
        <w:rPr>
          <w:rFonts w:ascii="Calibri" w:hAnsi="Calibri"/>
          <w:color w:val="172B3A"/>
        </w:rPr>
        <w:t>Describe the software as implemented and build-verified; describe physical nodes and municipality-wide rollout as pilot/field work requiring validation.</w:t>
      </w:r>
    </w:p>
    <w:p>
      <w:pPr>
        <w:numPr>
          <w:ilvl w:val="0"/>
          <w:numId w:val="10"/>
        </w:numPr>
      </w:pPr>
      <w:r>
        <w:rPr>
          <w:rFonts w:ascii="Calibri" w:hAnsi="Calibri"/>
          <w:color w:val="172B3A"/>
        </w:rPr>
        <w:t>Do not present illustrative scenarios, demo records, or mock analytics as real emergency cases.</w:t>
      </w:r>
    </w:p>
    <w:p>
      <w:r>
        <w:br w:type="page"/>
      </w:r>
    </w:p>
    <w:p>
      <w:pPr>
        <w:pStyle w:val="Heading1"/>
        <w:keepNext/>
      </w:pPr>
      <w:r>
        <w:t>Twenty-Slide Run of Show</w:t>
      </w:r>
    </w:p>
    <w:p>
      <w:r>
        <w:t>Use this summary to see the complete narrative before building individual slides. Detailed instructions follow in the same order.</w:t>
      </w:r>
    </w:p>
    <w:tbl>
      <w:tblPr>
        <w:tblStyle w:val="TableGrid"/>
        <w:tblW w:type="dxa" w:w="9360"/>
        <w:jc w:val="left"/>
        <w:tblLayout w:type="fixed"/>
        <w:tblLook w:firstColumn="1" w:firstRow="1" w:lastColumn="0" w:lastRow="0" w:noHBand="0" w:noVBand="1" w:val="04A0"/>
        <w:tblInd w:type="dxa" w:w="120"/>
      </w:tblPr>
      <w:tblGrid>
        <w:gridCol w:w="600"/>
        <w:gridCol w:w="3000"/>
        <w:gridCol w:w="4860"/>
        <w:gridCol w:w="900"/>
      </w:tblGrid>
      <w:tr>
        <w:trPr>
          <w:tblHeader w:val="true"/>
        </w:trPr>
        <w:tc>
          <w:tcPr>
            <w:tcW w:type="dxa" w:w="600"/>
            <w:shd w:fill="EAF2FF"/>
            <w:vAlign w:val="center"/>
            <w:tcMar>
              <w:top w:w="80" w:type="dxa"/>
              <w:start w:w="120" w:type="dxa"/>
              <w:bottom w:w="80" w:type="dxa"/>
              <w:end w:w="120" w:type="dxa"/>
            </w:tcMar>
          </w:tcPr>
          <w:p>
            <w:r>
              <w:rPr>
                <w:rFonts w:ascii="Calibri" w:hAnsi="Calibri"/>
                <w:b/>
                <w:color w:val="0B3A67"/>
                <w:sz w:val="19"/>
              </w:rPr>
              <w:t>No.</w:t>
            </w:r>
          </w:p>
        </w:tc>
        <w:tc>
          <w:tcPr>
            <w:tcW w:type="dxa" w:w="3000"/>
            <w:shd w:fill="EAF2FF"/>
            <w:vAlign w:val="center"/>
            <w:tcMar>
              <w:top w:w="80" w:type="dxa"/>
              <w:start w:w="120" w:type="dxa"/>
              <w:bottom w:w="80" w:type="dxa"/>
              <w:end w:w="120" w:type="dxa"/>
            </w:tcMar>
          </w:tcPr>
          <w:p>
            <w:r>
              <w:rPr>
                <w:rFonts w:ascii="Calibri" w:hAnsi="Calibri"/>
                <w:b/>
                <w:color w:val="0B3A67"/>
                <w:sz w:val="19"/>
              </w:rPr>
              <w:t>Slide</w:t>
            </w:r>
          </w:p>
        </w:tc>
        <w:tc>
          <w:tcPr>
            <w:tcW w:type="dxa" w:w="4860"/>
            <w:shd w:fill="EAF2FF"/>
            <w:vAlign w:val="center"/>
            <w:tcMar>
              <w:top w:w="80" w:type="dxa"/>
              <w:start w:w="120" w:type="dxa"/>
              <w:bottom w:w="80" w:type="dxa"/>
              <w:end w:w="120" w:type="dxa"/>
            </w:tcMar>
          </w:tcPr>
          <w:p>
            <w:r>
              <w:rPr>
                <w:rFonts w:ascii="Calibri" w:hAnsi="Calibri"/>
                <w:b/>
                <w:color w:val="0B3A67"/>
                <w:sz w:val="19"/>
              </w:rPr>
              <w:t>Main job</w:t>
            </w:r>
          </w:p>
        </w:tc>
        <w:tc>
          <w:tcPr>
            <w:tcW w:type="dxa" w:w="900"/>
            <w:shd w:fill="EAF2FF"/>
            <w:vAlign w:val="center"/>
            <w:tcMar>
              <w:top w:w="80" w:type="dxa"/>
              <w:start w:w="120" w:type="dxa"/>
              <w:bottom w:w="80" w:type="dxa"/>
              <w:end w:w="120" w:type="dxa"/>
            </w:tcMar>
          </w:tcPr>
          <w:p>
            <w:r>
              <w:rPr>
                <w:rFonts w:ascii="Calibri" w:hAnsi="Calibri"/>
                <w:b/>
                <w:color w:val="0B3A67"/>
                <w:sz w:val="19"/>
              </w:rPr>
              <w:t>Time</w:t>
            </w:r>
          </w:p>
        </w:tc>
      </w:tr>
      <w:tr>
        <w:tc>
          <w:tcPr>
            <w:tcW w:type="dxa" w:w="600"/>
            <w:vAlign w:val="center"/>
            <w:tcMar>
              <w:top w:w="80" w:type="dxa"/>
              <w:start w:w="120" w:type="dxa"/>
              <w:bottom w:w="80" w:type="dxa"/>
              <w:end w:w="120" w:type="dxa"/>
            </w:tcMar>
          </w:tcPr>
          <w:p>
            <w:pPr>
              <w:jc w:val="center"/>
            </w:pPr>
            <w:r>
              <w:rPr>
                <w:rFonts w:ascii="Calibri" w:hAnsi="Calibri"/>
                <w:b w:val="0"/>
                <w:color w:val="172B3A"/>
                <w:sz w:val="18"/>
              </w:rPr>
              <w:t>1</w:t>
            </w:r>
          </w:p>
        </w:tc>
        <w:tc>
          <w:tcPr>
            <w:tcW w:type="dxa" w:w="3000"/>
            <w:vAlign w:val="center"/>
            <w:tcMar>
              <w:top w:w="80" w:type="dxa"/>
              <w:start w:w="120" w:type="dxa"/>
              <w:bottom w:w="80" w:type="dxa"/>
              <w:end w:w="120" w:type="dxa"/>
            </w:tcMar>
          </w:tcPr>
          <w:p>
            <w:r>
              <w:rPr>
                <w:rFonts w:ascii="Calibri" w:hAnsi="Calibri"/>
                <w:b/>
                <w:color w:val="0B3A67"/>
                <w:sz w:val="18"/>
              </w:rPr>
              <w:t>NodeGuard: An IoT-Based Emergency Response and Incident Management System</w:t>
            </w:r>
          </w:p>
        </w:tc>
        <w:tc>
          <w:tcPr>
            <w:tcW w:type="dxa" w:w="4860"/>
            <w:vAlign w:val="center"/>
            <w:tcMar>
              <w:top w:w="80" w:type="dxa"/>
              <w:start w:w="120" w:type="dxa"/>
              <w:bottom w:w="80" w:type="dxa"/>
              <w:end w:w="120" w:type="dxa"/>
            </w:tcMar>
          </w:tcPr>
          <w:p>
            <w:r>
              <w:rPr>
                <w:rFonts w:ascii="Calibri" w:hAnsi="Calibri"/>
                <w:b w:val="0"/>
                <w:color w:val="172B3A"/>
                <w:sz w:val="18"/>
              </w:rPr>
              <w:t>Introduce the project, its setting, and its identity without explaining the entire system yet.</w:t>
            </w:r>
          </w:p>
        </w:tc>
        <w:tc>
          <w:tcPr>
            <w:tcW w:type="dxa" w:w="900"/>
            <w:vAlign w:val="center"/>
            <w:tcMar>
              <w:top w:w="80" w:type="dxa"/>
              <w:start w:w="120" w:type="dxa"/>
              <w:bottom w:w="80" w:type="dxa"/>
              <w:end w:w="120" w:type="dxa"/>
            </w:tcMar>
          </w:tcPr>
          <w:p>
            <w:pPr>
              <w:jc w:val="center"/>
            </w:pPr>
            <w:r>
              <w:rPr>
                <w:rFonts w:ascii="Calibri" w:hAnsi="Calibri"/>
                <w:b w:val="0"/>
                <w:color w:val="172B3A"/>
                <w:sz w:val="18"/>
              </w:rPr>
              <w:t>0:30</w:t>
            </w:r>
          </w:p>
        </w:tc>
      </w:tr>
      <w:tr>
        <w:tc>
          <w:tcPr>
            <w:tcW w:type="dxa" w:w="600"/>
            <w:vAlign w:val="center"/>
            <w:tcMar>
              <w:top w:w="80" w:type="dxa"/>
              <w:start w:w="120" w:type="dxa"/>
              <w:bottom w:w="80" w:type="dxa"/>
              <w:end w:w="120" w:type="dxa"/>
            </w:tcMar>
          </w:tcPr>
          <w:p>
            <w:pPr>
              <w:jc w:val="center"/>
            </w:pPr>
            <w:r>
              <w:rPr>
                <w:rFonts w:ascii="Calibri" w:hAnsi="Calibri"/>
                <w:b w:val="0"/>
                <w:color w:val="172B3A"/>
                <w:sz w:val="18"/>
              </w:rPr>
              <w:t>2</w:t>
            </w:r>
          </w:p>
        </w:tc>
        <w:tc>
          <w:tcPr>
            <w:tcW w:type="dxa" w:w="3000"/>
            <w:vAlign w:val="center"/>
            <w:tcMar>
              <w:top w:w="80" w:type="dxa"/>
              <w:start w:w="120" w:type="dxa"/>
              <w:bottom w:w="80" w:type="dxa"/>
              <w:end w:w="120" w:type="dxa"/>
            </w:tcMar>
          </w:tcPr>
          <w:p>
            <w:r>
              <w:rPr>
                <w:rFonts w:ascii="Calibri" w:hAnsi="Calibri"/>
                <w:b/>
                <w:color w:val="0B3A67"/>
                <w:sz w:val="18"/>
              </w:rPr>
              <w:t>NodeGuard in One Sentence</w:t>
            </w:r>
          </w:p>
        </w:tc>
        <w:tc>
          <w:tcPr>
            <w:tcW w:type="dxa" w:w="4860"/>
            <w:vAlign w:val="center"/>
            <w:tcMar>
              <w:top w:w="80" w:type="dxa"/>
              <w:start w:w="120" w:type="dxa"/>
              <w:bottom w:w="80" w:type="dxa"/>
              <w:end w:w="120" w:type="dxa"/>
            </w:tcMar>
          </w:tcPr>
          <w:p>
            <w:r>
              <w:rPr>
                <w:rFonts w:ascii="Calibri" w:hAnsi="Calibri"/>
                <w:b w:val="0"/>
                <w:color w:val="172B3A"/>
                <w:sz w:val="18"/>
              </w:rPr>
              <w:t>Give a simple mental model that a first-time audience can remember.</w:t>
            </w:r>
          </w:p>
        </w:tc>
        <w:tc>
          <w:tcPr>
            <w:tcW w:type="dxa" w:w="900"/>
            <w:vAlign w:val="center"/>
            <w:tcMar>
              <w:top w:w="80" w:type="dxa"/>
              <w:start w:w="120" w:type="dxa"/>
              <w:bottom w:w="80" w:type="dxa"/>
              <w:end w:w="120" w:type="dxa"/>
            </w:tcMar>
          </w:tcPr>
          <w:p>
            <w:pPr>
              <w:jc w:val="center"/>
            </w:pPr>
            <w:r>
              <w:rPr>
                <w:rFonts w:ascii="Calibri" w:hAnsi="Calibri"/>
                <w:b w:val="0"/>
                <w:color w:val="172B3A"/>
                <w:sz w:val="18"/>
              </w:rPr>
              <w:t>0:45</w:t>
            </w:r>
          </w:p>
        </w:tc>
      </w:tr>
      <w:tr>
        <w:tc>
          <w:tcPr>
            <w:tcW w:type="dxa" w:w="600"/>
            <w:vAlign w:val="center"/>
            <w:tcMar>
              <w:top w:w="80" w:type="dxa"/>
              <w:start w:w="120" w:type="dxa"/>
              <w:bottom w:w="80" w:type="dxa"/>
              <w:end w:w="120" w:type="dxa"/>
            </w:tcMar>
          </w:tcPr>
          <w:p>
            <w:pPr>
              <w:jc w:val="center"/>
            </w:pPr>
            <w:r>
              <w:rPr>
                <w:rFonts w:ascii="Calibri" w:hAnsi="Calibri"/>
                <w:b w:val="0"/>
                <w:color w:val="172B3A"/>
                <w:sz w:val="18"/>
              </w:rPr>
              <w:t>3</w:t>
            </w:r>
          </w:p>
        </w:tc>
        <w:tc>
          <w:tcPr>
            <w:tcW w:type="dxa" w:w="3000"/>
            <w:vAlign w:val="center"/>
            <w:tcMar>
              <w:top w:w="80" w:type="dxa"/>
              <w:start w:w="120" w:type="dxa"/>
              <w:bottom w:w="80" w:type="dxa"/>
              <w:end w:w="120" w:type="dxa"/>
            </w:tcMar>
          </w:tcPr>
          <w:p>
            <w:r>
              <w:rPr>
                <w:rFonts w:ascii="Calibri" w:hAnsi="Calibri"/>
                <w:b/>
                <w:color w:val="0B3A67"/>
                <w:sz w:val="18"/>
              </w:rPr>
              <w:t>The Emergency Reporting Problem</w:t>
            </w:r>
          </w:p>
        </w:tc>
        <w:tc>
          <w:tcPr>
            <w:tcW w:type="dxa" w:w="4860"/>
            <w:vAlign w:val="center"/>
            <w:tcMar>
              <w:top w:w="80" w:type="dxa"/>
              <w:start w:w="120" w:type="dxa"/>
              <w:bottom w:w="80" w:type="dxa"/>
              <w:end w:w="120" w:type="dxa"/>
            </w:tcMar>
          </w:tcPr>
          <w:p>
            <w:r>
              <w:rPr>
                <w:rFonts w:ascii="Calibri" w:hAnsi="Calibri"/>
                <w:b w:val="0"/>
                <w:color w:val="172B3A"/>
                <w:sz w:val="18"/>
              </w:rPr>
              <w:t>Explain why an additional reporting and coordination channel is needed.</w:t>
            </w:r>
          </w:p>
        </w:tc>
        <w:tc>
          <w:tcPr>
            <w:tcW w:type="dxa" w:w="900"/>
            <w:vAlign w:val="center"/>
            <w:tcMar>
              <w:top w:w="80" w:type="dxa"/>
              <w:start w:w="120" w:type="dxa"/>
              <w:bottom w:w="80" w:type="dxa"/>
              <w:end w:w="120" w:type="dxa"/>
            </w:tcMar>
          </w:tcPr>
          <w:p>
            <w:pPr>
              <w:jc w:val="center"/>
            </w:pPr>
            <w:r>
              <w:rPr>
                <w:rFonts w:ascii="Calibri" w:hAnsi="Calibri"/>
                <w:b w:val="0"/>
                <w:color w:val="172B3A"/>
                <w:sz w:val="18"/>
              </w:rPr>
              <w:t>1:00</w:t>
            </w:r>
          </w:p>
        </w:tc>
      </w:tr>
      <w:tr>
        <w:tc>
          <w:tcPr>
            <w:tcW w:type="dxa" w:w="600"/>
            <w:vAlign w:val="center"/>
            <w:tcMar>
              <w:top w:w="80" w:type="dxa"/>
              <w:start w:w="120" w:type="dxa"/>
              <w:bottom w:w="80" w:type="dxa"/>
              <w:end w:w="120" w:type="dxa"/>
            </w:tcMar>
          </w:tcPr>
          <w:p>
            <w:pPr>
              <w:jc w:val="center"/>
            </w:pPr>
            <w:r>
              <w:rPr>
                <w:rFonts w:ascii="Calibri" w:hAnsi="Calibri"/>
                <w:b w:val="0"/>
                <w:color w:val="172B3A"/>
                <w:sz w:val="18"/>
              </w:rPr>
              <w:t>4</w:t>
            </w:r>
          </w:p>
        </w:tc>
        <w:tc>
          <w:tcPr>
            <w:tcW w:type="dxa" w:w="3000"/>
            <w:vAlign w:val="center"/>
            <w:tcMar>
              <w:top w:w="80" w:type="dxa"/>
              <w:start w:w="120" w:type="dxa"/>
              <w:bottom w:w="80" w:type="dxa"/>
              <w:end w:w="120" w:type="dxa"/>
            </w:tcMar>
          </w:tcPr>
          <w:p>
            <w:r>
              <w:rPr>
                <w:rFonts w:ascii="Calibri" w:hAnsi="Calibri"/>
                <w:b/>
                <w:color w:val="0B3A67"/>
                <w:sz w:val="18"/>
              </w:rPr>
              <w:t>The Proposed Solution</w:t>
            </w:r>
          </w:p>
        </w:tc>
        <w:tc>
          <w:tcPr>
            <w:tcW w:type="dxa" w:w="4860"/>
            <w:vAlign w:val="center"/>
            <w:tcMar>
              <w:top w:w="80" w:type="dxa"/>
              <w:start w:w="120" w:type="dxa"/>
              <w:bottom w:w="80" w:type="dxa"/>
              <w:end w:w="120" w:type="dxa"/>
            </w:tcMar>
          </w:tcPr>
          <w:p>
            <w:r>
              <w:rPr>
                <w:rFonts w:ascii="Calibri" w:hAnsi="Calibri"/>
                <w:b w:val="0"/>
                <w:color w:val="172B3A"/>
                <w:sz w:val="18"/>
              </w:rPr>
              <w:t>Introduce the three connected components and the role of each.</w:t>
            </w:r>
          </w:p>
        </w:tc>
        <w:tc>
          <w:tcPr>
            <w:tcW w:type="dxa" w:w="900"/>
            <w:vAlign w:val="center"/>
            <w:tcMar>
              <w:top w:w="80" w:type="dxa"/>
              <w:start w:w="120" w:type="dxa"/>
              <w:bottom w:w="80" w:type="dxa"/>
              <w:end w:w="120" w:type="dxa"/>
            </w:tcMar>
          </w:tcPr>
          <w:p>
            <w:pPr>
              <w:jc w:val="center"/>
            </w:pPr>
            <w:r>
              <w:rPr>
                <w:rFonts w:ascii="Calibri" w:hAnsi="Calibri"/>
                <w:b w:val="0"/>
                <w:color w:val="172B3A"/>
                <w:sz w:val="18"/>
              </w:rPr>
              <w:t>0:50</w:t>
            </w:r>
          </w:p>
        </w:tc>
      </w:tr>
      <w:tr>
        <w:tc>
          <w:tcPr>
            <w:tcW w:type="dxa" w:w="600"/>
            <w:vAlign w:val="center"/>
            <w:tcMar>
              <w:top w:w="80" w:type="dxa"/>
              <w:start w:w="120" w:type="dxa"/>
              <w:bottom w:w="80" w:type="dxa"/>
              <w:end w:w="120" w:type="dxa"/>
            </w:tcMar>
          </w:tcPr>
          <w:p>
            <w:pPr>
              <w:jc w:val="center"/>
            </w:pPr>
            <w:r>
              <w:rPr>
                <w:rFonts w:ascii="Calibri" w:hAnsi="Calibri"/>
                <w:b w:val="0"/>
                <w:color w:val="172B3A"/>
                <w:sz w:val="18"/>
              </w:rPr>
              <w:t>5</w:t>
            </w:r>
          </w:p>
        </w:tc>
        <w:tc>
          <w:tcPr>
            <w:tcW w:type="dxa" w:w="3000"/>
            <w:vAlign w:val="center"/>
            <w:tcMar>
              <w:top w:w="80" w:type="dxa"/>
              <w:start w:w="120" w:type="dxa"/>
              <w:bottom w:w="80" w:type="dxa"/>
              <w:end w:w="120" w:type="dxa"/>
            </w:tcMar>
          </w:tcPr>
          <w:p>
            <w:r>
              <w:rPr>
                <w:rFonts w:ascii="Calibri" w:hAnsi="Calibri"/>
                <w:b/>
                <w:color w:val="0B3A67"/>
                <w:sz w:val="18"/>
              </w:rPr>
              <w:t>Who Uses NodeGuard?</w:t>
            </w:r>
          </w:p>
        </w:tc>
        <w:tc>
          <w:tcPr>
            <w:tcW w:type="dxa" w:w="4860"/>
            <w:vAlign w:val="center"/>
            <w:tcMar>
              <w:top w:w="80" w:type="dxa"/>
              <w:start w:w="120" w:type="dxa"/>
              <w:bottom w:w="80" w:type="dxa"/>
              <w:end w:w="120" w:type="dxa"/>
            </w:tcMar>
          </w:tcPr>
          <w:p>
            <w:r>
              <w:rPr>
                <w:rFonts w:ascii="Calibri" w:hAnsi="Calibri"/>
                <w:b w:val="0"/>
                <w:color w:val="172B3A"/>
                <w:sz w:val="18"/>
              </w:rPr>
              <w:t>Clarify users, responsibilities, and authority boundaries.</w:t>
            </w:r>
          </w:p>
        </w:tc>
        <w:tc>
          <w:tcPr>
            <w:tcW w:type="dxa" w:w="900"/>
            <w:vAlign w:val="center"/>
            <w:tcMar>
              <w:top w:w="80" w:type="dxa"/>
              <w:start w:w="120" w:type="dxa"/>
              <w:bottom w:w="80" w:type="dxa"/>
              <w:end w:w="120" w:type="dxa"/>
            </w:tcMar>
          </w:tcPr>
          <w:p>
            <w:pPr>
              <w:jc w:val="center"/>
            </w:pPr>
            <w:r>
              <w:rPr>
                <w:rFonts w:ascii="Calibri" w:hAnsi="Calibri"/>
                <w:b w:val="0"/>
                <w:color w:val="172B3A"/>
                <w:sz w:val="18"/>
              </w:rPr>
              <w:t>0:45</w:t>
            </w:r>
          </w:p>
        </w:tc>
      </w:tr>
      <w:tr>
        <w:tc>
          <w:tcPr>
            <w:tcW w:type="dxa" w:w="600"/>
            <w:vAlign w:val="center"/>
            <w:tcMar>
              <w:top w:w="80" w:type="dxa"/>
              <w:start w:w="120" w:type="dxa"/>
              <w:bottom w:w="80" w:type="dxa"/>
              <w:end w:w="120" w:type="dxa"/>
            </w:tcMar>
          </w:tcPr>
          <w:p>
            <w:pPr>
              <w:jc w:val="center"/>
            </w:pPr>
            <w:r>
              <w:rPr>
                <w:rFonts w:ascii="Calibri" w:hAnsi="Calibri"/>
                <w:b w:val="0"/>
                <w:color w:val="172B3A"/>
                <w:sz w:val="18"/>
              </w:rPr>
              <w:t>6</w:t>
            </w:r>
          </w:p>
        </w:tc>
        <w:tc>
          <w:tcPr>
            <w:tcW w:type="dxa" w:w="3000"/>
            <w:vAlign w:val="center"/>
            <w:tcMar>
              <w:top w:w="80" w:type="dxa"/>
              <w:start w:w="120" w:type="dxa"/>
              <w:bottom w:w="80" w:type="dxa"/>
              <w:end w:w="120" w:type="dxa"/>
            </w:tcMar>
          </w:tcPr>
          <w:p>
            <w:r>
              <w:rPr>
                <w:rFonts w:ascii="Calibri" w:hAnsi="Calibri"/>
                <w:b/>
                <w:color w:val="0B3A67"/>
                <w:sz w:val="18"/>
              </w:rPr>
              <w:t>The Physical Alert Node</w:t>
            </w:r>
          </w:p>
        </w:tc>
        <w:tc>
          <w:tcPr>
            <w:tcW w:type="dxa" w:w="4860"/>
            <w:vAlign w:val="center"/>
            <w:tcMar>
              <w:top w:w="80" w:type="dxa"/>
              <w:start w:w="120" w:type="dxa"/>
              <w:bottom w:w="80" w:type="dxa"/>
              <w:end w:w="120" w:type="dxa"/>
            </w:tcMar>
          </w:tcPr>
          <w:p>
            <w:r>
              <w:rPr>
                <w:rFonts w:ascii="Calibri" w:hAnsi="Calibri"/>
                <w:b w:val="0"/>
                <w:color w:val="172B3A"/>
                <w:sz w:val="18"/>
              </w:rPr>
              <w:t>Explain the hardware concept in non-technical language.</w:t>
            </w:r>
          </w:p>
        </w:tc>
        <w:tc>
          <w:tcPr>
            <w:tcW w:type="dxa" w:w="900"/>
            <w:vAlign w:val="center"/>
            <w:tcMar>
              <w:top w:w="80" w:type="dxa"/>
              <w:start w:w="120" w:type="dxa"/>
              <w:bottom w:w="80" w:type="dxa"/>
              <w:end w:w="120" w:type="dxa"/>
            </w:tcMar>
          </w:tcPr>
          <w:p>
            <w:pPr>
              <w:jc w:val="center"/>
            </w:pPr>
            <w:r>
              <w:rPr>
                <w:rFonts w:ascii="Calibri" w:hAnsi="Calibri"/>
                <w:b w:val="0"/>
                <w:color w:val="172B3A"/>
                <w:sz w:val="18"/>
              </w:rPr>
              <w:t>0:55</w:t>
            </w:r>
          </w:p>
        </w:tc>
      </w:tr>
      <w:tr>
        <w:tc>
          <w:tcPr>
            <w:tcW w:type="dxa" w:w="600"/>
            <w:vAlign w:val="center"/>
            <w:tcMar>
              <w:top w:w="80" w:type="dxa"/>
              <w:start w:w="120" w:type="dxa"/>
              <w:bottom w:w="80" w:type="dxa"/>
              <w:end w:w="120" w:type="dxa"/>
            </w:tcMar>
          </w:tcPr>
          <w:p>
            <w:pPr>
              <w:jc w:val="center"/>
            </w:pPr>
            <w:r>
              <w:rPr>
                <w:rFonts w:ascii="Calibri" w:hAnsi="Calibri"/>
                <w:b w:val="0"/>
                <w:color w:val="172B3A"/>
                <w:sz w:val="18"/>
              </w:rPr>
              <w:t>7</w:t>
            </w:r>
          </w:p>
        </w:tc>
        <w:tc>
          <w:tcPr>
            <w:tcW w:type="dxa" w:w="3000"/>
            <w:vAlign w:val="center"/>
            <w:tcMar>
              <w:top w:w="80" w:type="dxa"/>
              <w:start w:w="120" w:type="dxa"/>
              <w:bottom w:w="80" w:type="dxa"/>
              <w:end w:w="120" w:type="dxa"/>
            </w:tcMar>
          </w:tcPr>
          <w:p>
            <w:r>
              <w:rPr>
                <w:rFonts w:ascii="Calibri" w:hAnsi="Calibri"/>
                <w:b/>
                <w:color w:val="0B3A67"/>
                <w:sz w:val="18"/>
              </w:rPr>
              <w:t>Three Emergency Categories</w:t>
            </w:r>
          </w:p>
        </w:tc>
        <w:tc>
          <w:tcPr>
            <w:tcW w:type="dxa" w:w="4860"/>
            <w:vAlign w:val="center"/>
            <w:tcMar>
              <w:top w:w="80" w:type="dxa"/>
              <w:start w:w="120" w:type="dxa"/>
              <w:bottom w:w="80" w:type="dxa"/>
              <w:end w:w="120" w:type="dxa"/>
            </w:tcMar>
          </w:tcPr>
          <w:p>
            <w:r>
              <w:rPr>
                <w:rFonts w:ascii="Calibri" w:hAnsi="Calibri"/>
                <w:b w:val="0"/>
                <w:color w:val="172B3A"/>
                <w:sz w:val="18"/>
              </w:rPr>
              <w:t>Show how NodeGuard structures the initial alert.</w:t>
            </w:r>
          </w:p>
        </w:tc>
        <w:tc>
          <w:tcPr>
            <w:tcW w:type="dxa" w:w="900"/>
            <w:vAlign w:val="center"/>
            <w:tcMar>
              <w:top w:w="80" w:type="dxa"/>
              <w:start w:w="120" w:type="dxa"/>
              <w:bottom w:w="80" w:type="dxa"/>
              <w:end w:w="120" w:type="dxa"/>
            </w:tcMar>
          </w:tcPr>
          <w:p>
            <w:pPr>
              <w:jc w:val="center"/>
            </w:pPr>
            <w:r>
              <w:rPr>
                <w:rFonts w:ascii="Calibri" w:hAnsi="Calibri"/>
                <w:b w:val="0"/>
                <w:color w:val="172B3A"/>
                <w:sz w:val="18"/>
              </w:rPr>
              <w:t>0:50</w:t>
            </w:r>
          </w:p>
        </w:tc>
      </w:tr>
      <w:tr>
        <w:tc>
          <w:tcPr>
            <w:tcW w:type="dxa" w:w="600"/>
            <w:vAlign w:val="center"/>
            <w:tcMar>
              <w:top w:w="80" w:type="dxa"/>
              <w:start w:w="120" w:type="dxa"/>
              <w:bottom w:w="80" w:type="dxa"/>
              <w:end w:w="120" w:type="dxa"/>
            </w:tcMar>
          </w:tcPr>
          <w:p>
            <w:pPr>
              <w:jc w:val="center"/>
            </w:pPr>
            <w:r>
              <w:rPr>
                <w:rFonts w:ascii="Calibri" w:hAnsi="Calibri"/>
                <w:b w:val="0"/>
                <w:color w:val="172B3A"/>
                <w:sz w:val="18"/>
              </w:rPr>
              <w:t>8</w:t>
            </w:r>
          </w:p>
        </w:tc>
        <w:tc>
          <w:tcPr>
            <w:tcW w:type="dxa" w:w="3000"/>
            <w:vAlign w:val="center"/>
            <w:tcMar>
              <w:top w:w="80" w:type="dxa"/>
              <w:start w:w="120" w:type="dxa"/>
              <w:bottom w:w="80" w:type="dxa"/>
              <w:end w:w="120" w:type="dxa"/>
            </w:tcMar>
          </w:tcPr>
          <w:p>
            <w:r>
              <w:rPr>
                <w:rFonts w:ascii="Calibri" w:hAnsi="Calibri"/>
                <w:b/>
                <w:color w:val="0B3A67"/>
                <w:sz w:val="18"/>
              </w:rPr>
              <w:t>How an Alert Becomes a Coordinated Response</w:t>
            </w:r>
          </w:p>
        </w:tc>
        <w:tc>
          <w:tcPr>
            <w:tcW w:type="dxa" w:w="4860"/>
            <w:vAlign w:val="center"/>
            <w:tcMar>
              <w:top w:w="80" w:type="dxa"/>
              <w:start w:w="120" w:type="dxa"/>
              <w:bottom w:w="80" w:type="dxa"/>
              <w:end w:w="120" w:type="dxa"/>
            </w:tcMar>
          </w:tcPr>
          <w:p>
            <w:r>
              <w:rPr>
                <w:rFonts w:ascii="Calibri" w:hAnsi="Calibri"/>
                <w:b w:val="0"/>
                <w:color w:val="172B3A"/>
                <w:sz w:val="18"/>
              </w:rPr>
              <w:t>Explain the complete workflow from activation to closure.</w:t>
            </w:r>
          </w:p>
        </w:tc>
        <w:tc>
          <w:tcPr>
            <w:tcW w:type="dxa" w:w="900"/>
            <w:vAlign w:val="center"/>
            <w:tcMar>
              <w:top w:w="80" w:type="dxa"/>
              <w:start w:w="120" w:type="dxa"/>
              <w:bottom w:w="80" w:type="dxa"/>
              <w:end w:w="120" w:type="dxa"/>
            </w:tcMar>
          </w:tcPr>
          <w:p>
            <w:pPr>
              <w:jc w:val="center"/>
            </w:pPr>
            <w:r>
              <w:rPr>
                <w:rFonts w:ascii="Calibri" w:hAnsi="Calibri"/>
                <w:b w:val="0"/>
                <w:color w:val="172B3A"/>
                <w:sz w:val="18"/>
              </w:rPr>
              <w:t>1:30</w:t>
            </w:r>
          </w:p>
        </w:tc>
      </w:tr>
      <w:tr>
        <w:tc>
          <w:tcPr>
            <w:tcW w:type="dxa" w:w="600"/>
            <w:vAlign w:val="center"/>
            <w:tcMar>
              <w:top w:w="80" w:type="dxa"/>
              <w:start w:w="120" w:type="dxa"/>
              <w:bottom w:w="80" w:type="dxa"/>
              <w:end w:w="120" w:type="dxa"/>
            </w:tcMar>
          </w:tcPr>
          <w:p>
            <w:pPr>
              <w:jc w:val="center"/>
            </w:pPr>
            <w:r>
              <w:rPr>
                <w:rFonts w:ascii="Calibri" w:hAnsi="Calibri"/>
                <w:b w:val="0"/>
                <w:color w:val="172B3A"/>
                <w:sz w:val="18"/>
              </w:rPr>
              <w:t>9</w:t>
            </w:r>
          </w:p>
        </w:tc>
        <w:tc>
          <w:tcPr>
            <w:tcW w:type="dxa" w:w="3000"/>
            <w:vAlign w:val="center"/>
            <w:tcMar>
              <w:top w:w="80" w:type="dxa"/>
              <w:start w:w="120" w:type="dxa"/>
              <w:bottom w:w="80" w:type="dxa"/>
              <w:end w:w="120" w:type="dxa"/>
            </w:tcMar>
          </w:tcPr>
          <w:p>
            <w:r>
              <w:rPr>
                <w:rFonts w:ascii="Calibri" w:hAnsi="Calibri"/>
                <w:b/>
                <w:color w:val="0B3A67"/>
                <w:sz w:val="18"/>
              </w:rPr>
              <w:t>The MDRRMO Coordination Website</w:t>
            </w:r>
          </w:p>
        </w:tc>
        <w:tc>
          <w:tcPr>
            <w:tcW w:type="dxa" w:w="4860"/>
            <w:vAlign w:val="center"/>
            <w:tcMar>
              <w:top w:w="80" w:type="dxa"/>
              <w:start w:w="120" w:type="dxa"/>
              <w:bottom w:w="80" w:type="dxa"/>
              <w:end w:w="120" w:type="dxa"/>
            </w:tcMar>
          </w:tcPr>
          <w:p>
            <w:r>
              <w:rPr>
                <w:rFonts w:ascii="Calibri" w:hAnsi="Calibri"/>
                <w:b w:val="0"/>
                <w:color w:val="172B3A"/>
                <w:sz w:val="18"/>
              </w:rPr>
              <w:t>Present the website as the operations center rather than a general public website.</w:t>
            </w:r>
          </w:p>
        </w:tc>
        <w:tc>
          <w:tcPr>
            <w:tcW w:type="dxa" w:w="900"/>
            <w:vAlign w:val="center"/>
            <w:tcMar>
              <w:top w:w="80" w:type="dxa"/>
              <w:start w:w="120" w:type="dxa"/>
              <w:bottom w:w="80" w:type="dxa"/>
              <w:end w:w="120" w:type="dxa"/>
            </w:tcMar>
          </w:tcPr>
          <w:p>
            <w:pPr>
              <w:jc w:val="center"/>
            </w:pPr>
            <w:r>
              <w:rPr>
                <w:rFonts w:ascii="Calibri" w:hAnsi="Calibri"/>
                <w:b w:val="0"/>
                <w:color w:val="172B3A"/>
                <w:sz w:val="18"/>
              </w:rPr>
              <w:t>1:00</w:t>
            </w:r>
          </w:p>
        </w:tc>
      </w:tr>
      <w:tr>
        <w:tc>
          <w:tcPr>
            <w:tcW w:type="dxa" w:w="600"/>
            <w:vAlign w:val="center"/>
            <w:tcMar>
              <w:top w:w="80" w:type="dxa"/>
              <w:start w:w="120" w:type="dxa"/>
              <w:bottom w:w="80" w:type="dxa"/>
              <w:end w:w="120" w:type="dxa"/>
            </w:tcMar>
          </w:tcPr>
          <w:p>
            <w:pPr>
              <w:jc w:val="center"/>
            </w:pPr>
            <w:r>
              <w:rPr>
                <w:rFonts w:ascii="Calibri" w:hAnsi="Calibri"/>
                <w:b w:val="0"/>
                <w:color w:val="172B3A"/>
                <w:sz w:val="18"/>
              </w:rPr>
              <w:t>10</w:t>
            </w:r>
          </w:p>
        </w:tc>
        <w:tc>
          <w:tcPr>
            <w:tcW w:type="dxa" w:w="3000"/>
            <w:vAlign w:val="center"/>
            <w:tcMar>
              <w:top w:w="80" w:type="dxa"/>
              <w:start w:w="120" w:type="dxa"/>
              <w:bottom w:w="80" w:type="dxa"/>
              <w:end w:w="120" w:type="dxa"/>
            </w:tcMar>
          </w:tcPr>
          <w:p>
            <w:r>
              <w:rPr>
                <w:rFonts w:ascii="Calibri" w:hAnsi="Calibri"/>
                <w:b/>
                <w:color w:val="0B3A67"/>
                <w:sz w:val="18"/>
              </w:rPr>
              <w:t>The Personnel Responder Application</w:t>
            </w:r>
          </w:p>
        </w:tc>
        <w:tc>
          <w:tcPr>
            <w:tcW w:type="dxa" w:w="4860"/>
            <w:vAlign w:val="center"/>
            <w:tcMar>
              <w:top w:w="80" w:type="dxa"/>
              <w:start w:w="120" w:type="dxa"/>
              <w:bottom w:w="80" w:type="dxa"/>
              <w:end w:w="120" w:type="dxa"/>
            </w:tcMar>
          </w:tcPr>
          <w:p>
            <w:r>
              <w:rPr>
                <w:rFonts w:ascii="Calibri" w:hAnsi="Calibri"/>
                <w:b w:val="0"/>
                <w:color w:val="172B3A"/>
                <w:sz w:val="18"/>
              </w:rPr>
              <w:t>Explain what responders can do on a phone in the field.</w:t>
            </w:r>
          </w:p>
        </w:tc>
        <w:tc>
          <w:tcPr>
            <w:tcW w:type="dxa" w:w="900"/>
            <w:vAlign w:val="center"/>
            <w:tcMar>
              <w:top w:w="80" w:type="dxa"/>
              <w:start w:w="120" w:type="dxa"/>
              <w:bottom w:w="80" w:type="dxa"/>
              <w:end w:w="120" w:type="dxa"/>
            </w:tcMar>
          </w:tcPr>
          <w:p>
            <w:pPr>
              <w:jc w:val="center"/>
            </w:pPr>
            <w:r>
              <w:rPr>
                <w:rFonts w:ascii="Calibri" w:hAnsi="Calibri"/>
                <w:b w:val="0"/>
                <w:color w:val="172B3A"/>
                <w:sz w:val="18"/>
              </w:rPr>
              <w:t>1:00</w:t>
            </w:r>
          </w:p>
        </w:tc>
      </w:tr>
      <w:tr>
        <w:tc>
          <w:tcPr>
            <w:tcW w:type="dxa" w:w="600"/>
            <w:vAlign w:val="center"/>
            <w:tcMar>
              <w:top w:w="80" w:type="dxa"/>
              <w:start w:w="120" w:type="dxa"/>
              <w:bottom w:w="80" w:type="dxa"/>
              <w:end w:w="120" w:type="dxa"/>
            </w:tcMar>
          </w:tcPr>
          <w:p>
            <w:pPr>
              <w:jc w:val="center"/>
            </w:pPr>
            <w:r>
              <w:rPr>
                <w:rFonts w:ascii="Calibri" w:hAnsi="Calibri"/>
                <w:b w:val="0"/>
                <w:color w:val="172B3A"/>
                <w:sz w:val="18"/>
              </w:rPr>
              <w:t>11</w:t>
            </w:r>
          </w:p>
        </w:tc>
        <w:tc>
          <w:tcPr>
            <w:tcW w:type="dxa" w:w="3000"/>
            <w:vAlign w:val="center"/>
            <w:tcMar>
              <w:top w:w="80" w:type="dxa"/>
              <w:start w:w="120" w:type="dxa"/>
              <w:bottom w:w="80" w:type="dxa"/>
              <w:end w:w="120" w:type="dxa"/>
            </w:tcMar>
          </w:tcPr>
          <w:p>
            <w:r>
              <w:rPr>
                <w:rFonts w:ascii="Calibri" w:hAnsi="Calibri"/>
                <w:b/>
                <w:color w:val="0B3A67"/>
                <w:sz w:val="18"/>
              </w:rPr>
              <w:t>Designed for Low Connectivity</w:t>
            </w:r>
          </w:p>
        </w:tc>
        <w:tc>
          <w:tcPr>
            <w:tcW w:type="dxa" w:w="4860"/>
            <w:vAlign w:val="center"/>
            <w:tcMar>
              <w:top w:w="80" w:type="dxa"/>
              <w:start w:w="120" w:type="dxa"/>
              <w:bottom w:w="80" w:type="dxa"/>
              <w:end w:w="120" w:type="dxa"/>
            </w:tcMar>
          </w:tcPr>
          <w:p>
            <w:r>
              <w:rPr>
                <w:rFonts w:ascii="Calibri" w:hAnsi="Calibri"/>
                <w:b w:val="0"/>
                <w:color w:val="172B3A"/>
                <w:sz w:val="18"/>
              </w:rPr>
              <w:t>Show how NodeGuard responds to Benguet's connectivity constraints.</w:t>
            </w:r>
          </w:p>
        </w:tc>
        <w:tc>
          <w:tcPr>
            <w:tcW w:type="dxa" w:w="900"/>
            <w:vAlign w:val="center"/>
            <w:tcMar>
              <w:top w:w="80" w:type="dxa"/>
              <w:start w:w="120" w:type="dxa"/>
              <w:bottom w:w="80" w:type="dxa"/>
              <w:end w:w="120" w:type="dxa"/>
            </w:tcMar>
          </w:tcPr>
          <w:p>
            <w:pPr>
              <w:jc w:val="center"/>
            </w:pPr>
            <w:r>
              <w:rPr>
                <w:rFonts w:ascii="Calibri" w:hAnsi="Calibri"/>
                <w:b w:val="0"/>
                <w:color w:val="172B3A"/>
                <w:sz w:val="18"/>
              </w:rPr>
              <w:t>1:00</w:t>
            </w:r>
          </w:p>
        </w:tc>
      </w:tr>
      <w:tr>
        <w:tc>
          <w:tcPr>
            <w:tcW w:type="dxa" w:w="600"/>
            <w:vAlign w:val="center"/>
            <w:tcMar>
              <w:top w:w="80" w:type="dxa"/>
              <w:start w:w="120" w:type="dxa"/>
              <w:bottom w:w="80" w:type="dxa"/>
              <w:end w:w="120" w:type="dxa"/>
            </w:tcMar>
          </w:tcPr>
          <w:p>
            <w:pPr>
              <w:jc w:val="center"/>
            </w:pPr>
            <w:r>
              <w:rPr>
                <w:rFonts w:ascii="Calibri" w:hAnsi="Calibri"/>
                <w:b w:val="0"/>
                <w:color w:val="172B3A"/>
                <w:sz w:val="18"/>
              </w:rPr>
              <w:t>12</w:t>
            </w:r>
          </w:p>
        </w:tc>
        <w:tc>
          <w:tcPr>
            <w:tcW w:type="dxa" w:w="3000"/>
            <w:vAlign w:val="center"/>
            <w:tcMar>
              <w:top w:w="80" w:type="dxa"/>
              <w:start w:w="120" w:type="dxa"/>
              <w:bottom w:w="80" w:type="dxa"/>
              <w:end w:w="120" w:type="dxa"/>
            </w:tcMar>
          </w:tcPr>
          <w:p>
            <w:r>
              <w:rPr>
                <w:rFonts w:ascii="Calibri" w:hAnsi="Calibri"/>
                <w:b/>
                <w:color w:val="0B3A67"/>
                <w:sz w:val="18"/>
              </w:rPr>
              <w:t>Safe-Trigger and Ready / Set / Go UX</w:t>
            </w:r>
          </w:p>
        </w:tc>
        <w:tc>
          <w:tcPr>
            <w:tcW w:type="dxa" w:w="4860"/>
            <w:vAlign w:val="center"/>
            <w:tcMar>
              <w:top w:w="80" w:type="dxa"/>
              <w:start w:w="120" w:type="dxa"/>
              <w:bottom w:w="80" w:type="dxa"/>
              <w:end w:w="120" w:type="dxa"/>
            </w:tcMar>
          </w:tcPr>
          <w:p>
            <w:r>
              <w:rPr>
                <w:rFonts w:ascii="Calibri" w:hAnsi="Calibri"/>
                <w:b w:val="0"/>
                <w:color w:val="172B3A"/>
                <w:sz w:val="18"/>
              </w:rPr>
              <w:t>Explain the safety logic behind color and confirmation design.</w:t>
            </w:r>
          </w:p>
        </w:tc>
        <w:tc>
          <w:tcPr>
            <w:tcW w:type="dxa" w:w="900"/>
            <w:vAlign w:val="center"/>
            <w:tcMar>
              <w:top w:w="80" w:type="dxa"/>
              <w:start w:w="120" w:type="dxa"/>
              <w:bottom w:w="80" w:type="dxa"/>
              <w:end w:w="120" w:type="dxa"/>
            </w:tcMar>
          </w:tcPr>
          <w:p>
            <w:pPr>
              <w:jc w:val="center"/>
            </w:pPr>
            <w:r>
              <w:rPr>
                <w:rFonts w:ascii="Calibri" w:hAnsi="Calibri"/>
                <w:b w:val="0"/>
                <w:color w:val="172B3A"/>
                <w:sz w:val="18"/>
              </w:rPr>
              <w:t>1:00</w:t>
            </w:r>
          </w:p>
        </w:tc>
      </w:tr>
      <w:tr>
        <w:tc>
          <w:tcPr>
            <w:tcW w:type="dxa" w:w="600"/>
            <w:vAlign w:val="center"/>
            <w:tcMar>
              <w:top w:w="80" w:type="dxa"/>
              <w:start w:w="120" w:type="dxa"/>
              <w:bottom w:w="80" w:type="dxa"/>
              <w:end w:w="120" w:type="dxa"/>
            </w:tcMar>
          </w:tcPr>
          <w:p>
            <w:pPr>
              <w:jc w:val="center"/>
            </w:pPr>
            <w:r>
              <w:rPr>
                <w:rFonts w:ascii="Calibri" w:hAnsi="Calibri"/>
                <w:b w:val="0"/>
                <w:color w:val="172B3A"/>
                <w:sz w:val="18"/>
              </w:rPr>
              <w:t>13</w:t>
            </w:r>
          </w:p>
        </w:tc>
        <w:tc>
          <w:tcPr>
            <w:tcW w:type="dxa" w:w="3000"/>
            <w:vAlign w:val="center"/>
            <w:tcMar>
              <w:top w:w="80" w:type="dxa"/>
              <w:start w:w="120" w:type="dxa"/>
              <w:bottom w:w="80" w:type="dxa"/>
              <w:end w:w="120" w:type="dxa"/>
            </w:tcMar>
          </w:tcPr>
          <w:p>
            <w:r>
              <w:rPr>
                <w:rFonts w:ascii="Calibri" w:hAnsi="Calibri"/>
                <w:b/>
                <w:color w:val="0B3A67"/>
                <w:sz w:val="18"/>
              </w:rPr>
              <w:t>System Architecture and Data Flow</w:t>
            </w:r>
          </w:p>
        </w:tc>
        <w:tc>
          <w:tcPr>
            <w:tcW w:type="dxa" w:w="4860"/>
            <w:vAlign w:val="center"/>
            <w:tcMar>
              <w:top w:w="80" w:type="dxa"/>
              <w:start w:w="120" w:type="dxa"/>
              <w:bottom w:w="80" w:type="dxa"/>
              <w:end w:w="120" w:type="dxa"/>
            </w:tcMar>
          </w:tcPr>
          <w:p>
            <w:r>
              <w:rPr>
                <w:rFonts w:ascii="Calibri" w:hAnsi="Calibri"/>
                <w:b w:val="0"/>
                <w:color w:val="172B3A"/>
                <w:sz w:val="18"/>
              </w:rPr>
              <w:t>Give a technical overview without overwhelming a general audience.</w:t>
            </w:r>
          </w:p>
        </w:tc>
        <w:tc>
          <w:tcPr>
            <w:tcW w:type="dxa" w:w="900"/>
            <w:vAlign w:val="center"/>
            <w:tcMar>
              <w:top w:w="80" w:type="dxa"/>
              <w:start w:w="120" w:type="dxa"/>
              <w:bottom w:w="80" w:type="dxa"/>
              <w:end w:w="120" w:type="dxa"/>
            </w:tcMar>
          </w:tcPr>
          <w:p>
            <w:pPr>
              <w:jc w:val="center"/>
            </w:pPr>
            <w:r>
              <w:rPr>
                <w:rFonts w:ascii="Calibri" w:hAnsi="Calibri"/>
                <w:b w:val="0"/>
                <w:color w:val="172B3A"/>
                <w:sz w:val="18"/>
              </w:rPr>
              <w:t>1:15</w:t>
            </w:r>
          </w:p>
        </w:tc>
      </w:tr>
      <w:tr>
        <w:tc>
          <w:tcPr>
            <w:tcW w:type="dxa" w:w="600"/>
            <w:vAlign w:val="center"/>
            <w:tcMar>
              <w:top w:w="80" w:type="dxa"/>
              <w:start w:w="120" w:type="dxa"/>
              <w:bottom w:w="80" w:type="dxa"/>
              <w:end w:w="120" w:type="dxa"/>
            </w:tcMar>
          </w:tcPr>
          <w:p>
            <w:pPr>
              <w:jc w:val="center"/>
            </w:pPr>
            <w:r>
              <w:rPr>
                <w:rFonts w:ascii="Calibri" w:hAnsi="Calibri"/>
                <w:b w:val="0"/>
                <w:color w:val="172B3A"/>
                <w:sz w:val="18"/>
              </w:rPr>
              <w:t>14</w:t>
            </w:r>
          </w:p>
        </w:tc>
        <w:tc>
          <w:tcPr>
            <w:tcW w:type="dxa" w:w="3000"/>
            <w:vAlign w:val="center"/>
            <w:tcMar>
              <w:top w:w="80" w:type="dxa"/>
              <w:start w:w="120" w:type="dxa"/>
              <w:bottom w:w="80" w:type="dxa"/>
              <w:end w:w="120" w:type="dxa"/>
            </w:tcMar>
          </w:tcPr>
          <w:p>
            <w:r>
              <w:rPr>
                <w:rFonts w:ascii="Calibri" w:hAnsi="Calibri"/>
                <w:b/>
                <w:color w:val="0B3A67"/>
                <w:sz w:val="18"/>
              </w:rPr>
              <w:t>Medical Emergency Scenario</w:t>
            </w:r>
          </w:p>
        </w:tc>
        <w:tc>
          <w:tcPr>
            <w:tcW w:type="dxa" w:w="4860"/>
            <w:vAlign w:val="center"/>
            <w:tcMar>
              <w:top w:w="80" w:type="dxa"/>
              <w:start w:w="120" w:type="dxa"/>
              <w:bottom w:w="80" w:type="dxa"/>
              <w:end w:w="120" w:type="dxa"/>
            </w:tcMar>
          </w:tcPr>
          <w:p>
            <w:r>
              <w:rPr>
                <w:rFonts w:ascii="Calibri" w:hAnsi="Calibri"/>
                <w:b w:val="0"/>
                <w:color w:val="172B3A"/>
                <w:sz w:val="18"/>
              </w:rPr>
              <w:t>Turn the abstract workflow into a realistic, memorable story.</w:t>
            </w:r>
          </w:p>
        </w:tc>
        <w:tc>
          <w:tcPr>
            <w:tcW w:type="dxa" w:w="900"/>
            <w:vAlign w:val="center"/>
            <w:tcMar>
              <w:top w:w="80" w:type="dxa"/>
              <w:start w:w="120" w:type="dxa"/>
              <w:bottom w:w="80" w:type="dxa"/>
              <w:end w:w="120" w:type="dxa"/>
            </w:tcMar>
          </w:tcPr>
          <w:p>
            <w:pPr>
              <w:jc w:val="center"/>
            </w:pPr>
            <w:r>
              <w:rPr>
                <w:rFonts w:ascii="Calibri" w:hAnsi="Calibri"/>
                <w:b w:val="0"/>
                <w:color w:val="172B3A"/>
                <w:sz w:val="18"/>
              </w:rPr>
              <w:t>1:30</w:t>
            </w:r>
          </w:p>
        </w:tc>
      </w:tr>
      <w:tr>
        <w:tc>
          <w:tcPr>
            <w:tcW w:type="dxa" w:w="600"/>
            <w:vAlign w:val="center"/>
            <w:tcMar>
              <w:top w:w="80" w:type="dxa"/>
              <w:start w:w="120" w:type="dxa"/>
              <w:bottom w:w="80" w:type="dxa"/>
              <w:end w:w="120" w:type="dxa"/>
            </w:tcMar>
          </w:tcPr>
          <w:p>
            <w:pPr>
              <w:jc w:val="center"/>
            </w:pPr>
            <w:r>
              <w:rPr>
                <w:rFonts w:ascii="Calibri" w:hAnsi="Calibri"/>
                <w:b w:val="0"/>
                <w:color w:val="172B3A"/>
                <w:sz w:val="18"/>
              </w:rPr>
              <w:t>15</w:t>
            </w:r>
          </w:p>
        </w:tc>
        <w:tc>
          <w:tcPr>
            <w:tcW w:type="dxa" w:w="3000"/>
            <w:vAlign w:val="center"/>
            <w:tcMar>
              <w:top w:w="80" w:type="dxa"/>
              <w:start w:w="120" w:type="dxa"/>
              <w:bottom w:w="80" w:type="dxa"/>
              <w:end w:w="120" w:type="dxa"/>
            </w:tcMar>
          </w:tcPr>
          <w:p>
            <w:r>
              <w:rPr>
                <w:rFonts w:ascii="Calibri" w:hAnsi="Calibri"/>
                <w:b/>
                <w:color w:val="0B3A67"/>
                <w:sz w:val="18"/>
              </w:rPr>
              <w:t>Maps, Records, Reports, and Analytics</w:t>
            </w:r>
          </w:p>
        </w:tc>
        <w:tc>
          <w:tcPr>
            <w:tcW w:type="dxa" w:w="4860"/>
            <w:vAlign w:val="center"/>
            <w:tcMar>
              <w:top w:w="80" w:type="dxa"/>
              <w:start w:w="120" w:type="dxa"/>
              <w:bottom w:w="80" w:type="dxa"/>
              <w:end w:w="120" w:type="dxa"/>
            </w:tcMar>
          </w:tcPr>
          <w:p>
            <w:r>
              <w:rPr>
                <w:rFonts w:ascii="Calibri" w:hAnsi="Calibri"/>
                <w:b w:val="0"/>
                <w:color w:val="172B3A"/>
                <w:sz w:val="18"/>
              </w:rPr>
              <w:t>Explain the longer-term value of consistent incident information.</w:t>
            </w:r>
          </w:p>
        </w:tc>
        <w:tc>
          <w:tcPr>
            <w:tcW w:type="dxa" w:w="900"/>
            <w:vAlign w:val="center"/>
            <w:tcMar>
              <w:top w:w="80" w:type="dxa"/>
              <w:start w:w="120" w:type="dxa"/>
              <w:bottom w:w="80" w:type="dxa"/>
              <w:end w:w="120" w:type="dxa"/>
            </w:tcMar>
          </w:tcPr>
          <w:p>
            <w:pPr>
              <w:jc w:val="center"/>
            </w:pPr>
            <w:r>
              <w:rPr>
                <w:rFonts w:ascii="Calibri" w:hAnsi="Calibri"/>
                <w:b w:val="0"/>
                <w:color w:val="172B3A"/>
                <w:sz w:val="18"/>
              </w:rPr>
              <w:t>0:55</w:t>
            </w:r>
          </w:p>
        </w:tc>
      </w:tr>
      <w:tr>
        <w:tc>
          <w:tcPr>
            <w:tcW w:type="dxa" w:w="600"/>
            <w:vAlign w:val="center"/>
            <w:tcMar>
              <w:top w:w="80" w:type="dxa"/>
              <w:start w:w="120" w:type="dxa"/>
              <w:bottom w:w="80" w:type="dxa"/>
              <w:end w:w="120" w:type="dxa"/>
            </w:tcMar>
          </w:tcPr>
          <w:p>
            <w:pPr>
              <w:jc w:val="center"/>
            </w:pPr>
            <w:r>
              <w:rPr>
                <w:rFonts w:ascii="Calibri" w:hAnsi="Calibri"/>
                <w:b w:val="0"/>
                <w:color w:val="172B3A"/>
                <w:sz w:val="18"/>
              </w:rPr>
              <w:t>16</w:t>
            </w:r>
          </w:p>
        </w:tc>
        <w:tc>
          <w:tcPr>
            <w:tcW w:type="dxa" w:w="3000"/>
            <w:vAlign w:val="center"/>
            <w:tcMar>
              <w:top w:w="80" w:type="dxa"/>
              <w:start w:w="120" w:type="dxa"/>
              <w:bottom w:w="80" w:type="dxa"/>
              <w:end w:w="120" w:type="dxa"/>
            </w:tcMar>
          </w:tcPr>
          <w:p>
            <w:r>
              <w:rPr>
                <w:rFonts w:ascii="Calibri" w:hAnsi="Calibri"/>
                <w:b/>
                <w:color w:val="0B3A67"/>
                <w:sz w:val="18"/>
              </w:rPr>
              <w:t>Expected Benefits and Significance</w:t>
            </w:r>
          </w:p>
        </w:tc>
        <w:tc>
          <w:tcPr>
            <w:tcW w:type="dxa" w:w="4860"/>
            <w:vAlign w:val="center"/>
            <w:tcMar>
              <w:top w:w="80" w:type="dxa"/>
              <w:start w:w="120" w:type="dxa"/>
              <w:bottom w:w="80" w:type="dxa"/>
              <w:end w:w="120" w:type="dxa"/>
            </w:tcMar>
          </w:tcPr>
          <w:p>
            <w:r>
              <w:rPr>
                <w:rFonts w:ascii="Calibri" w:hAnsi="Calibri"/>
                <w:b w:val="0"/>
                <w:color w:val="172B3A"/>
                <w:sz w:val="18"/>
              </w:rPr>
              <w:t>Connect system functions to practical stakeholder value.</w:t>
            </w:r>
          </w:p>
        </w:tc>
        <w:tc>
          <w:tcPr>
            <w:tcW w:type="dxa" w:w="900"/>
            <w:vAlign w:val="center"/>
            <w:tcMar>
              <w:top w:w="80" w:type="dxa"/>
              <w:start w:w="120" w:type="dxa"/>
              <w:bottom w:w="80" w:type="dxa"/>
              <w:end w:w="120" w:type="dxa"/>
            </w:tcMar>
          </w:tcPr>
          <w:p>
            <w:pPr>
              <w:jc w:val="center"/>
            </w:pPr>
            <w:r>
              <w:rPr>
                <w:rFonts w:ascii="Calibri" w:hAnsi="Calibri"/>
                <w:b w:val="0"/>
                <w:color w:val="172B3A"/>
                <w:sz w:val="18"/>
              </w:rPr>
              <w:t>1:00</w:t>
            </w:r>
          </w:p>
        </w:tc>
      </w:tr>
      <w:tr>
        <w:tc>
          <w:tcPr>
            <w:tcW w:type="dxa" w:w="600"/>
            <w:vAlign w:val="center"/>
            <w:tcMar>
              <w:top w:w="80" w:type="dxa"/>
              <w:start w:w="120" w:type="dxa"/>
              <w:bottom w:w="80" w:type="dxa"/>
              <w:end w:w="120" w:type="dxa"/>
            </w:tcMar>
          </w:tcPr>
          <w:p>
            <w:pPr>
              <w:jc w:val="center"/>
            </w:pPr>
            <w:r>
              <w:rPr>
                <w:rFonts w:ascii="Calibri" w:hAnsi="Calibri"/>
                <w:b w:val="0"/>
                <w:color w:val="172B3A"/>
                <w:sz w:val="18"/>
              </w:rPr>
              <w:t>17</w:t>
            </w:r>
          </w:p>
        </w:tc>
        <w:tc>
          <w:tcPr>
            <w:tcW w:type="dxa" w:w="3000"/>
            <w:vAlign w:val="center"/>
            <w:tcMar>
              <w:top w:w="80" w:type="dxa"/>
              <w:start w:w="120" w:type="dxa"/>
              <w:bottom w:w="80" w:type="dxa"/>
              <w:end w:w="120" w:type="dxa"/>
            </w:tcMar>
          </w:tcPr>
          <w:p>
            <w:r>
              <w:rPr>
                <w:rFonts w:ascii="Calibri" w:hAnsi="Calibri"/>
                <w:b/>
                <w:color w:val="0B3A67"/>
                <w:sz w:val="18"/>
              </w:rPr>
              <w:t>Scope, Boundaries, and Limitations</w:t>
            </w:r>
          </w:p>
        </w:tc>
        <w:tc>
          <w:tcPr>
            <w:tcW w:type="dxa" w:w="4860"/>
            <w:vAlign w:val="center"/>
            <w:tcMar>
              <w:top w:w="80" w:type="dxa"/>
              <w:start w:w="120" w:type="dxa"/>
              <w:bottom w:w="80" w:type="dxa"/>
              <w:end w:w="120" w:type="dxa"/>
            </w:tcMar>
          </w:tcPr>
          <w:p>
            <w:r>
              <w:rPr>
                <w:rFonts w:ascii="Calibri" w:hAnsi="Calibri"/>
                <w:b w:val="0"/>
                <w:color w:val="172B3A"/>
                <w:sz w:val="18"/>
              </w:rPr>
              <w:t>Prevent overclaiming and show responsible project framing.</w:t>
            </w:r>
          </w:p>
        </w:tc>
        <w:tc>
          <w:tcPr>
            <w:tcW w:type="dxa" w:w="900"/>
            <w:vAlign w:val="center"/>
            <w:tcMar>
              <w:top w:w="80" w:type="dxa"/>
              <w:start w:w="120" w:type="dxa"/>
              <w:bottom w:w="80" w:type="dxa"/>
              <w:end w:w="120" w:type="dxa"/>
            </w:tcMar>
          </w:tcPr>
          <w:p>
            <w:pPr>
              <w:jc w:val="center"/>
            </w:pPr>
            <w:r>
              <w:rPr>
                <w:rFonts w:ascii="Calibri" w:hAnsi="Calibri"/>
                <w:b w:val="0"/>
                <w:color w:val="172B3A"/>
                <w:sz w:val="18"/>
              </w:rPr>
              <w:t>1:00</w:t>
            </w:r>
          </w:p>
        </w:tc>
      </w:tr>
      <w:tr>
        <w:tc>
          <w:tcPr>
            <w:tcW w:type="dxa" w:w="600"/>
            <w:vAlign w:val="center"/>
            <w:tcMar>
              <w:top w:w="80" w:type="dxa"/>
              <w:start w:w="120" w:type="dxa"/>
              <w:bottom w:w="80" w:type="dxa"/>
              <w:end w:w="120" w:type="dxa"/>
            </w:tcMar>
          </w:tcPr>
          <w:p>
            <w:pPr>
              <w:jc w:val="center"/>
            </w:pPr>
            <w:r>
              <w:rPr>
                <w:rFonts w:ascii="Calibri" w:hAnsi="Calibri"/>
                <w:b w:val="0"/>
                <w:color w:val="172B3A"/>
                <w:sz w:val="18"/>
              </w:rPr>
              <w:t>18</w:t>
            </w:r>
          </w:p>
        </w:tc>
        <w:tc>
          <w:tcPr>
            <w:tcW w:type="dxa" w:w="3000"/>
            <w:vAlign w:val="center"/>
            <w:tcMar>
              <w:top w:w="80" w:type="dxa"/>
              <w:start w:w="120" w:type="dxa"/>
              <w:bottom w:w="80" w:type="dxa"/>
              <w:end w:w="120" w:type="dxa"/>
            </w:tcMar>
          </w:tcPr>
          <w:p>
            <w:r>
              <w:rPr>
                <w:rFonts w:ascii="Calibri" w:hAnsi="Calibri"/>
                <w:b/>
                <w:color w:val="0B3A67"/>
                <w:sz w:val="18"/>
              </w:rPr>
              <w:t>Development Methodology and Evaluation</w:t>
            </w:r>
          </w:p>
        </w:tc>
        <w:tc>
          <w:tcPr>
            <w:tcW w:type="dxa" w:w="4860"/>
            <w:vAlign w:val="center"/>
            <w:tcMar>
              <w:top w:w="80" w:type="dxa"/>
              <w:start w:w="120" w:type="dxa"/>
              <w:bottom w:w="80" w:type="dxa"/>
              <w:end w:w="120" w:type="dxa"/>
            </w:tcMar>
          </w:tcPr>
          <w:p>
            <w:r>
              <w:rPr>
                <w:rFonts w:ascii="Calibri" w:hAnsi="Calibri"/>
                <w:b w:val="0"/>
                <w:color w:val="172B3A"/>
                <w:sz w:val="18"/>
              </w:rPr>
              <w:t>Summarize how the system is designed, built, and assessed.</w:t>
            </w:r>
          </w:p>
        </w:tc>
        <w:tc>
          <w:tcPr>
            <w:tcW w:type="dxa" w:w="900"/>
            <w:vAlign w:val="center"/>
            <w:tcMar>
              <w:top w:w="80" w:type="dxa"/>
              <w:start w:w="120" w:type="dxa"/>
              <w:bottom w:w="80" w:type="dxa"/>
              <w:end w:w="120" w:type="dxa"/>
            </w:tcMar>
          </w:tcPr>
          <w:p>
            <w:pPr>
              <w:jc w:val="center"/>
            </w:pPr>
            <w:r>
              <w:rPr>
                <w:rFonts w:ascii="Calibri" w:hAnsi="Calibri"/>
                <w:b w:val="0"/>
                <w:color w:val="172B3A"/>
                <w:sz w:val="18"/>
              </w:rPr>
              <w:t>1:00</w:t>
            </w:r>
          </w:p>
        </w:tc>
      </w:tr>
      <w:tr>
        <w:tc>
          <w:tcPr>
            <w:tcW w:type="dxa" w:w="600"/>
            <w:vAlign w:val="center"/>
            <w:tcMar>
              <w:top w:w="80" w:type="dxa"/>
              <w:start w:w="120" w:type="dxa"/>
              <w:bottom w:w="80" w:type="dxa"/>
              <w:end w:w="120" w:type="dxa"/>
            </w:tcMar>
          </w:tcPr>
          <w:p>
            <w:pPr>
              <w:jc w:val="center"/>
            </w:pPr>
            <w:r>
              <w:rPr>
                <w:rFonts w:ascii="Calibri" w:hAnsi="Calibri"/>
                <w:b w:val="0"/>
                <w:color w:val="172B3A"/>
                <w:sz w:val="18"/>
              </w:rPr>
              <w:t>19</w:t>
            </w:r>
          </w:p>
        </w:tc>
        <w:tc>
          <w:tcPr>
            <w:tcW w:type="dxa" w:w="3000"/>
            <w:vAlign w:val="center"/>
            <w:tcMar>
              <w:top w:w="80" w:type="dxa"/>
              <w:start w:w="120" w:type="dxa"/>
              <w:bottom w:w="80" w:type="dxa"/>
              <w:end w:w="120" w:type="dxa"/>
            </w:tcMar>
          </w:tcPr>
          <w:p>
            <w:r>
              <w:rPr>
                <w:rFonts w:ascii="Calibri" w:hAnsi="Calibri"/>
                <w:b/>
                <w:color w:val="0B3A67"/>
                <w:sz w:val="18"/>
              </w:rPr>
              <w:t>Deployment Readiness and Next Steps</w:t>
            </w:r>
          </w:p>
        </w:tc>
        <w:tc>
          <w:tcPr>
            <w:tcW w:type="dxa" w:w="4860"/>
            <w:vAlign w:val="center"/>
            <w:tcMar>
              <w:top w:w="80" w:type="dxa"/>
              <w:start w:w="120" w:type="dxa"/>
              <w:bottom w:w="80" w:type="dxa"/>
              <w:end w:w="120" w:type="dxa"/>
            </w:tcMar>
          </w:tcPr>
          <w:p>
            <w:r>
              <w:rPr>
                <w:rFonts w:ascii="Calibri" w:hAnsi="Calibri"/>
                <w:b w:val="0"/>
                <w:color w:val="172B3A"/>
                <w:sz w:val="18"/>
              </w:rPr>
              <w:t>Separate completed software work from pilot and field requirements.</w:t>
            </w:r>
          </w:p>
        </w:tc>
        <w:tc>
          <w:tcPr>
            <w:tcW w:type="dxa" w:w="900"/>
            <w:vAlign w:val="center"/>
            <w:tcMar>
              <w:top w:w="80" w:type="dxa"/>
              <w:start w:w="120" w:type="dxa"/>
              <w:bottom w:w="80" w:type="dxa"/>
              <w:end w:w="120" w:type="dxa"/>
            </w:tcMar>
          </w:tcPr>
          <w:p>
            <w:pPr>
              <w:jc w:val="center"/>
            </w:pPr>
            <w:r>
              <w:rPr>
                <w:rFonts w:ascii="Calibri" w:hAnsi="Calibri"/>
                <w:b w:val="0"/>
                <w:color w:val="172B3A"/>
                <w:sz w:val="18"/>
              </w:rPr>
              <w:t>1:00</w:t>
            </w:r>
          </w:p>
        </w:tc>
      </w:tr>
      <w:tr>
        <w:tc>
          <w:tcPr>
            <w:tcW w:type="dxa" w:w="600"/>
            <w:vAlign w:val="center"/>
            <w:tcMar>
              <w:top w:w="80" w:type="dxa"/>
              <w:start w:w="120" w:type="dxa"/>
              <w:bottom w:w="80" w:type="dxa"/>
              <w:end w:w="120" w:type="dxa"/>
            </w:tcMar>
          </w:tcPr>
          <w:p>
            <w:pPr>
              <w:jc w:val="center"/>
            </w:pPr>
            <w:r>
              <w:rPr>
                <w:rFonts w:ascii="Calibri" w:hAnsi="Calibri"/>
                <w:b w:val="0"/>
                <w:color w:val="172B3A"/>
                <w:sz w:val="18"/>
              </w:rPr>
              <w:t>20</w:t>
            </w:r>
          </w:p>
        </w:tc>
        <w:tc>
          <w:tcPr>
            <w:tcW w:type="dxa" w:w="3000"/>
            <w:vAlign w:val="center"/>
            <w:tcMar>
              <w:top w:w="80" w:type="dxa"/>
              <w:start w:w="120" w:type="dxa"/>
              <w:bottom w:w="80" w:type="dxa"/>
              <w:end w:w="120" w:type="dxa"/>
            </w:tcMar>
          </w:tcPr>
          <w:p>
            <w:r>
              <w:rPr>
                <w:rFonts w:ascii="Calibri" w:hAnsi="Calibri"/>
                <w:b/>
                <w:color w:val="0B3A67"/>
                <w:sz w:val="18"/>
              </w:rPr>
              <w:t>Conclusion: What NodeGuard Contributes</w:t>
            </w:r>
          </w:p>
        </w:tc>
        <w:tc>
          <w:tcPr>
            <w:tcW w:type="dxa" w:w="4860"/>
            <w:vAlign w:val="center"/>
            <w:tcMar>
              <w:top w:w="80" w:type="dxa"/>
              <w:start w:w="120" w:type="dxa"/>
              <w:bottom w:w="80" w:type="dxa"/>
              <w:end w:w="120" w:type="dxa"/>
            </w:tcMar>
          </w:tcPr>
          <w:p>
            <w:r>
              <w:rPr>
                <w:rFonts w:ascii="Calibri" w:hAnsi="Calibri"/>
                <w:b w:val="0"/>
                <w:color w:val="172B3A"/>
                <w:sz w:val="18"/>
              </w:rPr>
              <w:t>End with a concise, defensible takeaway.</w:t>
            </w:r>
          </w:p>
        </w:tc>
        <w:tc>
          <w:tcPr>
            <w:tcW w:type="dxa" w:w="900"/>
            <w:vAlign w:val="center"/>
            <w:tcMar>
              <w:top w:w="80" w:type="dxa"/>
              <w:start w:w="120" w:type="dxa"/>
              <w:bottom w:w="80" w:type="dxa"/>
              <w:end w:w="120" w:type="dxa"/>
            </w:tcMar>
          </w:tcPr>
          <w:p>
            <w:pPr>
              <w:jc w:val="center"/>
            </w:pPr>
            <w:r>
              <w:rPr>
                <w:rFonts w:ascii="Calibri" w:hAnsi="Calibri"/>
                <w:b w:val="0"/>
                <w:color w:val="172B3A"/>
                <w:sz w:val="18"/>
              </w:rPr>
              <w:t>0:45</w:t>
            </w:r>
          </w:p>
        </w:tc>
      </w:tr>
    </w:tbl>
    <w:p>
      <w:r>
        <w:br w:type="page"/>
      </w:r>
    </w:p>
    <w:p>
      <w:pPr>
        <w:pStyle w:val="Heading1"/>
        <w:keepNext/>
      </w:pPr>
      <w:r>
        <w:t>Slide-by-Slide Presentation Guide</w:t>
      </w:r>
    </w:p>
    <w:p>
      <w:r>
        <w:t>The text under On-slide copy may be pasted into PowerPoint, then shortened further if the selected layout needs more visual space. Speaker notes explain the meaning behind the slide and should not be copied onto the slide itself.</w:t>
      </w:r>
    </w:p>
    <w:p>
      <w:r>
        <w:br w:type="page"/>
      </w:r>
    </w:p>
    <w:p>
      <w:pPr>
        <w:pStyle w:val="Heading2"/>
        <w:keepNext/>
        <w:spacing w:before="0"/>
      </w:pPr>
      <w:r>
        <w:t>Slide 1. NodeGuard: An IoT-Based Emergency Response and Incident Management System</w:t>
      </w:r>
    </w:p>
    <w:p>
      <w:pPr>
        <w:spacing w:after="90" w:before="90"/>
        <w:shd w:fill="EAF2FF"/>
        <w:ind w:left="140" w:right="140"/>
      </w:pPr>
      <w:r>
        <w:rPr>
          <w:rFonts w:ascii="Calibri" w:hAnsi="Calibri"/>
          <w:b/>
          <w:color w:val="0B3A67"/>
        </w:rPr>
        <w:t xml:space="preserve">Purpose: </w:t>
      </w:r>
      <w:r>
        <w:rPr>
          <w:rFonts w:ascii="Calibri" w:hAnsi="Calibri"/>
          <w:color w:val="172B3A"/>
        </w:rPr>
        <w:t>Introduce the project, its setting, and its identity without explaining the entire system yet.</w:t>
      </w:r>
    </w:p>
    <w:p>
      <w:pPr>
        <w:pStyle w:val="Heading3"/>
        <w:keepNext/>
      </w:pPr>
      <w:r>
        <w:t>On-slide copy</w:t>
      </w:r>
    </w:p>
    <w:p>
      <w:pPr>
        <w:numPr>
          <w:ilvl w:val="0"/>
          <w:numId w:val="10"/>
        </w:numPr>
      </w:pPr>
      <w:r>
        <w:rPr>
          <w:rFonts w:ascii="Calibri" w:hAnsi="Calibri"/>
          <w:color w:val="172B3A"/>
        </w:rPr>
        <w:t>NodeGuard</w:t>
      </w:r>
    </w:p>
    <w:p>
      <w:pPr>
        <w:numPr>
          <w:ilvl w:val="0"/>
          <w:numId w:val="10"/>
        </w:numPr>
      </w:pPr>
      <w:r>
        <w:rPr>
          <w:rFonts w:ascii="Calibri" w:hAnsi="Calibri"/>
          <w:color w:val="172B3A"/>
        </w:rPr>
        <w:t>An IoT-Based Emergency Response and Incident Management System</w:t>
      </w:r>
    </w:p>
    <w:p>
      <w:pPr>
        <w:numPr>
          <w:ilvl w:val="0"/>
          <w:numId w:val="10"/>
        </w:numPr>
      </w:pPr>
      <w:r>
        <w:rPr>
          <w:rFonts w:ascii="Calibri" w:hAnsi="Calibri"/>
          <w:color w:val="172B3A"/>
        </w:rPr>
        <w:t>For the La Trinidad Municipal Disaster Risk Reduction and Management Office</w:t>
      </w:r>
    </w:p>
    <w:p>
      <w:pPr>
        <w:numPr>
          <w:ilvl w:val="0"/>
          <w:numId w:val="10"/>
        </w:numPr>
      </w:pPr>
      <w:r>
        <w:rPr>
          <w:rFonts w:ascii="Calibri" w:hAnsi="Calibri"/>
          <w:color w:val="172B3A"/>
        </w:rPr>
        <w:t>Presented by: [Names] | [Course/Section] | [Date]</w:t>
      </w:r>
    </w:p>
    <w:p>
      <w:pPr>
        <w:spacing w:after="120"/>
      </w:pPr>
      <w:r>
        <w:rPr>
          <w:rFonts w:ascii="Calibri" w:hAnsi="Calibri"/>
          <w:b/>
          <w:color w:val="0B3A67"/>
        </w:rPr>
        <w:t xml:space="preserve">Recommended visual: </w:t>
      </w:r>
      <w:r>
        <w:rPr>
          <w:rFonts w:ascii="Calibri" w:hAnsi="Calibri"/>
          <w:color w:val="172B3A"/>
        </w:rPr>
        <w:t>Use the MDRRMC logo, a clean La Trinidad location image, and one restrained photo or illustration of an emergency alert node. Keep the title dominant.</w:t>
      </w:r>
    </w:p>
    <w:p>
      <w:pPr>
        <w:spacing w:after="90" w:before="90"/>
        <w:shd w:fill="F4F7FA"/>
        <w:ind w:left="140" w:right="140"/>
      </w:pPr>
      <w:r>
        <w:rPr>
          <w:rFonts w:ascii="Calibri" w:hAnsi="Calibri"/>
          <w:b/>
          <w:color w:val="0B3A67"/>
        </w:rPr>
        <w:t xml:space="preserve">Speaker notes: </w:t>
      </w:r>
      <w:r>
        <w:rPr>
          <w:rFonts w:ascii="Calibri" w:hAnsi="Calibri"/>
          <w:color w:val="172B3A"/>
        </w:rPr>
        <w:t>Open with the problem NodeGuard is trying to solve, not with the programming languages. Say that NodeGuard is a localized support system designed to help people report an emergency from a known public location and help MDRRMO personnel coordinate the response through connected software. State clearly that it supplements existing emergency channels.</w:t>
      </w:r>
    </w:p>
    <w:p>
      <w:pPr>
        <w:spacing w:after="120"/>
      </w:pPr>
      <w:r>
        <w:rPr>
          <w:rFonts w:ascii="Calibri" w:hAnsi="Calibri"/>
          <w:b/>
          <w:color w:val="0B3A67"/>
        </w:rPr>
        <w:t xml:space="preserve">Transition: </w:t>
      </w:r>
      <w:r>
        <w:rPr>
          <w:rFonts w:ascii="Calibri" w:hAnsi="Calibri"/>
          <w:color w:val="172B3A"/>
        </w:rPr>
        <w:t>Before showing the technology, explain NodeGuard in one sentence.</w:t>
      </w:r>
    </w:p>
    <w:p>
      <w:r>
        <w:br w:type="page"/>
      </w:r>
    </w:p>
    <w:p>
      <w:pPr>
        <w:pStyle w:val="Heading2"/>
        <w:keepNext/>
        <w:spacing w:before="0"/>
      </w:pPr>
      <w:r>
        <w:t>Slide 2. NodeGuard in One Sentence</w:t>
      </w:r>
    </w:p>
    <w:p>
      <w:pPr>
        <w:spacing w:after="90" w:before="90"/>
        <w:shd w:fill="EAF2FF"/>
        <w:ind w:left="140" w:right="140"/>
      </w:pPr>
      <w:r>
        <w:rPr>
          <w:rFonts w:ascii="Calibri" w:hAnsi="Calibri"/>
          <w:b/>
          <w:color w:val="0B3A67"/>
        </w:rPr>
        <w:t xml:space="preserve">Purpose: </w:t>
      </w:r>
      <w:r>
        <w:rPr>
          <w:rFonts w:ascii="Calibri" w:hAnsi="Calibri"/>
          <w:color w:val="172B3A"/>
        </w:rPr>
        <w:t>Give a simple mental model that a first-time audience can remember.</w:t>
      </w:r>
    </w:p>
    <w:p>
      <w:pPr>
        <w:pStyle w:val="Heading3"/>
        <w:keepNext/>
      </w:pPr>
      <w:r>
        <w:t>On-slide copy</w:t>
      </w:r>
    </w:p>
    <w:p>
      <w:pPr>
        <w:numPr>
          <w:ilvl w:val="0"/>
          <w:numId w:val="10"/>
        </w:numPr>
      </w:pPr>
      <w:r>
        <w:rPr>
          <w:rFonts w:ascii="Calibri" w:hAnsi="Calibri"/>
          <w:color w:val="172B3A"/>
        </w:rPr>
        <w:t>A citizen activates a fixed emergency node.</w:t>
      </w:r>
    </w:p>
    <w:p>
      <w:pPr>
        <w:numPr>
          <w:ilvl w:val="0"/>
          <w:numId w:val="10"/>
        </w:numPr>
      </w:pPr>
      <w:r>
        <w:rPr>
          <w:rFonts w:ascii="Calibri" w:hAnsi="Calibri"/>
          <w:color w:val="172B3A"/>
        </w:rPr>
        <w:t>MDRRMO receives a categorized, location-based alert.</w:t>
      </w:r>
    </w:p>
    <w:p>
      <w:pPr>
        <w:numPr>
          <w:ilvl w:val="0"/>
          <w:numId w:val="10"/>
        </w:numPr>
      </w:pPr>
      <w:r>
        <w:rPr>
          <w:rFonts w:ascii="Calibri" w:hAnsi="Calibri"/>
          <w:color w:val="172B3A"/>
        </w:rPr>
        <w:t>Authorized responders receive assignments and send field updates.</w:t>
      </w:r>
    </w:p>
    <w:p>
      <w:pPr>
        <w:numPr>
          <w:ilvl w:val="0"/>
          <w:numId w:val="10"/>
        </w:numPr>
      </w:pPr>
      <w:r>
        <w:rPr>
          <w:rFonts w:ascii="Calibri" w:hAnsi="Calibri"/>
          <w:color w:val="172B3A"/>
        </w:rPr>
        <w:t>Everything is recorded in one incident-management workflow.</w:t>
      </w:r>
    </w:p>
    <w:p>
      <w:pPr>
        <w:spacing w:after="120"/>
      </w:pPr>
      <w:r>
        <w:rPr>
          <w:rFonts w:ascii="Calibri" w:hAnsi="Calibri"/>
          <w:b/>
          <w:color w:val="0B3A67"/>
        </w:rPr>
        <w:t xml:space="preserve">Recommended visual: </w:t>
      </w:r>
      <w:r>
        <w:rPr>
          <w:rFonts w:ascii="Calibri" w:hAnsi="Calibri"/>
          <w:color w:val="172B3A"/>
        </w:rPr>
        <w:t>Use a four-step horizontal flow: Citizen -&gt; Alert Node -&gt; MDRRMO Dashboard -&gt; Responder App.</w:t>
      </w:r>
    </w:p>
    <w:p>
      <w:pPr>
        <w:spacing w:after="90" w:before="90"/>
        <w:shd w:fill="F4F7FA"/>
        <w:ind w:left="140" w:right="140"/>
      </w:pPr>
      <w:r>
        <w:rPr>
          <w:rFonts w:ascii="Calibri" w:hAnsi="Calibri"/>
          <w:b/>
          <w:color w:val="0B3A67"/>
        </w:rPr>
        <w:t xml:space="preserve">Speaker notes: </w:t>
      </w:r>
      <w:r>
        <w:rPr>
          <w:rFonts w:ascii="Calibri" w:hAnsi="Calibri"/>
          <w:color w:val="172B3A"/>
        </w:rPr>
        <w:t>NodeGuard connects three main parts: a physical emergency alert node, a web dashboard for the MDRRMO operations center, and a personnel application for field responders. The fixed node already has a registered identity and location, so the initial report can include basic information even when the person reporting is panicked or unfamiliar with the area.</w:t>
      </w:r>
    </w:p>
    <w:p>
      <w:pPr>
        <w:spacing w:after="120"/>
      </w:pPr>
      <w:r>
        <w:rPr>
          <w:rFonts w:ascii="Calibri" w:hAnsi="Calibri"/>
          <w:b/>
          <w:color w:val="0B3A67"/>
        </w:rPr>
        <w:t xml:space="preserve">Transition: </w:t>
      </w:r>
      <w:r>
        <w:rPr>
          <w:rFonts w:ascii="Calibri" w:hAnsi="Calibri"/>
          <w:color w:val="172B3A"/>
        </w:rPr>
        <w:t>The value of that simple flow becomes clearer when we look at the current reporting problem.</w:t>
      </w:r>
    </w:p>
    <w:p>
      <w:r>
        <w:br w:type="page"/>
      </w:r>
    </w:p>
    <w:p>
      <w:pPr>
        <w:pStyle w:val="Heading2"/>
        <w:keepNext/>
        <w:spacing w:before="0"/>
      </w:pPr>
      <w:r>
        <w:t>Slide 3. The Emergency Reporting Problem</w:t>
      </w:r>
    </w:p>
    <w:p>
      <w:pPr>
        <w:spacing w:after="90" w:before="90"/>
        <w:shd w:fill="EAF2FF"/>
        <w:ind w:left="140" w:right="140"/>
      </w:pPr>
      <w:r>
        <w:rPr>
          <w:rFonts w:ascii="Calibri" w:hAnsi="Calibri"/>
          <w:b/>
          <w:color w:val="0B3A67"/>
        </w:rPr>
        <w:t xml:space="preserve">Purpose: </w:t>
      </w:r>
      <w:r>
        <w:rPr>
          <w:rFonts w:ascii="Calibri" w:hAnsi="Calibri"/>
          <w:color w:val="172B3A"/>
        </w:rPr>
        <w:t>Explain why an additional reporting and coordination channel is needed.</w:t>
      </w:r>
    </w:p>
    <w:p>
      <w:pPr>
        <w:pStyle w:val="Heading3"/>
        <w:keepNext/>
      </w:pPr>
      <w:r>
        <w:t>On-slide copy</w:t>
      </w:r>
    </w:p>
    <w:p>
      <w:pPr>
        <w:numPr>
          <w:ilvl w:val="0"/>
          <w:numId w:val="10"/>
        </w:numPr>
      </w:pPr>
      <w:r>
        <w:rPr>
          <w:rFonts w:ascii="Calibri" w:hAnsi="Calibri"/>
          <w:color w:val="172B3A"/>
        </w:rPr>
        <w:t>Reports may arrive through calls, texts, social media, barangays, or partner offices.</w:t>
      </w:r>
    </w:p>
    <w:p>
      <w:pPr>
        <w:numPr>
          <w:ilvl w:val="0"/>
          <w:numId w:val="10"/>
        </w:numPr>
      </w:pPr>
      <w:r>
        <w:rPr>
          <w:rFonts w:ascii="Calibri" w:hAnsi="Calibri"/>
          <w:color w:val="172B3A"/>
        </w:rPr>
        <w:t>A caller may be panicked, injured, disconnected, or unable to identify the exact location.</w:t>
      </w:r>
    </w:p>
    <w:p>
      <w:pPr>
        <w:numPr>
          <w:ilvl w:val="0"/>
          <w:numId w:val="10"/>
        </w:numPr>
      </w:pPr>
      <w:r>
        <w:rPr>
          <w:rFonts w:ascii="Calibri" w:hAnsi="Calibri"/>
          <w:color w:val="172B3A"/>
        </w:rPr>
        <w:t>Important details may be incomplete: location, category, urgency, victims, landmarks, and time.</w:t>
      </w:r>
    </w:p>
    <w:p>
      <w:pPr>
        <w:numPr>
          <w:ilvl w:val="0"/>
          <w:numId w:val="10"/>
        </w:numPr>
      </w:pPr>
      <w:r>
        <w:rPr>
          <w:rFonts w:ascii="Calibri" w:hAnsi="Calibri"/>
          <w:color w:val="172B3A"/>
        </w:rPr>
        <w:t>Personnel may need repeated clarification before deciding what response is appropriate.</w:t>
      </w:r>
    </w:p>
    <w:p>
      <w:pPr>
        <w:spacing w:after="120"/>
      </w:pPr>
      <w:r>
        <w:rPr>
          <w:rFonts w:ascii="Calibri" w:hAnsi="Calibri"/>
          <w:b/>
          <w:color w:val="0B3A67"/>
        </w:rPr>
        <w:t xml:space="preserve">Recommended visual: </w:t>
      </w:r>
      <w:r>
        <w:rPr>
          <w:rFonts w:ascii="Calibri" w:hAnsi="Calibri"/>
          <w:color w:val="172B3A"/>
        </w:rPr>
        <w:t>Show a short before-state diagram with scattered communication channels converging on one dispatcher. Avoid sensational disaster imagery.</w:t>
      </w:r>
    </w:p>
    <w:p>
      <w:pPr>
        <w:spacing w:after="90" w:before="90"/>
        <w:shd w:fill="F4F7FA"/>
        <w:ind w:left="140" w:right="140"/>
      </w:pPr>
      <w:r>
        <w:rPr>
          <w:rFonts w:ascii="Calibri" w:hAnsi="Calibri"/>
          <w:b/>
          <w:color w:val="0B3A67"/>
        </w:rPr>
        <w:t xml:space="preserve">Speaker notes: </w:t>
      </w:r>
      <w:r>
        <w:rPr>
          <w:rFonts w:ascii="Calibri" w:hAnsi="Calibri"/>
          <w:color w:val="172B3A"/>
        </w:rPr>
        <w:t>The paper reports that an MDRRMO interviewee estimated approximately 15 to 20 incidents per day during a typhoon and said that almost all reports may lack one or more important details. Present this carefully as an interview estimate, not a municipality-wide statistical finding. The existing channels remain essential; the problem is the information gap at the beginning of the process.</w:t>
      </w:r>
    </w:p>
    <w:p>
      <w:pPr>
        <w:spacing w:after="120"/>
      </w:pPr>
      <w:r>
        <w:rPr>
          <w:rFonts w:ascii="Calibri" w:hAnsi="Calibri"/>
          <w:b/>
          <w:color w:val="0B3A67"/>
        </w:rPr>
        <w:t xml:space="preserve">Transition: </w:t>
      </w:r>
      <w:r>
        <w:rPr>
          <w:rFonts w:ascii="Calibri" w:hAnsi="Calibri"/>
          <w:color w:val="172B3A"/>
        </w:rPr>
        <w:t>NodeGuard addresses that gap by structuring the first report and connecting it to response coordination.</w:t>
      </w:r>
    </w:p>
    <w:p>
      <w:r>
        <w:br w:type="page"/>
      </w:r>
    </w:p>
    <w:p>
      <w:pPr>
        <w:pStyle w:val="Heading2"/>
        <w:keepNext/>
        <w:spacing w:before="0"/>
      </w:pPr>
      <w:r>
        <w:t>Slide 4. The Proposed Solution</w:t>
      </w:r>
    </w:p>
    <w:p>
      <w:pPr>
        <w:spacing w:after="90" w:before="90"/>
        <w:shd w:fill="EAF2FF"/>
        <w:ind w:left="140" w:right="140"/>
      </w:pPr>
      <w:r>
        <w:rPr>
          <w:rFonts w:ascii="Calibri" w:hAnsi="Calibri"/>
          <w:b/>
          <w:color w:val="0B3A67"/>
        </w:rPr>
        <w:t xml:space="preserve">Purpose: </w:t>
      </w:r>
      <w:r>
        <w:rPr>
          <w:rFonts w:ascii="Calibri" w:hAnsi="Calibri"/>
          <w:color w:val="172B3A"/>
        </w:rPr>
        <w:t>Introduce the three connected components and the role of each.</w:t>
      </w:r>
    </w:p>
    <w:p>
      <w:pPr>
        <w:pStyle w:val="Heading3"/>
        <w:keepNext/>
      </w:pPr>
      <w:r>
        <w:t>On-slide copy</w:t>
      </w:r>
    </w:p>
    <w:p>
      <w:pPr>
        <w:numPr>
          <w:ilvl w:val="0"/>
          <w:numId w:val="10"/>
        </w:numPr>
      </w:pPr>
      <w:r>
        <w:rPr>
          <w:rFonts w:ascii="Calibri" w:hAnsi="Calibri"/>
          <w:color w:val="172B3A"/>
        </w:rPr>
        <w:t>Fixed public emergency alert nodes for accessible, location-based reporting</w:t>
      </w:r>
    </w:p>
    <w:p>
      <w:pPr>
        <w:numPr>
          <w:ilvl w:val="0"/>
          <w:numId w:val="10"/>
        </w:numPr>
      </w:pPr>
      <w:r>
        <w:rPr>
          <w:rFonts w:ascii="Calibri" w:hAnsi="Calibri"/>
          <w:color w:val="172B3A"/>
        </w:rPr>
        <w:t>A centralized MDRRMO website for alert verification, assignment, monitoring, records, and analytics</w:t>
      </w:r>
    </w:p>
    <w:p>
      <w:pPr>
        <w:numPr>
          <w:ilvl w:val="0"/>
          <w:numId w:val="10"/>
        </w:numPr>
      </w:pPr>
      <w:r>
        <w:rPr>
          <w:rFonts w:ascii="Calibri" w:hAnsi="Calibri"/>
          <w:color w:val="172B3A"/>
        </w:rPr>
        <w:t>A responder application for assignments, incident details, maps, voice context, and status updates</w:t>
      </w:r>
    </w:p>
    <w:p>
      <w:pPr>
        <w:numPr>
          <w:ilvl w:val="0"/>
          <w:numId w:val="10"/>
        </w:numPr>
      </w:pPr>
      <w:r>
        <w:rPr>
          <w:rFonts w:ascii="Calibri" w:hAnsi="Calibri"/>
          <w:color w:val="172B3A"/>
        </w:rPr>
        <w:t>A shared backend for incidents, users, devices, resources, voice records, and audit history</w:t>
      </w:r>
    </w:p>
    <w:p>
      <w:pPr>
        <w:spacing w:after="120"/>
      </w:pPr>
      <w:r>
        <w:rPr>
          <w:rFonts w:ascii="Calibri" w:hAnsi="Calibri"/>
          <w:b/>
          <w:color w:val="0B3A67"/>
        </w:rPr>
        <w:t xml:space="preserve">Recommended visual: </w:t>
      </w:r>
      <w:r>
        <w:rPr>
          <w:rFonts w:ascii="Calibri" w:hAnsi="Calibri"/>
          <w:color w:val="172B3A"/>
        </w:rPr>
        <w:t>Use three equal panels labeled Alert Node, Operations Website, and Personnel App, connected to a shared backend icon.</w:t>
      </w:r>
    </w:p>
    <w:p>
      <w:pPr>
        <w:spacing w:after="90" w:before="90"/>
        <w:shd w:fill="F4F7FA"/>
        <w:ind w:left="140" w:right="140"/>
      </w:pPr>
      <w:r>
        <w:rPr>
          <w:rFonts w:ascii="Calibri" w:hAnsi="Calibri"/>
          <w:b/>
          <w:color w:val="0B3A67"/>
        </w:rPr>
        <w:t xml:space="preserve">Speaker notes: </w:t>
      </w:r>
      <w:r>
        <w:rPr>
          <w:rFonts w:ascii="Calibri" w:hAnsi="Calibri"/>
          <w:color w:val="172B3A"/>
        </w:rPr>
        <w:t>Avoid calling NodeGuard only a panic button or only an application. It is an interconnected reporting and incident-management system. The alert node creates the report, the website supports authorized MDRRMO decision-making, and the responder app closes the information loop from the field.</w:t>
      </w:r>
    </w:p>
    <w:p>
      <w:pPr>
        <w:spacing w:after="120"/>
      </w:pPr>
      <w:r>
        <w:rPr>
          <w:rFonts w:ascii="Calibri" w:hAnsi="Calibri"/>
          <w:b/>
          <w:color w:val="0B3A67"/>
        </w:rPr>
        <w:t xml:space="preserve">Transition: </w:t>
      </w:r>
      <w:r>
        <w:rPr>
          <w:rFonts w:ascii="Calibri" w:hAnsi="Calibri"/>
          <w:color w:val="172B3A"/>
        </w:rPr>
        <w:t>Different people interact with different parts of the system.</w:t>
      </w:r>
    </w:p>
    <w:p>
      <w:r>
        <w:br w:type="page"/>
      </w:r>
    </w:p>
    <w:p>
      <w:pPr>
        <w:pStyle w:val="Heading2"/>
        <w:keepNext/>
        <w:spacing w:before="0"/>
      </w:pPr>
      <w:r>
        <w:t>Slide 5. Who Uses NodeGuard?</w:t>
      </w:r>
    </w:p>
    <w:p>
      <w:pPr>
        <w:spacing w:after="90" w:before="90"/>
        <w:shd w:fill="EAF2FF"/>
        <w:ind w:left="140" w:right="140"/>
      </w:pPr>
      <w:r>
        <w:rPr>
          <w:rFonts w:ascii="Calibri" w:hAnsi="Calibri"/>
          <w:b/>
          <w:color w:val="0B3A67"/>
        </w:rPr>
        <w:t xml:space="preserve">Purpose: </w:t>
      </w:r>
      <w:r>
        <w:rPr>
          <w:rFonts w:ascii="Calibri" w:hAnsi="Calibri"/>
          <w:color w:val="172B3A"/>
        </w:rPr>
        <w:t>Clarify users, responsibilities, and authority boundaries.</w:t>
      </w:r>
    </w:p>
    <w:p>
      <w:pPr>
        <w:pStyle w:val="Heading3"/>
        <w:keepNext/>
      </w:pPr>
      <w:r>
        <w:t>On-slide copy</w:t>
      </w:r>
    </w:p>
    <w:p>
      <w:pPr>
        <w:numPr>
          <w:ilvl w:val="0"/>
          <w:numId w:val="10"/>
        </w:numPr>
      </w:pPr>
      <w:r>
        <w:rPr>
          <w:rFonts w:ascii="Calibri" w:hAnsi="Calibri"/>
          <w:color w:val="172B3A"/>
        </w:rPr>
        <w:t>Citizens/public users: activate a node and optionally provide short voice context</w:t>
      </w:r>
    </w:p>
    <w:p>
      <w:pPr>
        <w:numPr>
          <w:ilvl w:val="0"/>
          <w:numId w:val="10"/>
        </w:numPr>
      </w:pPr>
      <w:r>
        <w:rPr>
          <w:rFonts w:ascii="Calibri" w:hAnsi="Calibri"/>
          <w:color w:val="172B3A"/>
        </w:rPr>
        <w:t>MDRRMO personnel: verify alerts, assign responders/resources, monitor incidents, and close records</w:t>
      </w:r>
    </w:p>
    <w:p>
      <w:pPr>
        <w:numPr>
          <w:ilvl w:val="0"/>
          <w:numId w:val="10"/>
        </w:numPr>
      </w:pPr>
      <w:r>
        <w:rPr>
          <w:rFonts w:ascii="Calibri" w:hAnsi="Calibri"/>
          <w:color w:val="172B3A"/>
        </w:rPr>
        <w:t>Field responders: receive assignments, view locations, update status, add notes, and request backup</w:t>
      </w:r>
    </w:p>
    <w:p>
      <w:pPr>
        <w:numPr>
          <w:ilvl w:val="0"/>
          <w:numId w:val="10"/>
        </w:numPr>
      </w:pPr>
      <w:r>
        <w:rPr>
          <w:rFonts w:ascii="Calibri" w:hAnsi="Calibri"/>
          <w:color w:val="172B3A"/>
        </w:rPr>
        <w:t>Administrators: manage authorized accounts, roles, devices, and system configuration</w:t>
      </w:r>
    </w:p>
    <w:p>
      <w:pPr>
        <w:spacing w:after="120"/>
      </w:pPr>
      <w:r>
        <w:rPr>
          <w:rFonts w:ascii="Calibri" w:hAnsi="Calibri"/>
          <w:b/>
          <w:color w:val="0B3A67"/>
        </w:rPr>
        <w:t xml:space="preserve">Recommended visual: </w:t>
      </w:r>
      <w:r>
        <w:rPr>
          <w:rFonts w:ascii="Calibri" w:hAnsi="Calibri"/>
          <w:color w:val="172B3A"/>
        </w:rPr>
        <w:t>Use four role cards with a single action verb under each: Report, Coordinate, Respond, Govern.</w:t>
      </w:r>
    </w:p>
    <w:p>
      <w:pPr>
        <w:spacing w:after="90" w:before="90"/>
        <w:shd w:fill="F4F7FA"/>
        <w:ind w:left="140" w:right="140"/>
      </w:pPr>
      <w:r>
        <w:rPr>
          <w:rFonts w:ascii="Calibri" w:hAnsi="Calibri"/>
          <w:b/>
          <w:color w:val="0B3A67"/>
        </w:rPr>
        <w:t xml:space="preserve">Speaker notes: </w:t>
      </w:r>
      <w:r>
        <w:rPr>
          <w:rFonts w:ascii="Calibri" w:hAnsi="Calibri"/>
          <w:color w:val="172B3A"/>
        </w:rPr>
        <w:t>Emphasize that dispatch decisions, validation, resource assignment, and final closure stay under authorized MDRRMO personnel. Public users do not need access to the operational dashboard. Field responders only see and update information appropriate to their role and assignment.</w:t>
      </w:r>
    </w:p>
    <w:p>
      <w:pPr>
        <w:spacing w:after="120"/>
      </w:pPr>
      <w:r>
        <w:rPr>
          <w:rFonts w:ascii="Calibri" w:hAnsi="Calibri"/>
          <w:b/>
          <w:color w:val="0B3A67"/>
        </w:rPr>
        <w:t xml:space="preserve">Transition: </w:t>
      </w:r>
      <w:r>
        <w:rPr>
          <w:rFonts w:ascii="Calibri" w:hAnsi="Calibri"/>
          <w:color w:val="172B3A"/>
        </w:rPr>
        <w:t>The citizen-facing entry point is the physical NodeGuard alert node.</w:t>
      </w:r>
    </w:p>
    <w:p>
      <w:r>
        <w:br w:type="page"/>
      </w:r>
    </w:p>
    <w:p>
      <w:pPr>
        <w:pStyle w:val="Heading2"/>
        <w:keepNext/>
        <w:spacing w:before="0"/>
      </w:pPr>
      <w:r>
        <w:t>Slide 6. The Physical Alert Node</w:t>
      </w:r>
    </w:p>
    <w:p>
      <w:pPr>
        <w:spacing w:after="90" w:before="90"/>
        <w:shd w:fill="EAF2FF"/>
        <w:ind w:left="140" w:right="140"/>
      </w:pPr>
      <w:r>
        <w:rPr>
          <w:rFonts w:ascii="Calibri" w:hAnsi="Calibri"/>
          <w:b/>
          <w:color w:val="0B3A67"/>
        </w:rPr>
        <w:t xml:space="preserve">Purpose: </w:t>
      </w:r>
      <w:r>
        <w:rPr>
          <w:rFonts w:ascii="Calibri" w:hAnsi="Calibri"/>
          <w:color w:val="172B3A"/>
        </w:rPr>
        <w:t>Explain the hardware concept in non-technical language.</w:t>
      </w:r>
    </w:p>
    <w:p>
      <w:pPr>
        <w:pStyle w:val="Heading3"/>
        <w:keepNext/>
      </w:pPr>
      <w:r>
        <w:t>On-slide copy</w:t>
      </w:r>
    </w:p>
    <w:p>
      <w:pPr>
        <w:numPr>
          <w:ilvl w:val="0"/>
          <w:numId w:val="10"/>
        </w:numPr>
      </w:pPr>
      <w:r>
        <w:rPr>
          <w:rFonts w:ascii="Calibri" w:hAnsi="Calibri"/>
          <w:color w:val="172B3A"/>
        </w:rPr>
        <w:t>Three clearly labeled emergency-category buttons</w:t>
      </w:r>
    </w:p>
    <w:p>
      <w:pPr>
        <w:numPr>
          <w:ilvl w:val="0"/>
          <w:numId w:val="10"/>
        </w:numPr>
      </w:pPr>
      <w:r>
        <w:rPr>
          <w:rFonts w:ascii="Calibri" w:hAnsi="Calibri"/>
          <w:color w:val="172B3A"/>
        </w:rPr>
        <w:t>A microphone for short voice context</w:t>
      </w:r>
    </w:p>
    <w:p>
      <w:pPr>
        <w:numPr>
          <w:ilvl w:val="0"/>
          <w:numId w:val="10"/>
        </w:numPr>
      </w:pPr>
      <w:r>
        <w:rPr>
          <w:rFonts w:ascii="Calibri" w:hAnsi="Calibri"/>
          <w:color w:val="172B3A"/>
        </w:rPr>
        <w:t>LED indicators and a buzzer for feedback</w:t>
      </w:r>
    </w:p>
    <w:p>
      <w:pPr>
        <w:numPr>
          <w:ilvl w:val="0"/>
          <w:numId w:val="10"/>
        </w:numPr>
      </w:pPr>
      <w:r>
        <w:rPr>
          <w:rFonts w:ascii="Calibri" w:hAnsi="Calibri"/>
          <w:color w:val="172B3A"/>
        </w:rPr>
        <w:t>A unique device ID with a registered location</w:t>
      </w:r>
    </w:p>
    <w:p>
      <w:pPr>
        <w:numPr>
          <w:ilvl w:val="0"/>
          <w:numId w:val="10"/>
        </w:numPr>
      </w:pPr>
      <w:r>
        <w:rPr>
          <w:rFonts w:ascii="Calibri" w:hAnsi="Calibri"/>
          <w:color w:val="172B3A"/>
        </w:rPr>
        <w:t>Communication, normal power, backup power, and a protective enclosure</w:t>
      </w:r>
    </w:p>
    <w:p>
      <w:pPr>
        <w:spacing w:after="120"/>
      </w:pPr>
      <w:r>
        <w:rPr>
          <w:rFonts w:ascii="Calibri" w:hAnsi="Calibri"/>
          <w:b/>
          <w:color w:val="0B3A67"/>
        </w:rPr>
        <w:t xml:space="preserve">Recommended visual: </w:t>
      </w:r>
      <w:r>
        <w:rPr>
          <w:rFonts w:ascii="Calibri" w:hAnsi="Calibri"/>
          <w:color w:val="172B3A"/>
        </w:rPr>
        <w:t>Show a labeled node mockup. Point to the buttons, microphone, indicator lights, buzzer, enclosure, and power/communication section.</w:t>
      </w:r>
    </w:p>
    <w:p>
      <w:pPr>
        <w:spacing w:after="90" w:before="90"/>
        <w:shd w:fill="F4F7FA"/>
        <w:ind w:left="140" w:right="140"/>
      </w:pPr>
      <w:r>
        <w:rPr>
          <w:rFonts w:ascii="Calibri" w:hAnsi="Calibri"/>
          <w:b/>
          <w:color w:val="0B3A67"/>
        </w:rPr>
        <w:t xml:space="preserve">Speaker notes: </w:t>
      </w:r>
      <w:r>
        <w:rPr>
          <w:rFonts w:ascii="Calibri" w:hAnsi="Calibri"/>
          <w:color w:val="172B3A"/>
        </w:rPr>
        <w:t>The node is intended for visible and accessible public locations. When activated, it supplies the device identity, registered location, emergency category, and timestamp. The voice feature can add context, but the core alert should not depend on a long conversation. Hardware remains subject to assembly, enclosure, connectivity, durability, power, and controlled field testing.</w:t>
      </w:r>
    </w:p>
    <w:p>
      <w:pPr>
        <w:spacing w:after="120"/>
      </w:pPr>
      <w:r>
        <w:rPr>
          <w:rFonts w:ascii="Calibri" w:hAnsi="Calibri"/>
          <w:b/>
          <w:color w:val="0B3A67"/>
        </w:rPr>
        <w:t xml:space="preserve">Transition: </w:t>
      </w:r>
      <w:r>
        <w:rPr>
          <w:rFonts w:ascii="Calibri" w:hAnsi="Calibri"/>
          <w:color w:val="172B3A"/>
        </w:rPr>
        <w:t>The node simplifies reporting by limiting the first decision to an emergency category.</w:t>
      </w:r>
    </w:p>
    <w:p>
      <w:r>
        <w:br w:type="page"/>
      </w:r>
    </w:p>
    <w:p>
      <w:pPr>
        <w:pStyle w:val="Heading2"/>
        <w:keepNext/>
        <w:spacing w:before="0"/>
      </w:pPr>
      <w:r>
        <w:t>Slide 7. Three Emergency Categories</w:t>
      </w:r>
    </w:p>
    <w:p>
      <w:pPr>
        <w:spacing w:after="90" w:before="90"/>
        <w:shd w:fill="EAF2FF"/>
        <w:ind w:left="140" w:right="140"/>
      </w:pPr>
      <w:r>
        <w:rPr>
          <w:rFonts w:ascii="Calibri" w:hAnsi="Calibri"/>
          <w:b/>
          <w:color w:val="0B3A67"/>
        </w:rPr>
        <w:t xml:space="preserve">Purpose: </w:t>
      </w:r>
      <w:r>
        <w:rPr>
          <w:rFonts w:ascii="Calibri" w:hAnsi="Calibri"/>
          <w:color w:val="172B3A"/>
        </w:rPr>
        <w:t>Show how NodeGuard structures the initial alert.</w:t>
      </w:r>
    </w:p>
    <w:p>
      <w:pPr>
        <w:pStyle w:val="Heading3"/>
        <w:keepNext/>
      </w:pPr>
      <w:r>
        <w:t>On-slide copy</w:t>
      </w:r>
    </w:p>
    <w:p>
      <w:pPr>
        <w:numPr>
          <w:ilvl w:val="0"/>
          <w:numId w:val="10"/>
        </w:numPr>
      </w:pPr>
      <w:r>
        <w:rPr>
          <w:rFonts w:ascii="Calibri" w:hAnsi="Calibri"/>
          <w:color w:val="172B3A"/>
        </w:rPr>
        <w:t>Medical Emergency - injury, illness, or urgent health assistance</w:t>
      </w:r>
    </w:p>
    <w:p>
      <w:pPr>
        <w:numPr>
          <w:ilvl w:val="0"/>
          <w:numId w:val="10"/>
        </w:numPr>
      </w:pPr>
      <w:r>
        <w:rPr>
          <w:rFonts w:ascii="Calibri" w:hAnsi="Calibri"/>
          <w:color w:val="172B3A"/>
        </w:rPr>
        <w:t>Security / Public Safety - threats, crime-related concerns, or unsafe situations</w:t>
      </w:r>
    </w:p>
    <w:p>
      <w:pPr>
        <w:numPr>
          <w:ilvl w:val="0"/>
          <w:numId w:val="10"/>
        </w:numPr>
      </w:pPr>
      <w:r>
        <w:rPr>
          <w:rFonts w:ascii="Calibri" w:hAnsi="Calibri"/>
          <w:color w:val="172B3A"/>
        </w:rPr>
        <w:t>Fire / Disaster Emergency - fire, flood, landslide, earthquake, or similar hazards</w:t>
      </w:r>
    </w:p>
    <w:p>
      <w:pPr>
        <w:numPr>
          <w:ilvl w:val="0"/>
          <w:numId w:val="10"/>
        </w:numPr>
      </w:pPr>
      <w:r>
        <w:rPr>
          <w:rFonts w:ascii="Calibri" w:hAnsi="Calibri"/>
          <w:color w:val="172B3A"/>
        </w:rPr>
        <w:t>Physical button or predefined voice activation</w:t>
      </w:r>
    </w:p>
    <w:p>
      <w:pPr>
        <w:spacing w:after="120"/>
      </w:pPr>
      <w:r>
        <w:rPr>
          <w:rFonts w:ascii="Calibri" w:hAnsi="Calibri"/>
          <w:b/>
          <w:color w:val="0B3A67"/>
        </w:rPr>
        <w:t xml:space="preserve">Recommended visual: </w:t>
      </w:r>
      <w:r>
        <w:rPr>
          <w:rFonts w:ascii="Calibri" w:hAnsi="Calibri"/>
          <w:color w:val="172B3A"/>
        </w:rPr>
        <w:t>Use three large category tiles with simple icons. Keep category colors blue or neutral; reserve red for an active urgent state rather than decorating every emergency type.</w:t>
      </w:r>
    </w:p>
    <w:p>
      <w:pPr>
        <w:spacing w:after="90" w:before="90"/>
        <w:shd w:fill="F4F7FA"/>
        <w:ind w:left="140" w:right="140"/>
      </w:pPr>
      <w:r>
        <w:rPr>
          <w:rFonts w:ascii="Calibri" w:hAnsi="Calibri"/>
          <w:b/>
          <w:color w:val="0B3A67"/>
        </w:rPr>
        <w:t xml:space="preserve">Speaker notes: </w:t>
      </w:r>
      <w:r>
        <w:rPr>
          <w:rFonts w:ascii="Calibri" w:hAnsi="Calibri"/>
          <w:color w:val="172B3A"/>
        </w:rPr>
        <w:t>The categories help the operations center understand the broad type of help that may be needed. They do not make the dispatch decision automatically. MDRRMO personnel still review the alert, available context, and operational conditions before assigning a response.</w:t>
      </w:r>
    </w:p>
    <w:p>
      <w:pPr>
        <w:spacing w:after="120"/>
      </w:pPr>
      <w:r>
        <w:rPr>
          <w:rFonts w:ascii="Calibri" w:hAnsi="Calibri"/>
          <w:b/>
          <w:color w:val="0B3A67"/>
        </w:rPr>
        <w:t xml:space="preserve">Transition: </w:t>
      </w:r>
      <w:r>
        <w:rPr>
          <w:rFonts w:ascii="Calibri" w:hAnsi="Calibri"/>
          <w:color w:val="172B3A"/>
        </w:rPr>
        <w:t>Once a category is selected, the alert enters a controlled end-to-end workflow.</w:t>
      </w:r>
    </w:p>
    <w:p>
      <w:r>
        <w:br w:type="page"/>
      </w:r>
    </w:p>
    <w:p>
      <w:pPr>
        <w:pStyle w:val="Heading2"/>
        <w:keepNext/>
        <w:spacing w:before="0"/>
      </w:pPr>
      <w:r>
        <w:t>Slide 8. How an Alert Becomes a Coordinated Response</w:t>
      </w:r>
    </w:p>
    <w:p>
      <w:pPr>
        <w:spacing w:after="90" w:before="90"/>
        <w:shd w:fill="EAF2FF"/>
        <w:ind w:left="140" w:right="140"/>
      </w:pPr>
      <w:r>
        <w:rPr>
          <w:rFonts w:ascii="Calibri" w:hAnsi="Calibri"/>
          <w:b/>
          <w:color w:val="0B3A67"/>
        </w:rPr>
        <w:t xml:space="preserve">Purpose: </w:t>
      </w:r>
      <w:r>
        <w:rPr>
          <w:rFonts w:ascii="Calibri" w:hAnsi="Calibri"/>
          <w:color w:val="172B3A"/>
        </w:rPr>
        <w:t>Explain the complete workflow from activation to closure.</w:t>
      </w:r>
    </w:p>
    <w:p>
      <w:pPr>
        <w:pStyle w:val="Heading3"/>
        <w:keepNext/>
      </w:pPr>
      <w:r>
        <w:t>On-slide copy</w:t>
      </w:r>
    </w:p>
    <w:p>
      <w:pPr>
        <w:numPr>
          <w:ilvl w:val="0"/>
          <w:numId w:val="10"/>
        </w:numPr>
      </w:pPr>
      <w:r>
        <w:rPr>
          <w:rFonts w:ascii="Calibri" w:hAnsi="Calibri"/>
          <w:color w:val="172B3A"/>
        </w:rPr>
        <w:t>1. A person activates the nearest NodeGuard node.</w:t>
      </w:r>
    </w:p>
    <w:p>
      <w:pPr>
        <w:numPr>
          <w:ilvl w:val="0"/>
          <w:numId w:val="10"/>
        </w:numPr>
      </w:pPr>
      <w:r>
        <w:rPr>
          <w:rFonts w:ascii="Calibri" w:hAnsi="Calibri"/>
          <w:color w:val="172B3A"/>
        </w:rPr>
        <w:t>2. The node sends category, device ID, registered location, and timestamp.</w:t>
      </w:r>
    </w:p>
    <w:p>
      <w:pPr>
        <w:numPr>
          <w:ilvl w:val="0"/>
          <w:numId w:val="10"/>
        </w:numPr>
      </w:pPr>
      <w:r>
        <w:rPr>
          <w:rFonts w:ascii="Calibri" w:hAnsi="Calibri"/>
          <w:color w:val="172B3A"/>
        </w:rPr>
        <w:t>3. MDRRMO reviews and validates the alert.</w:t>
      </w:r>
    </w:p>
    <w:p>
      <w:pPr>
        <w:numPr>
          <w:ilvl w:val="0"/>
          <w:numId w:val="10"/>
        </w:numPr>
      </w:pPr>
      <w:r>
        <w:rPr>
          <w:rFonts w:ascii="Calibri" w:hAnsi="Calibri"/>
          <w:color w:val="172B3A"/>
        </w:rPr>
        <w:t>4. Authorized personnel assign responders and resources.</w:t>
      </w:r>
    </w:p>
    <w:p>
      <w:pPr>
        <w:numPr>
          <w:ilvl w:val="0"/>
          <w:numId w:val="10"/>
        </w:numPr>
      </w:pPr>
      <w:r>
        <w:rPr>
          <w:rFonts w:ascii="Calibri" w:hAnsi="Calibri"/>
          <w:color w:val="172B3A"/>
        </w:rPr>
        <w:t>5. Responders receive the assignment and submit field status updates.</w:t>
      </w:r>
    </w:p>
    <w:p>
      <w:pPr>
        <w:numPr>
          <w:ilvl w:val="0"/>
          <w:numId w:val="10"/>
        </w:numPr>
      </w:pPr>
      <w:r>
        <w:rPr>
          <w:rFonts w:ascii="Calibri" w:hAnsi="Calibri"/>
          <w:color w:val="172B3A"/>
        </w:rPr>
        <w:t>6. MDRRMO monitors, documents, and closes the incident.</w:t>
      </w:r>
    </w:p>
    <w:p>
      <w:pPr>
        <w:spacing w:after="120"/>
      </w:pPr>
      <w:r>
        <w:rPr>
          <w:rFonts w:ascii="Calibri" w:hAnsi="Calibri"/>
          <w:b/>
          <w:color w:val="0B3A67"/>
        </w:rPr>
        <w:t xml:space="preserve">Recommended visual: </w:t>
      </w:r>
      <w:r>
        <w:rPr>
          <w:rFonts w:ascii="Calibri" w:hAnsi="Calibri"/>
          <w:color w:val="172B3A"/>
        </w:rPr>
        <w:t>Use a six-step process with one icon per step. Highlight validation and human dispatch authority.</w:t>
      </w:r>
    </w:p>
    <w:p>
      <w:pPr>
        <w:spacing w:after="90" w:before="90"/>
        <w:shd w:fill="F4F7FA"/>
        <w:ind w:left="140" w:right="140"/>
      </w:pPr>
      <w:r>
        <w:rPr>
          <w:rFonts w:ascii="Calibri" w:hAnsi="Calibri"/>
          <w:b/>
          <w:color w:val="0B3A67"/>
        </w:rPr>
        <w:t xml:space="preserve">Speaker notes: </w:t>
      </w:r>
      <w:r>
        <w:rPr>
          <w:rFonts w:ascii="Calibri" w:hAnsi="Calibri"/>
          <w:color w:val="172B3A"/>
        </w:rPr>
        <w:t>Walk through this slowly. NodeGuard does not automatically send a team simply because a button was pressed. Verification and dispatch remain human decisions. Status updates such as Assigned, En Route, On Scene, Responding, Need Backup, Resolved, Closed, and False Alert create a visible operational history.</w:t>
      </w:r>
    </w:p>
    <w:p>
      <w:pPr>
        <w:spacing w:after="120"/>
      </w:pPr>
      <w:r>
        <w:rPr>
          <w:rFonts w:ascii="Calibri" w:hAnsi="Calibri"/>
          <w:b/>
          <w:color w:val="0B3A67"/>
        </w:rPr>
        <w:t xml:space="preserve">Transition: </w:t>
      </w:r>
      <w:r>
        <w:rPr>
          <w:rFonts w:ascii="Calibri" w:hAnsi="Calibri"/>
          <w:color w:val="172B3A"/>
        </w:rPr>
        <w:t>The MDRRMO website is where those coordination decisions are made.</w:t>
      </w:r>
    </w:p>
    <w:p>
      <w:r>
        <w:br w:type="page"/>
      </w:r>
    </w:p>
    <w:p>
      <w:pPr>
        <w:pStyle w:val="Heading2"/>
        <w:keepNext/>
        <w:spacing w:before="0"/>
      </w:pPr>
      <w:r>
        <w:t>Slide 9. The MDRRMO Coordination Website</w:t>
      </w:r>
    </w:p>
    <w:p>
      <w:pPr>
        <w:spacing w:after="90" w:before="90"/>
        <w:shd w:fill="EAF2FF"/>
        <w:ind w:left="140" w:right="140"/>
      </w:pPr>
      <w:r>
        <w:rPr>
          <w:rFonts w:ascii="Calibri" w:hAnsi="Calibri"/>
          <w:b/>
          <w:color w:val="0B3A67"/>
        </w:rPr>
        <w:t xml:space="preserve">Purpose: </w:t>
      </w:r>
      <w:r>
        <w:rPr>
          <w:rFonts w:ascii="Calibri" w:hAnsi="Calibri"/>
          <w:color w:val="172B3A"/>
        </w:rPr>
        <w:t>Present the website as the operations center rather than a general public website.</w:t>
      </w:r>
    </w:p>
    <w:p>
      <w:pPr>
        <w:pStyle w:val="Heading3"/>
        <w:keepNext/>
      </w:pPr>
      <w:r>
        <w:t>On-slide copy</w:t>
      </w:r>
    </w:p>
    <w:p>
      <w:pPr>
        <w:numPr>
          <w:ilvl w:val="0"/>
          <w:numId w:val="10"/>
        </w:numPr>
      </w:pPr>
      <w:r>
        <w:rPr>
          <w:rFonts w:ascii="Calibri" w:hAnsi="Calibri"/>
          <w:color w:val="172B3A"/>
        </w:rPr>
        <w:t>Dashboard for active incidents, new alerts, responders, and resolved cases</w:t>
      </w:r>
    </w:p>
    <w:p>
      <w:pPr>
        <w:numPr>
          <w:ilvl w:val="0"/>
          <w:numId w:val="10"/>
        </w:numPr>
      </w:pPr>
      <w:r>
        <w:rPr>
          <w:rFonts w:ascii="Calibri" w:hAnsi="Calibri"/>
          <w:color w:val="172B3A"/>
        </w:rPr>
        <w:t>Alert details with category, device, location, timestamp, validation, voice context, and field notes</w:t>
      </w:r>
    </w:p>
    <w:p>
      <w:pPr>
        <w:numPr>
          <w:ilvl w:val="0"/>
          <w:numId w:val="10"/>
        </w:numPr>
      </w:pPr>
      <w:r>
        <w:rPr>
          <w:rFonts w:ascii="Calibri" w:hAnsi="Calibri"/>
          <w:color w:val="172B3A"/>
        </w:rPr>
        <w:t>Responder and resource assignment with guarded confirmation</w:t>
      </w:r>
    </w:p>
    <w:p>
      <w:pPr>
        <w:numPr>
          <w:ilvl w:val="0"/>
          <w:numId w:val="10"/>
        </w:numPr>
      </w:pPr>
      <w:r>
        <w:rPr>
          <w:rFonts w:ascii="Calibri" w:hAnsi="Calibri"/>
          <w:color w:val="172B3A"/>
        </w:rPr>
        <w:t>Node map, reports, analytics, user management, settings, and audit-aware actions</w:t>
      </w:r>
    </w:p>
    <w:p>
      <w:pPr>
        <w:spacing w:after="120"/>
      </w:pPr>
      <w:r>
        <w:rPr>
          <w:rFonts w:ascii="Calibri" w:hAnsi="Calibri"/>
          <w:b/>
          <w:color w:val="0B3A67"/>
        </w:rPr>
        <w:t xml:space="preserve">Recommended visual: </w:t>
      </w:r>
      <w:r>
        <w:rPr>
          <w:rFonts w:ascii="Calibri" w:hAnsi="Calibri"/>
          <w:color w:val="172B3A"/>
        </w:rPr>
        <w:t>Use one full-width dashboard screenshot plus three small callouts pointing to Live Alerts, Responders &amp; Resources, and Incident Map.</w:t>
      </w:r>
    </w:p>
    <w:p>
      <w:pPr>
        <w:spacing w:after="90" w:before="90"/>
        <w:shd w:fill="F4F7FA"/>
        <w:ind w:left="140" w:right="140"/>
      </w:pPr>
      <w:r>
        <w:rPr>
          <w:rFonts w:ascii="Calibri" w:hAnsi="Calibri"/>
          <w:b/>
          <w:color w:val="0B3A67"/>
        </w:rPr>
        <w:t xml:space="preserve">Speaker notes: </w:t>
      </w:r>
      <w:r>
        <w:rPr>
          <w:rFonts w:ascii="Calibri" w:hAnsi="Calibri"/>
          <w:color w:val="172B3A"/>
        </w:rPr>
        <w:t>The website is intended for authorized MDRRMO personnel. It centralizes incoming alerts, assignments, device information, incident history, and operational views. Searchable selectors and a grouped sidebar reduce navigation effort. High-impact actions include a review step to reduce accidental dispatch or closure.</w:t>
      </w:r>
    </w:p>
    <w:p>
      <w:pPr>
        <w:spacing w:after="120"/>
      </w:pPr>
      <w:r>
        <w:rPr>
          <w:rFonts w:ascii="Calibri" w:hAnsi="Calibri"/>
          <w:b/>
          <w:color w:val="0B3A67"/>
        </w:rPr>
        <w:t xml:space="preserve">Transition: </w:t>
      </w:r>
      <w:r>
        <w:rPr>
          <w:rFonts w:ascii="Calibri" w:hAnsi="Calibri"/>
          <w:color w:val="172B3A"/>
        </w:rPr>
        <w:t>The responder application carries the assignment from the operations center into the field.</w:t>
      </w:r>
    </w:p>
    <w:p>
      <w:r>
        <w:br w:type="page"/>
      </w:r>
    </w:p>
    <w:p>
      <w:pPr>
        <w:pStyle w:val="Heading2"/>
        <w:keepNext/>
        <w:spacing w:before="0"/>
      </w:pPr>
      <w:r>
        <w:t>Slide 10. The Personnel Responder Application</w:t>
      </w:r>
    </w:p>
    <w:p>
      <w:pPr>
        <w:spacing w:after="90" w:before="90"/>
        <w:shd w:fill="EAF2FF"/>
        <w:ind w:left="140" w:right="140"/>
      </w:pPr>
      <w:r>
        <w:rPr>
          <w:rFonts w:ascii="Calibri" w:hAnsi="Calibri"/>
          <w:b/>
          <w:color w:val="0B3A67"/>
        </w:rPr>
        <w:t xml:space="preserve">Purpose: </w:t>
      </w:r>
      <w:r>
        <w:rPr>
          <w:rFonts w:ascii="Calibri" w:hAnsi="Calibri"/>
          <w:color w:val="172B3A"/>
        </w:rPr>
        <w:t>Explain what responders can do on a phone in the field.</w:t>
      </w:r>
    </w:p>
    <w:p>
      <w:pPr>
        <w:pStyle w:val="Heading3"/>
        <w:keepNext/>
      </w:pPr>
      <w:r>
        <w:t>On-slide copy</w:t>
      </w:r>
    </w:p>
    <w:p>
      <w:pPr>
        <w:numPr>
          <w:ilvl w:val="0"/>
          <w:numId w:val="10"/>
        </w:numPr>
      </w:pPr>
      <w:r>
        <w:rPr>
          <w:rFonts w:ascii="Calibri" w:hAnsi="Calibri"/>
          <w:color w:val="172B3A"/>
        </w:rPr>
        <w:t>Receive and review assigned incidents</w:t>
      </w:r>
    </w:p>
    <w:p>
      <w:pPr>
        <w:numPr>
          <w:ilvl w:val="0"/>
          <w:numId w:val="10"/>
        </w:numPr>
      </w:pPr>
      <w:r>
        <w:rPr>
          <w:rFonts w:ascii="Calibri" w:hAnsi="Calibri"/>
          <w:color w:val="172B3A"/>
        </w:rPr>
        <w:t>View category, priority, location, coordinates, assigned unit, and available voice context</w:t>
      </w:r>
    </w:p>
    <w:p>
      <w:pPr>
        <w:numPr>
          <w:ilvl w:val="0"/>
          <w:numId w:val="10"/>
        </w:numPr>
      </w:pPr>
      <w:r>
        <w:rPr>
          <w:rFonts w:ascii="Calibri" w:hAnsi="Calibri"/>
          <w:color w:val="172B3A"/>
        </w:rPr>
        <w:t>Open route context and local map previews</w:t>
      </w:r>
    </w:p>
    <w:p>
      <w:pPr>
        <w:numPr>
          <w:ilvl w:val="0"/>
          <w:numId w:val="10"/>
        </w:numPr>
      </w:pPr>
      <w:r>
        <w:rPr>
          <w:rFonts w:ascii="Calibri" w:hAnsi="Calibri"/>
          <w:color w:val="172B3A"/>
        </w:rPr>
        <w:t>Update response status and submit field notes</w:t>
      </w:r>
    </w:p>
    <w:p>
      <w:pPr>
        <w:numPr>
          <w:ilvl w:val="0"/>
          <w:numId w:val="10"/>
        </w:numPr>
      </w:pPr>
      <w:r>
        <w:rPr>
          <w:rFonts w:ascii="Calibri" w:hAnsi="Calibri"/>
          <w:color w:val="172B3A"/>
        </w:rPr>
        <w:t>Request backup and review incident history</w:t>
      </w:r>
    </w:p>
    <w:p>
      <w:pPr>
        <w:spacing w:after="120"/>
      </w:pPr>
      <w:r>
        <w:rPr>
          <w:rFonts w:ascii="Calibri" w:hAnsi="Calibri"/>
          <w:b/>
          <w:color w:val="0B3A67"/>
        </w:rPr>
        <w:t xml:space="preserve">Recommended visual: </w:t>
      </w:r>
      <w:r>
        <w:rPr>
          <w:rFonts w:ascii="Calibri" w:hAnsi="Calibri"/>
          <w:color w:val="172B3A"/>
        </w:rPr>
        <w:t>Show three mobile screens: Home/Assignments, Incident Details, and Status Update.</w:t>
      </w:r>
    </w:p>
    <w:p>
      <w:pPr>
        <w:spacing w:after="90" w:before="90"/>
        <w:shd w:fill="F4F7FA"/>
        <w:ind w:left="140" w:right="140"/>
      </w:pPr>
      <w:r>
        <w:rPr>
          <w:rFonts w:ascii="Calibri" w:hAnsi="Calibri"/>
          <w:b/>
          <w:color w:val="0B3A67"/>
        </w:rPr>
        <w:t xml:space="preserve">Speaker notes: </w:t>
      </w:r>
      <w:r>
        <w:rPr>
          <w:rFonts w:ascii="Calibri" w:hAnsi="Calibri"/>
          <w:color w:val="172B3A"/>
        </w:rPr>
        <w:t>The mobile experience prioritizes large controls and short workflows for wet, gloved, or stressful field conditions. Buttons and icon controls use at least 48 by 48 logical pixels. The app does not ask responders to navigate the full administration system; it concentrates on their assignment and field updates.</w:t>
      </w:r>
    </w:p>
    <w:p>
      <w:pPr>
        <w:spacing w:after="120"/>
      </w:pPr>
      <w:r>
        <w:rPr>
          <w:rFonts w:ascii="Calibri" w:hAnsi="Calibri"/>
          <w:b/>
          <w:color w:val="0B3A67"/>
        </w:rPr>
        <w:t xml:space="preserve">Transition: </w:t>
      </w:r>
      <w:r>
        <w:rPr>
          <w:rFonts w:ascii="Calibri" w:hAnsi="Calibri"/>
          <w:color w:val="172B3A"/>
        </w:rPr>
        <w:t>Field use also means the design must remain useful when connectivity is poor.</w:t>
      </w:r>
    </w:p>
    <w:p>
      <w:r>
        <w:br w:type="page"/>
      </w:r>
    </w:p>
    <w:p>
      <w:pPr>
        <w:pStyle w:val="Heading2"/>
        <w:keepNext/>
        <w:spacing w:before="0"/>
      </w:pPr>
      <w:r>
        <w:t>Slide 11. Designed for Low Connectivity</w:t>
      </w:r>
    </w:p>
    <w:p>
      <w:pPr>
        <w:spacing w:after="90" w:before="90"/>
        <w:shd w:fill="EAF2FF"/>
        <w:ind w:left="140" w:right="140"/>
      </w:pPr>
      <w:r>
        <w:rPr>
          <w:rFonts w:ascii="Calibri" w:hAnsi="Calibri"/>
          <w:b/>
          <w:color w:val="0B3A67"/>
        </w:rPr>
        <w:t xml:space="preserve">Purpose: </w:t>
      </w:r>
      <w:r>
        <w:rPr>
          <w:rFonts w:ascii="Calibri" w:hAnsi="Calibri"/>
          <w:color w:val="172B3A"/>
        </w:rPr>
        <w:t>Show how NodeGuard responds to Benguet's connectivity constraints.</w:t>
      </w:r>
    </w:p>
    <w:p>
      <w:pPr>
        <w:pStyle w:val="Heading3"/>
        <w:keepNext/>
      </w:pPr>
      <w:r>
        <w:t>On-slide copy</w:t>
      </w:r>
    </w:p>
    <w:p>
      <w:pPr>
        <w:numPr>
          <w:ilvl w:val="0"/>
          <w:numId w:val="10"/>
        </w:numPr>
      </w:pPr>
      <w:r>
        <w:rPr>
          <w:rFonts w:ascii="Calibri" w:hAnsi="Calibri"/>
          <w:color w:val="172B3A"/>
        </w:rPr>
        <w:t>Online - live data, maps, audio, dispatch, and device commands</w:t>
      </w:r>
    </w:p>
    <w:p>
      <w:pPr>
        <w:numPr>
          <w:ilvl w:val="0"/>
          <w:numId w:val="10"/>
        </w:numPr>
      </w:pPr>
      <w:r>
        <w:rPr>
          <w:rFonts w:ascii="Calibri" w:hAnsi="Calibri"/>
          <w:color w:val="172B3A"/>
        </w:rPr>
        <w:t>Low-Bandwidth Mode - text, transcripts, forms, coordinates, and lightweight maps remain available</w:t>
      </w:r>
    </w:p>
    <w:p>
      <w:pPr>
        <w:numPr>
          <w:ilvl w:val="0"/>
          <w:numId w:val="10"/>
        </w:numPr>
      </w:pPr>
      <w:r>
        <w:rPr>
          <w:rFonts w:ascii="Calibri" w:hAnsi="Calibri"/>
          <w:color w:val="172B3A"/>
        </w:rPr>
        <w:t>Offline Local-Sync - drafts and responder status updates are stored locally and queued</w:t>
      </w:r>
    </w:p>
    <w:p>
      <w:pPr>
        <w:numPr>
          <w:ilvl w:val="0"/>
          <w:numId w:val="10"/>
        </w:numPr>
      </w:pPr>
      <w:r>
        <w:rPr>
          <w:rFonts w:ascii="Calibri" w:hAnsi="Calibri"/>
          <w:color w:val="172B3A"/>
        </w:rPr>
        <w:t>Remote media and map tiles are deferred when bandwidth is constrained</w:t>
      </w:r>
    </w:p>
    <w:p>
      <w:pPr>
        <w:spacing w:after="120"/>
      </w:pPr>
      <w:r>
        <w:rPr>
          <w:rFonts w:ascii="Calibri" w:hAnsi="Calibri"/>
          <w:b/>
          <w:color w:val="0B3A67"/>
        </w:rPr>
        <w:t xml:space="preserve">Recommended visual: </w:t>
      </w:r>
      <w:r>
        <w:rPr>
          <w:rFonts w:ascii="Calibri" w:hAnsi="Calibri"/>
          <w:color w:val="172B3A"/>
        </w:rPr>
        <w:t>Use three connectivity-state cards: Online, Low Bandwidth, and Offline Local-Sync.</w:t>
      </w:r>
    </w:p>
    <w:p>
      <w:pPr>
        <w:spacing w:after="90" w:before="90"/>
        <w:shd w:fill="F4F7FA"/>
        <w:ind w:left="140" w:right="140"/>
      </w:pPr>
      <w:r>
        <w:rPr>
          <w:rFonts w:ascii="Calibri" w:hAnsi="Calibri"/>
          <w:b/>
          <w:color w:val="0B3A67"/>
        </w:rPr>
        <w:t xml:space="preserve">Speaker notes: </w:t>
      </w:r>
      <w:r>
        <w:rPr>
          <w:rFonts w:ascii="Calibri" w:hAnsi="Calibri"/>
          <w:color w:val="172B3A"/>
        </w:rPr>
        <w:t>Be precise: offline does not mean every feature works without a network. The responder can preserve drafts and queue permitted field-status updates. Dispatch and dangerous device commands wait for a live connection. This distinction prevents the system from replaying stale high-impact instructions after connectivity returns.</w:t>
      </w:r>
    </w:p>
    <w:p>
      <w:pPr>
        <w:spacing w:after="120"/>
      </w:pPr>
      <w:r>
        <w:rPr>
          <w:rFonts w:ascii="Calibri" w:hAnsi="Calibri"/>
          <w:b/>
          <w:color w:val="0B3A67"/>
        </w:rPr>
        <w:t xml:space="preserve">Transition: </w:t>
      </w:r>
      <w:r>
        <w:rPr>
          <w:rFonts w:ascii="Calibri" w:hAnsi="Calibri"/>
          <w:color w:val="172B3A"/>
        </w:rPr>
        <w:t>The same safety principle also shapes how high-impact controls behave.</w:t>
      </w:r>
    </w:p>
    <w:p>
      <w:r>
        <w:br w:type="page"/>
      </w:r>
    </w:p>
    <w:p>
      <w:pPr>
        <w:pStyle w:val="Heading2"/>
        <w:keepNext/>
        <w:spacing w:before="0"/>
      </w:pPr>
      <w:r>
        <w:t>Slide 12. Safe-Trigger and Ready / Set / Go UX</w:t>
      </w:r>
    </w:p>
    <w:p>
      <w:pPr>
        <w:spacing w:after="90" w:before="90"/>
        <w:shd w:fill="EAF2FF"/>
        <w:ind w:left="140" w:right="140"/>
      </w:pPr>
      <w:r>
        <w:rPr>
          <w:rFonts w:ascii="Calibri" w:hAnsi="Calibri"/>
          <w:b/>
          <w:color w:val="0B3A67"/>
        </w:rPr>
        <w:t xml:space="preserve">Purpose: </w:t>
      </w:r>
      <w:r>
        <w:rPr>
          <w:rFonts w:ascii="Calibri" w:hAnsi="Calibri"/>
          <w:color w:val="172B3A"/>
        </w:rPr>
        <w:t>Explain the safety logic behind color and confirmation design.</w:t>
      </w:r>
    </w:p>
    <w:p>
      <w:pPr>
        <w:pStyle w:val="Heading3"/>
        <w:keepNext/>
      </w:pPr>
      <w:r>
        <w:t>On-slide copy</w:t>
      </w:r>
    </w:p>
    <w:p>
      <w:pPr>
        <w:numPr>
          <w:ilvl w:val="0"/>
          <w:numId w:val="10"/>
        </w:numPr>
      </w:pPr>
      <w:r>
        <w:rPr>
          <w:rFonts w:ascii="Calibri" w:hAnsi="Calibri"/>
          <w:color w:val="172B3A"/>
        </w:rPr>
        <w:t>White = Ready: clear, neutral, prepared state</w:t>
      </w:r>
    </w:p>
    <w:p>
      <w:pPr>
        <w:numPr>
          <w:ilvl w:val="0"/>
          <w:numId w:val="10"/>
        </w:numPr>
      </w:pPr>
      <w:r>
        <w:rPr>
          <w:rFonts w:ascii="Calibri" w:hAnsi="Calibri"/>
          <w:color w:val="172B3A"/>
        </w:rPr>
        <w:t>Blue = Set: selection, coordination, active workflow, and primary actions</w:t>
      </w:r>
    </w:p>
    <w:p>
      <w:pPr>
        <w:numPr>
          <w:ilvl w:val="0"/>
          <w:numId w:val="10"/>
        </w:numPr>
      </w:pPr>
      <w:r>
        <w:rPr>
          <w:rFonts w:ascii="Calibri" w:hAnsi="Calibri"/>
          <w:color w:val="172B3A"/>
        </w:rPr>
        <w:t>Red = Go: urgent field consequence or critical response state</w:t>
      </w:r>
    </w:p>
    <w:p>
      <w:pPr>
        <w:numPr>
          <w:ilvl w:val="0"/>
          <w:numId w:val="10"/>
        </w:numPr>
      </w:pPr>
      <w:r>
        <w:rPr>
          <w:rFonts w:ascii="Calibri" w:hAnsi="Calibri"/>
          <w:color w:val="172B3A"/>
        </w:rPr>
        <w:t>Dispatch, false-alarm closure, incident resolution, and buzzer controls require deliberate review</w:t>
      </w:r>
    </w:p>
    <w:p>
      <w:pPr>
        <w:spacing w:after="120"/>
      </w:pPr>
      <w:r>
        <w:rPr>
          <w:rFonts w:ascii="Calibri" w:hAnsi="Calibri"/>
          <w:b/>
          <w:color w:val="0B3A67"/>
        </w:rPr>
        <w:t xml:space="preserve">Recommended visual: </w:t>
      </w:r>
      <w:r>
        <w:rPr>
          <w:rFonts w:ascii="Calibri" w:hAnsi="Calibri"/>
          <w:color w:val="172B3A"/>
        </w:rPr>
        <w:t>Show the three-color state system and a two-step confirmation example with a review checkbox.</w:t>
      </w:r>
    </w:p>
    <w:p>
      <w:pPr>
        <w:spacing w:after="90" w:before="90"/>
        <w:shd w:fill="F4F7FA"/>
        <w:ind w:left="140" w:right="140"/>
      </w:pPr>
      <w:r>
        <w:rPr>
          <w:rFonts w:ascii="Calibri" w:hAnsi="Calibri"/>
          <w:b/>
          <w:color w:val="0B3A67"/>
        </w:rPr>
        <w:t xml:space="preserve">Speaker notes: </w:t>
      </w:r>
      <w:r>
        <w:rPr>
          <w:rFonts w:ascii="Calibri" w:hAnsi="Calibri"/>
          <w:color w:val="172B3A"/>
        </w:rPr>
        <w:t>Red is not used for ordinary maintenance, unavailable resources, or generic buttons. It is reserved for urgency, such as an active response, backup request, critical priority, or urgent buzzer activation. This makes the color meaningful and reduces alarm fatigue. High-impact actions state the target and consequence before confirmation.</w:t>
      </w:r>
    </w:p>
    <w:p>
      <w:pPr>
        <w:spacing w:after="120"/>
      </w:pPr>
      <w:r>
        <w:rPr>
          <w:rFonts w:ascii="Calibri" w:hAnsi="Calibri"/>
          <w:b/>
          <w:color w:val="0B3A67"/>
        </w:rPr>
        <w:t xml:space="preserve">Transition: </w:t>
      </w:r>
      <w:r>
        <w:rPr>
          <w:rFonts w:ascii="Calibri" w:hAnsi="Calibri"/>
          <w:color w:val="172B3A"/>
        </w:rPr>
        <w:t>Behind these interfaces is a shared system that protects and synchronizes operational data.</w:t>
      </w:r>
    </w:p>
    <w:p>
      <w:r>
        <w:br w:type="page"/>
      </w:r>
    </w:p>
    <w:p>
      <w:pPr>
        <w:pStyle w:val="Heading2"/>
        <w:keepNext/>
        <w:spacing w:before="0"/>
      </w:pPr>
      <w:r>
        <w:t>Slide 13. System Architecture and Data Flow</w:t>
      </w:r>
    </w:p>
    <w:p>
      <w:pPr>
        <w:spacing w:after="90" w:before="90"/>
        <w:shd w:fill="EAF2FF"/>
        <w:ind w:left="140" w:right="140"/>
      </w:pPr>
      <w:r>
        <w:rPr>
          <w:rFonts w:ascii="Calibri" w:hAnsi="Calibri"/>
          <w:b/>
          <w:color w:val="0B3A67"/>
        </w:rPr>
        <w:t xml:space="preserve">Purpose: </w:t>
      </w:r>
      <w:r>
        <w:rPr>
          <w:rFonts w:ascii="Calibri" w:hAnsi="Calibri"/>
          <w:color w:val="172B3A"/>
        </w:rPr>
        <w:t>Give a technical overview without overwhelming a general audience.</w:t>
      </w:r>
    </w:p>
    <w:p>
      <w:pPr>
        <w:pStyle w:val="Heading3"/>
        <w:keepNext/>
      </w:pPr>
      <w:r>
        <w:t>On-slide copy</w:t>
      </w:r>
    </w:p>
    <w:p>
      <w:pPr>
        <w:numPr>
          <w:ilvl w:val="0"/>
          <w:numId w:val="10"/>
        </w:numPr>
      </w:pPr>
      <w:r>
        <w:rPr>
          <w:rFonts w:ascii="Calibri" w:hAnsi="Calibri"/>
          <w:color w:val="172B3A"/>
        </w:rPr>
        <w:t>IoT alert node -&gt; secure backend -&gt; MDRRMO website</w:t>
      </w:r>
    </w:p>
    <w:p>
      <w:pPr>
        <w:numPr>
          <w:ilvl w:val="0"/>
          <w:numId w:val="10"/>
        </w:numPr>
      </w:pPr>
      <w:r>
        <w:rPr>
          <w:rFonts w:ascii="Calibri" w:hAnsi="Calibri"/>
          <w:color w:val="172B3A"/>
        </w:rPr>
        <w:t>MDRRMO assignment -&gt; shared database -&gt; responder application</w:t>
      </w:r>
    </w:p>
    <w:p>
      <w:pPr>
        <w:numPr>
          <w:ilvl w:val="0"/>
          <w:numId w:val="10"/>
        </w:numPr>
      </w:pPr>
      <w:r>
        <w:rPr>
          <w:rFonts w:ascii="Calibri" w:hAnsi="Calibri"/>
          <w:color w:val="172B3A"/>
        </w:rPr>
        <w:t>Responder update -&gt; incident history -&gt; operations monitoring and reports</w:t>
      </w:r>
    </w:p>
    <w:p>
      <w:pPr>
        <w:numPr>
          <w:ilvl w:val="0"/>
          <w:numId w:val="10"/>
        </w:numPr>
      </w:pPr>
      <w:r>
        <w:rPr>
          <w:rFonts w:ascii="Calibri" w:hAnsi="Calibri"/>
          <w:color w:val="172B3A"/>
        </w:rPr>
        <w:t>Core software: Next.js website, Flutter application, and Supabase services</w:t>
      </w:r>
    </w:p>
    <w:p>
      <w:pPr>
        <w:numPr>
          <w:ilvl w:val="0"/>
          <w:numId w:val="10"/>
        </w:numPr>
      </w:pPr>
      <w:r>
        <w:rPr>
          <w:rFonts w:ascii="Calibri" w:hAnsi="Calibri"/>
          <w:color w:val="172B3A"/>
        </w:rPr>
        <w:t>Optional SMS notification supports assignment awareness</w:t>
      </w:r>
    </w:p>
    <w:p>
      <w:pPr>
        <w:spacing w:after="120"/>
      </w:pPr>
      <w:r>
        <w:rPr>
          <w:rFonts w:ascii="Calibri" w:hAnsi="Calibri"/>
          <w:b/>
          <w:color w:val="0B3A67"/>
        </w:rPr>
        <w:t xml:space="preserve">Recommended visual: </w:t>
      </w:r>
      <w:r>
        <w:rPr>
          <w:rFonts w:ascii="Calibri" w:hAnsi="Calibri"/>
          <w:color w:val="172B3A"/>
        </w:rPr>
        <w:t>Use a layered architecture diagram: Devices, Applications, Services/Data, and Authorized Users.</w:t>
      </w:r>
    </w:p>
    <w:p>
      <w:pPr>
        <w:spacing w:after="90" w:before="90"/>
        <w:shd w:fill="F4F7FA"/>
        <w:ind w:left="140" w:right="140"/>
      </w:pPr>
      <w:r>
        <w:rPr>
          <w:rFonts w:ascii="Calibri" w:hAnsi="Calibri"/>
          <w:b/>
          <w:color w:val="0B3A67"/>
        </w:rPr>
        <w:t xml:space="preserve">Speaker notes: </w:t>
      </w:r>
      <w:r>
        <w:rPr>
          <w:rFonts w:ascii="Calibri" w:hAnsi="Calibri"/>
          <w:color w:val="172B3A"/>
        </w:rPr>
        <w:t>Explain that one shared backend keeps the website and app aligned. It stores devices, incidents, assignments, users, resources, status history, voice metadata, and audit records. Realtime updates reduce manual refresh, while role-based access and database policies limit what each user can view or change.</w:t>
      </w:r>
    </w:p>
    <w:p>
      <w:pPr>
        <w:spacing w:after="120"/>
      </w:pPr>
      <w:r>
        <w:rPr>
          <w:rFonts w:ascii="Calibri" w:hAnsi="Calibri"/>
          <w:b/>
          <w:color w:val="0B3A67"/>
        </w:rPr>
        <w:t xml:space="preserve">Transition: </w:t>
      </w:r>
      <w:r>
        <w:rPr>
          <w:rFonts w:ascii="Calibri" w:hAnsi="Calibri"/>
          <w:color w:val="172B3A"/>
        </w:rPr>
        <w:t>A short scenario makes that architecture easier to understand.</w:t>
      </w:r>
    </w:p>
    <w:p>
      <w:r>
        <w:br w:type="page"/>
      </w:r>
    </w:p>
    <w:p>
      <w:pPr>
        <w:pStyle w:val="Heading2"/>
        <w:keepNext/>
        <w:spacing w:before="0"/>
      </w:pPr>
      <w:r>
        <w:t>Slide 14. Scenario: Medical Emergency at Km. 5 Pico</w:t>
      </w:r>
    </w:p>
    <w:p>
      <w:pPr>
        <w:spacing w:after="90" w:before="90"/>
        <w:shd w:fill="EAF2FF"/>
        <w:ind w:left="140" w:right="140"/>
      </w:pPr>
      <w:r>
        <w:rPr>
          <w:rFonts w:ascii="Calibri" w:hAnsi="Calibri"/>
          <w:b/>
          <w:color w:val="0B3A67"/>
        </w:rPr>
        <w:t xml:space="preserve">Purpose: </w:t>
      </w:r>
      <w:r>
        <w:rPr>
          <w:rFonts w:ascii="Calibri" w:hAnsi="Calibri"/>
          <w:color w:val="172B3A"/>
        </w:rPr>
        <w:t>Turn the abstract workflow into a realistic, memorable story.</w:t>
      </w:r>
    </w:p>
    <w:p>
      <w:pPr>
        <w:pStyle w:val="Heading3"/>
        <w:keepNext/>
      </w:pPr>
      <w:r>
        <w:t>On-slide copy</w:t>
      </w:r>
    </w:p>
    <w:p>
      <w:pPr>
        <w:numPr>
          <w:ilvl w:val="0"/>
          <w:numId w:val="10"/>
        </w:numPr>
      </w:pPr>
      <w:r>
        <w:rPr>
          <w:rFonts w:ascii="Calibri" w:hAnsi="Calibri"/>
          <w:color w:val="172B3A"/>
        </w:rPr>
        <w:t>A witness presses Medical Emergency at a registered node.</w:t>
      </w:r>
    </w:p>
    <w:p>
      <w:pPr>
        <w:numPr>
          <w:ilvl w:val="0"/>
          <w:numId w:val="10"/>
        </w:numPr>
      </w:pPr>
      <w:r>
        <w:rPr>
          <w:rFonts w:ascii="Calibri" w:hAnsi="Calibri"/>
          <w:color w:val="172B3A"/>
        </w:rPr>
        <w:t>The dashboard immediately receives the node ID, Km. 5 Pico location, and timestamp.</w:t>
      </w:r>
    </w:p>
    <w:p>
      <w:pPr>
        <w:numPr>
          <w:ilvl w:val="0"/>
          <w:numId w:val="10"/>
        </w:numPr>
      </w:pPr>
      <w:r>
        <w:rPr>
          <w:rFonts w:ascii="Calibri" w:hAnsi="Calibri"/>
          <w:color w:val="172B3A"/>
        </w:rPr>
        <w:t>The witness adds a short voice message: one person is unconscious.</w:t>
      </w:r>
    </w:p>
    <w:p>
      <w:pPr>
        <w:numPr>
          <w:ilvl w:val="0"/>
          <w:numId w:val="10"/>
        </w:numPr>
      </w:pPr>
      <w:r>
        <w:rPr>
          <w:rFonts w:ascii="Calibri" w:hAnsi="Calibri"/>
          <w:color w:val="172B3A"/>
        </w:rPr>
        <w:t>MDRRMO verifies the report and dispatches an available medical team.</w:t>
      </w:r>
    </w:p>
    <w:p>
      <w:pPr>
        <w:numPr>
          <w:ilvl w:val="0"/>
          <w:numId w:val="10"/>
        </w:numPr>
      </w:pPr>
      <w:r>
        <w:rPr>
          <w:rFonts w:ascii="Calibri" w:hAnsi="Calibri"/>
          <w:color w:val="172B3A"/>
        </w:rPr>
        <w:t>The responder app records En Route, On Scene, Responding, and Resolved updates.</w:t>
      </w:r>
    </w:p>
    <w:p>
      <w:pPr>
        <w:spacing w:after="120"/>
      </w:pPr>
      <w:r>
        <w:rPr>
          <w:rFonts w:ascii="Calibri" w:hAnsi="Calibri"/>
          <w:b/>
          <w:color w:val="0B3A67"/>
        </w:rPr>
        <w:t xml:space="preserve">Recommended visual: </w:t>
      </w:r>
      <w:r>
        <w:rPr>
          <w:rFonts w:ascii="Calibri" w:hAnsi="Calibri"/>
          <w:color w:val="172B3A"/>
        </w:rPr>
        <w:t>Use a timeline with five moments and screenshots or icons matched to each system component.</w:t>
      </w:r>
    </w:p>
    <w:p>
      <w:pPr>
        <w:spacing w:after="90" w:before="90"/>
        <w:shd w:fill="F4F7FA"/>
        <w:ind w:left="140" w:right="140"/>
      </w:pPr>
      <w:r>
        <w:rPr>
          <w:rFonts w:ascii="Calibri" w:hAnsi="Calibri"/>
          <w:b/>
          <w:color w:val="0B3A67"/>
        </w:rPr>
        <w:t xml:space="preserve">Speaker notes: </w:t>
      </w:r>
      <w:r>
        <w:rPr>
          <w:rFonts w:ascii="Calibri" w:hAnsi="Calibri"/>
          <w:color w:val="172B3A"/>
        </w:rPr>
        <w:t>Label this clearly as an illustrative scenario, not a record of an actual incident. Point out what NodeGuard contributes: known location, structured category, timestamp, optional context, an assignment record, and field updates. Human responders still assess the patient and follow official medical and MDRRMO protocols.</w:t>
      </w:r>
    </w:p>
    <w:p>
      <w:pPr>
        <w:spacing w:after="120"/>
      </w:pPr>
      <w:r>
        <w:rPr>
          <w:rFonts w:ascii="Calibri" w:hAnsi="Calibri"/>
          <w:b/>
          <w:color w:val="0B3A67"/>
        </w:rPr>
        <w:t xml:space="preserve">Transition: </w:t>
      </w:r>
      <w:r>
        <w:rPr>
          <w:rFonts w:ascii="Calibri" w:hAnsi="Calibri"/>
          <w:color w:val="172B3A"/>
        </w:rPr>
        <w:t>Because each step is recorded, the system can support more than immediate dispatch.</w:t>
      </w:r>
    </w:p>
    <w:p>
      <w:r>
        <w:br w:type="page"/>
      </w:r>
    </w:p>
    <w:p>
      <w:pPr>
        <w:pStyle w:val="Heading2"/>
        <w:keepNext/>
        <w:spacing w:before="0"/>
      </w:pPr>
      <w:r>
        <w:t>Slide 15. Maps, Records, Reports, and Analytics</w:t>
      </w:r>
    </w:p>
    <w:p>
      <w:pPr>
        <w:spacing w:after="90" w:before="90"/>
        <w:shd w:fill="EAF2FF"/>
        <w:ind w:left="140" w:right="140"/>
      </w:pPr>
      <w:r>
        <w:rPr>
          <w:rFonts w:ascii="Calibri" w:hAnsi="Calibri"/>
          <w:b/>
          <w:color w:val="0B3A67"/>
        </w:rPr>
        <w:t xml:space="preserve">Purpose: </w:t>
      </w:r>
      <w:r>
        <w:rPr>
          <w:rFonts w:ascii="Calibri" w:hAnsi="Calibri"/>
          <w:color w:val="172B3A"/>
        </w:rPr>
        <w:t>Explain the longer-term value of consistent incident information.</w:t>
      </w:r>
    </w:p>
    <w:p>
      <w:pPr>
        <w:pStyle w:val="Heading3"/>
        <w:keepNext/>
      </w:pPr>
      <w:r>
        <w:t>On-slide copy</w:t>
      </w:r>
    </w:p>
    <w:p>
      <w:pPr>
        <w:numPr>
          <w:ilvl w:val="0"/>
          <w:numId w:val="10"/>
        </w:numPr>
      </w:pPr>
      <w:r>
        <w:rPr>
          <w:rFonts w:ascii="Calibri" w:hAnsi="Calibri"/>
          <w:color w:val="172B3A"/>
        </w:rPr>
        <w:t>Registered node and incident locations</w:t>
      </w:r>
    </w:p>
    <w:p>
      <w:pPr>
        <w:numPr>
          <w:ilvl w:val="0"/>
          <w:numId w:val="10"/>
        </w:numPr>
      </w:pPr>
      <w:r>
        <w:rPr>
          <w:rFonts w:ascii="Calibri" w:hAnsi="Calibri"/>
          <w:color w:val="172B3A"/>
        </w:rPr>
        <w:t>Searchable incident records and status histories</w:t>
      </w:r>
    </w:p>
    <w:p>
      <w:pPr>
        <w:numPr>
          <w:ilvl w:val="0"/>
          <w:numId w:val="10"/>
        </w:numPr>
      </w:pPr>
      <w:r>
        <w:rPr>
          <w:rFonts w:ascii="Calibri" w:hAnsi="Calibri"/>
          <w:color w:val="172B3A"/>
        </w:rPr>
        <w:t>Responder and resource assignment information</w:t>
      </w:r>
    </w:p>
    <w:p>
      <w:pPr>
        <w:numPr>
          <w:ilvl w:val="0"/>
          <w:numId w:val="10"/>
        </w:numPr>
      </w:pPr>
      <w:r>
        <w:rPr>
          <w:rFonts w:ascii="Calibri" w:hAnsi="Calibri"/>
          <w:color w:val="172B3A"/>
        </w:rPr>
        <w:t>Operational summaries, trend views, and exportable reports</w:t>
      </w:r>
    </w:p>
    <w:p>
      <w:pPr>
        <w:numPr>
          <w:ilvl w:val="0"/>
          <w:numId w:val="10"/>
        </w:numPr>
      </w:pPr>
      <w:r>
        <w:rPr>
          <w:rFonts w:ascii="Calibri" w:hAnsi="Calibri"/>
          <w:color w:val="172B3A"/>
        </w:rPr>
        <w:t>Links to authoritative MDRRMO hazard-map resources</w:t>
      </w:r>
    </w:p>
    <w:p>
      <w:pPr>
        <w:spacing w:after="120"/>
      </w:pPr>
      <w:r>
        <w:rPr>
          <w:rFonts w:ascii="Calibri" w:hAnsi="Calibri"/>
          <w:b/>
          <w:color w:val="0B3A67"/>
        </w:rPr>
        <w:t xml:space="preserve">Recommended visual: </w:t>
      </w:r>
      <w:r>
        <w:rPr>
          <w:rFonts w:ascii="Calibri" w:hAnsi="Calibri"/>
          <w:color w:val="172B3A"/>
        </w:rPr>
        <w:t>Use a map screenshot beside a small trend chart and a report preview.</w:t>
      </w:r>
    </w:p>
    <w:p>
      <w:pPr>
        <w:spacing w:after="90" w:before="90"/>
        <w:shd w:fill="F4F7FA"/>
        <w:ind w:left="140" w:right="140"/>
      </w:pPr>
      <w:r>
        <w:rPr>
          <w:rFonts w:ascii="Calibri" w:hAnsi="Calibri"/>
          <w:b/>
          <w:color w:val="0B3A67"/>
        </w:rPr>
        <w:t xml:space="preserve">Speaker notes: </w:t>
      </w:r>
      <w:r>
        <w:rPr>
          <w:rFonts w:ascii="Calibri" w:hAnsi="Calibri"/>
          <w:color w:val="172B3A"/>
        </w:rPr>
        <w:t>These features support monitoring, review, planning, and accountability. Do not claim that the current system already contains official interactive flood or landslide overlays for all barangays unless approved georeferenced data has been supplied. The current map can show NodeGuard locations and link to official hazard resources; approved GeoJSON or vector tiles are required for authoritative overlays.</w:t>
      </w:r>
    </w:p>
    <w:p>
      <w:pPr>
        <w:spacing w:after="120"/>
      </w:pPr>
      <w:r>
        <w:rPr>
          <w:rFonts w:ascii="Calibri" w:hAnsi="Calibri"/>
          <w:b/>
          <w:color w:val="0B3A67"/>
        </w:rPr>
        <w:t xml:space="preserve">Transition: </w:t>
      </w:r>
      <w:r>
        <w:rPr>
          <w:rFonts w:ascii="Calibri" w:hAnsi="Calibri"/>
          <w:color w:val="172B3A"/>
        </w:rPr>
        <w:t>The value of these records reaches several stakeholder groups.</w:t>
      </w:r>
    </w:p>
    <w:p>
      <w:r>
        <w:br w:type="page"/>
      </w:r>
    </w:p>
    <w:p>
      <w:pPr>
        <w:pStyle w:val="Heading2"/>
        <w:keepNext/>
        <w:spacing w:before="0"/>
      </w:pPr>
      <w:r>
        <w:t>Slide 16. Expected Benefits and Significance</w:t>
      </w:r>
    </w:p>
    <w:p>
      <w:pPr>
        <w:spacing w:after="90" w:before="90"/>
        <w:shd w:fill="EAF2FF"/>
        <w:ind w:left="140" w:right="140"/>
      </w:pPr>
      <w:r>
        <w:rPr>
          <w:rFonts w:ascii="Calibri" w:hAnsi="Calibri"/>
          <w:b/>
          <w:color w:val="0B3A67"/>
        </w:rPr>
        <w:t xml:space="preserve">Purpose: </w:t>
      </w:r>
      <w:r>
        <w:rPr>
          <w:rFonts w:ascii="Calibri" w:hAnsi="Calibri"/>
          <w:color w:val="172B3A"/>
        </w:rPr>
        <w:t>Connect system functions to practical stakeholder value.</w:t>
      </w:r>
    </w:p>
    <w:p>
      <w:pPr>
        <w:pStyle w:val="Heading3"/>
        <w:keepNext/>
      </w:pPr>
      <w:r>
        <w:t>On-slide copy</w:t>
      </w:r>
    </w:p>
    <w:p>
      <w:pPr>
        <w:numPr>
          <w:ilvl w:val="0"/>
          <w:numId w:val="10"/>
        </w:numPr>
      </w:pPr>
      <w:r>
        <w:rPr>
          <w:rFonts w:ascii="Calibri" w:hAnsi="Calibri"/>
          <w:color w:val="172B3A"/>
        </w:rPr>
        <w:t>MDRRMO: more structured initial information and organized incident monitoring</w:t>
      </w:r>
    </w:p>
    <w:p>
      <w:pPr>
        <w:numPr>
          <w:ilvl w:val="0"/>
          <w:numId w:val="10"/>
        </w:numPr>
      </w:pPr>
      <w:r>
        <w:rPr>
          <w:rFonts w:ascii="Calibri" w:hAnsi="Calibri"/>
          <w:color w:val="172B3A"/>
        </w:rPr>
        <w:t>Responders: clearer assignments, locations, context, and field-update tools</w:t>
      </w:r>
    </w:p>
    <w:p>
      <w:pPr>
        <w:numPr>
          <w:ilvl w:val="0"/>
          <w:numId w:val="10"/>
        </w:numPr>
      </w:pPr>
      <w:r>
        <w:rPr>
          <w:rFonts w:ascii="Calibri" w:hAnsi="Calibri"/>
          <w:color w:val="172B3A"/>
        </w:rPr>
        <w:t>Citizens: an additional reporting option in selected public locations</w:t>
      </w:r>
    </w:p>
    <w:p>
      <w:pPr>
        <w:numPr>
          <w:ilvl w:val="0"/>
          <w:numId w:val="10"/>
        </w:numPr>
      </w:pPr>
      <w:r>
        <w:rPr>
          <w:rFonts w:ascii="Calibri" w:hAnsi="Calibri"/>
          <w:color w:val="172B3A"/>
        </w:rPr>
        <w:t>Local government and partners: records that may support preparedness and resource planning</w:t>
      </w:r>
    </w:p>
    <w:p>
      <w:pPr>
        <w:numPr>
          <w:ilvl w:val="0"/>
          <w:numId w:val="10"/>
        </w:numPr>
      </w:pPr>
      <w:r>
        <w:rPr>
          <w:rFonts w:ascii="Calibri" w:hAnsi="Calibri"/>
          <w:color w:val="172B3A"/>
        </w:rPr>
        <w:t>Researchers: a reference for localized IoT emergency-management systems</w:t>
      </w:r>
    </w:p>
    <w:p>
      <w:pPr>
        <w:spacing w:after="120"/>
      </w:pPr>
      <w:r>
        <w:rPr>
          <w:rFonts w:ascii="Calibri" w:hAnsi="Calibri"/>
          <w:b/>
          <w:color w:val="0B3A67"/>
        </w:rPr>
        <w:t xml:space="preserve">Recommended visual: </w:t>
      </w:r>
      <w:r>
        <w:rPr>
          <w:rFonts w:ascii="Calibri" w:hAnsi="Calibri"/>
          <w:color w:val="172B3A"/>
        </w:rPr>
        <w:t>Use five stakeholder icons with one benefit under each.</w:t>
      </w:r>
    </w:p>
    <w:p>
      <w:pPr>
        <w:spacing w:after="90" w:before="90"/>
        <w:shd w:fill="F4F7FA"/>
        <w:ind w:left="140" w:right="140"/>
      </w:pPr>
      <w:r>
        <w:rPr>
          <w:rFonts w:ascii="Calibri" w:hAnsi="Calibri"/>
          <w:b/>
          <w:color w:val="0B3A67"/>
        </w:rPr>
        <w:t xml:space="preserve">Speaker notes: </w:t>
      </w:r>
      <w:r>
        <w:rPr>
          <w:rFonts w:ascii="Calibri" w:hAnsi="Calibri"/>
          <w:color w:val="172B3A"/>
        </w:rPr>
        <w:t>Use careful language such as supports, assists, may improve, or is intended to reduce. The study does not yet prove municipality-wide reductions in response time or improved incident outcomes. Its contribution is a coordinated prototype and a structured process that can be tested in a controlled pilot.</w:t>
      </w:r>
    </w:p>
    <w:p>
      <w:pPr>
        <w:spacing w:after="120"/>
      </w:pPr>
      <w:r>
        <w:rPr>
          <w:rFonts w:ascii="Calibri" w:hAnsi="Calibri"/>
          <w:b/>
          <w:color w:val="0B3A67"/>
        </w:rPr>
        <w:t xml:space="preserve">Transition: </w:t>
      </w:r>
      <w:r>
        <w:rPr>
          <w:rFonts w:ascii="Calibri" w:hAnsi="Calibri"/>
          <w:color w:val="172B3A"/>
        </w:rPr>
        <w:t>A credible presentation must also be clear about what NodeGuard does not do.</w:t>
      </w:r>
    </w:p>
    <w:p>
      <w:r>
        <w:br w:type="page"/>
      </w:r>
    </w:p>
    <w:p>
      <w:pPr>
        <w:pStyle w:val="Heading2"/>
        <w:keepNext/>
        <w:spacing w:before="0"/>
      </w:pPr>
      <w:r>
        <w:t>Slide 17. Scope, Boundaries, and Limitations</w:t>
      </w:r>
    </w:p>
    <w:p>
      <w:pPr>
        <w:spacing w:after="90" w:before="90"/>
        <w:shd w:fill="EAF2FF"/>
        <w:ind w:left="140" w:right="140"/>
      </w:pPr>
      <w:r>
        <w:rPr>
          <w:rFonts w:ascii="Calibri" w:hAnsi="Calibri"/>
          <w:b/>
          <w:color w:val="0B3A67"/>
        </w:rPr>
        <w:t xml:space="preserve">Purpose: </w:t>
      </w:r>
      <w:r>
        <w:rPr>
          <w:rFonts w:ascii="Calibri" w:hAnsi="Calibri"/>
          <w:color w:val="172B3A"/>
        </w:rPr>
        <w:t>Prevent overclaiming and show responsible project framing.</w:t>
      </w:r>
    </w:p>
    <w:p>
      <w:pPr>
        <w:pStyle w:val="Heading3"/>
        <w:keepNext/>
      </w:pPr>
      <w:r>
        <w:t>On-slide copy</w:t>
      </w:r>
    </w:p>
    <w:p>
      <w:pPr>
        <w:numPr>
          <w:ilvl w:val="0"/>
          <w:numId w:val="10"/>
        </w:numPr>
      </w:pPr>
      <w:r>
        <w:rPr>
          <w:rFonts w:ascii="Calibri" w:hAnsi="Calibri"/>
          <w:color w:val="172B3A"/>
        </w:rPr>
        <w:t>Supports incidents reported through or near installed public nodes</w:t>
      </w:r>
    </w:p>
    <w:p>
      <w:pPr>
        <w:numPr>
          <w:ilvl w:val="0"/>
          <w:numId w:val="10"/>
        </w:numPr>
      </w:pPr>
      <w:r>
        <w:rPr>
          <w:rFonts w:ascii="Calibri" w:hAnsi="Calibri"/>
          <w:color w:val="172B3A"/>
        </w:rPr>
        <w:t>Supplements - does not replace - 911, hotlines, radio, barangay reporting, social media, or official protocols</w:t>
      </w:r>
    </w:p>
    <w:p>
      <w:pPr>
        <w:numPr>
          <w:ilvl w:val="0"/>
          <w:numId w:val="10"/>
        </w:numPr>
      </w:pPr>
      <w:r>
        <w:rPr>
          <w:rFonts w:ascii="Calibri" w:hAnsi="Calibri"/>
          <w:color w:val="172B3A"/>
        </w:rPr>
        <w:t>Does not directly integrate with national 911 or external police, fire, hospital, and barangay information systems</w:t>
      </w:r>
    </w:p>
    <w:p>
      <w:pPr>
        <w:numPr>
          <w:ilvl w:val="0"/>
          <w:numId w:val="10"/>
        </w:numPr>
      </w:pPr>
      <w:r>
        <w:rPr>
          <w:rFonts w:ascii="Calibri" w:hAnsi="Calibri"/>
          <w:color w:val="172B3A"/>
        </w:rPr>
        <w:t>Depends on functioning hardware, power, communications, backend services, authorized users, and maintenance</w:t>
      </w:r>
    </w:p>
    <w:p>
      <w:pPr>
        <w:numPr>
          <w:ilvl w:val="0"/>
          <w:numId w:val="10"/>
        </w:numPr>
      </w:pPr>
      <w:r>
        <w:rPr>
          <w:rFonts w:ascii="Calibri" w:hAnsi="Calibri"/>
          <w:color w:val="172B3A"/>
        </w:rPr>
        <w:t>False, accidental, prank, or misleading activations cannot be completely prevented</w:t>
      </w:r>
    </w:p>
    <w:p>
      <w:pPr>
        <w:spacing w:after="120"/>
      </w:pPr>
      <w:r>
        <w:rPr>
          <w:rFonts w:ascii="Calibri" w:hAnsi="Calibri"/>
          <w:b/>
          <w:color w:val="0B3A67"/>
        </w:rPr>
        <w:t xml:space="preserve">Recommended visual: </w:t>
      </w:r>
      <w:r>
        <w:rPr>
          <w:rFonts w:ascii="Calibri" w:hAnsi="Calibri"/>
          <w:color w:val="172B3A"/>
        </w:rPr>
        <w:t>Use a two-column layout: In Scope and Not Claimed.</w:t>
      </w:r>
    </w:p>
    <w:p>
      <w:pPr>
        <w:spacing w:after="90" w:before="90"/>
        <w:shd w:fill="F4F7FA"/>
        <w:ind w:left="140" w:right="140"/>
      </w:pPr>
      <w:r>
        <w:rPr>
          <w:rFonts w:ascii="Calibri" w:hAnsi="Calibri"/>
          <w:b/>
          <w:color w:val="0B3A67"/>
        </w:rPr>
        <w:t xml:space="preserve">Speaker notes: </w:t>
      </w:r>
      <w:r>
        <w:rPr>
          <w:rFonts w:ascii="Calibri" w:hAnsi="Calibri"/>
          <w:color w:val="172B3A"/>
        </w:rPr>
        <w:t>Also state that municipality-wide implementation, long-term performance, actual arrival-time improvement, successful incident resolution, and impact on overall emergency outcomes remain outside the present study. Full rollout requires further testing, funding, policy approval, infrastructure, privacy/security review, training, and maintenance planning.</w:t>
      </w:r>
    </w:p>
    <w:p>
      <w:pPr>
        <w:spacing w:after="120"/>
      </w:pPr>
      <w:r>
        <w:rPr>
          <w:rFonts w:ascii="Calibri" w:hAnsi="Calibri"/>
          <w:b/>
          <w:color w:val="0B3A67"/>
        </w:rPr>
        <w:t xml:space="preserve">Transition: </w:t>
      </w:r>
      <w:r>
        <w:rPr>
          <w:rFonts w:ascii="Calibri" w:hAnsi="Calibri"/>
          <w:color w:val="172B3A"/>
        </w:rPr>
        <w:t>The research methodology is designed to develop and evaluate the prototype iteratively.</w:t>
      </w:r>
    </w:p>
    <w:p>
      <w:r>
        <w:br w:type="page"/>
      </w:r>
    </w:p>
    <w:p>
      <w:pPr>
        <w:pStyle w:val="Heading2"/>
        <w:keepNext/>
        <w:spacing w:before="0"/>
      </w:pPr>
      <w:r>
        <w:t>Slide 18. Development Methodology and Evaluation</w:t>
      </w:r>
    </w:p>
    <w:p>
      <w:pPr>
        <w:spacing w:after="90" w:before="90"/>
        <w:shd w:fill="EAF2FF"/>
        <w:ind w:left="140" w:right="140"/>
      </w:pPr>
      <w:r>
        <w:rPr>
          <w:rFonts w:ascii="Calibri" w:hAnsi="Calibri"/>
          <w:b/>
          <w:color w:val="0B3A67"/>
        </w:rPr>
        <w:t xml:space="preserve">Purpose: </w:t>
      </w:r>
      <w:r>
        <w:rPr>
          <w:rFonts w:ascii="Calibri" w:hAnsi="Calibri"/>
          <w:color w:val="172B3A"/>
        </w:rPr>
        <w:t>Summarize how the system is designed, built, and assessed.</w:t>
      </w:r>
    </w:p>
    <w:p>
      <w:pPr>
        <w:pStyle w:val="Heading3"/>
        <w:keepNext/>
      </w:pPr>
      <w:r>
        <w:t>On-slide copy</w:t>
      </w:r>
    </w:p>
    <w:p>
      <w:pPr>
        <w:numPr>
          <w:ilvl w:val="0"/>
          <w:numId w:val="10"/>
        </w:numPr>
      </w:pPr>
      <w:r>
        <w:rPr>
          <w:rFonts w:ascii="Calibri" w:hAnsi="Calibri"/>
          <w:color w:val="172B3A"/>
        </w:rPr>
        <w:t>Rapid Application Development (RAD)</w:t>
      </w:r>
    </w:p>
    <w:p>
      <w:pPr>
        <w:numPr>
          <w:ilvl w:val="0"/>
          <w:numId w:val="10"/>
        </w:numPr>
      </w:pPr>
      <w:r>
        <w:rPr>
          <w:rFonts w:ascii="Calibri" w:hAnsi="Calibri"/>
          <w:color w:val="172B3A"/>
        </w:rPr>
        <w:t>1. Requirements Planning - interviews and document review</w:t>
      </w:r>
    </w:p>
    <w:p>
      <w:pPr>
        <w:numPr>
          <w:ilvl w:val="0"/>
          <w:numId w:val="10"/>
        </w:numPr>
      </w:pPr>
      <w:r>
        <w:rPr>
          <w:rFonts w:ascii="Calibri" w:hAnsi="Calibri"/>
          <w:color w:val="172B3A"/>
        </w:rPr>
        <w:t>2. User Design - architecture, hardware, database, workflows, and prototypes</w:t>
      </w:r>
    </w:p>
    <w:p>
      <w:pPr>
        <w:numPr>
          <w:ilvl w:val="0"/>
          <w:numId w:val="10"/>
        </w:numPr>
      </w:pPr>
      <w:r>
        <w:rPr>
          <w:rFonts w:ascii="Calibri" w:hAnsi="Calibri"/>
          <w:color w:val="172B3A"/>
        </w:rPr>
        <w:t>3. Construction - iterative hardware/software development and integration</w:t>
      </w:r>
    </w:p>
    <w:p>
      <w:pPr>
        <w:numPr>
          <w:ilvl w:val="0"/>
          <w:numId w:val="10"/>
        </w:numPr>
      </w:pPr>
      <w:r>
        <w:rPr>
          <w:rFonts w:ascii="Calibri" w:hAnsi="Calibri"/>
          <w:color w:val="172B3A"/>
        </w:rPr>
        <w:t>4. Cutover - testing, evaluation, pilot deployment, and training</w:t>
      </w:r>
    </w:p>
    <w:p>
      <w:pPr>
        <w:numPr>
          <w:ilvl w:val="0"/>
          <w:numId w:val="10"/>
        </w:numPr>
      </w:pPr>
      <w:r>
        <w:rPr>
          <w:rFonts w:ascii="Calibri" w:hAnsi="Calibri"/>
          <w:color w:val="172B3A"/>
        </w:rPr>
        <w:t>Evaluation criteria may include functional suitability, performance efficiency, usability, reliability, and security</w:t>
      </w:r>
    </w:p>
    <w:p>
      <w:pPr>
        <w:spacing w:after="120"/>
      </w:pPr>
      <w:r>
        <w:rPr>
          <w:rFonts w:ascii="Calibri" w:hAnsi="Calibri"/>
          <w:b/>
          <w:color w:val="0B3A67"/>
        </w:rPr>
        <w:t xml:space="preserve">Recommended visual: </w:t>
      </w:r>
      <w:r>
        <w:rPr>
          <w:rFonts w:ascii="Calibri" w:hAnsi="Calibri"/>
          <w:color w:val="172B3A"/>
        </w:rPr>
        <w:t>Use a four-part RAD cycle rather than a one-way waterfall.</w:t>
      </w:r>
    </w:p>
    <w:p>
      <w:pPr>
        <w:spacing w:after="90" w:before="90"/>
        <w:shd w:fill="F4F7FA"/>
        <w:ind w:left="140" w:right="140"/>
      </w:pPr>
      <w:r>
        <w:rPr>
          <w:rFonts w:ascii="Calibri" w:hAnsi="Calibri"/>
          <w:b/>
          <w:color w:val="0B3A67"/>
        </w:rPr>
        <w:t xml:space="preserve">Speaker notes: </w:t>
      </w:r>
      <w:r>
        <w:rPr>
          <w:rFonts w:ascii="Calibri" w:hAnsi="Calibri"/>
          <w:color w:val="172B3A"/>
        </w:rPr>
        <w:t>Explain that RAD is suitable because NodeGuard combines hardware, a website, a mobile app, data services, and multiple user roles. Feedback from MDRRMO personnel and responders can be incorporated into repeated design and construction cycles. Testing should include functional, hardware, integration, usability, security, and controlled end-to-end scenarios.</w:t>
      </w:r>
    </w:p>
    <w:p>
      <w:pPr>
        <w:spacing w:after="120"/>
      </w:pPr>
      <w:r>
        <w:rPr>
          <w:rFonts w:ascii="Calibri" w:hAnsi="Calibri"/>
          <w:b/>
          <w:color w:val="0B3A67"/>
        </w:rPr>
        <w:t xml:space="preserve">Transition: </w:t>
      </w:r>
      <w:r>
        <w:rPr>
          <w:rFonts w:ascii="Calibri" w:hAnsi="Calibri"/>
          <w:color w:val="172B3A"/>
        </w:rPr>
        <w:t>The current software is ready for deployment preparation, while field rollout still requires controlled operational work.</w:t>
      </w:r>
    </w:p>
    <w:p>
      <w:r>
        <w:br w:type="page"/>
      </w:r>
    </w:p>
    <w:p>
      <w:pPr>
        <w:pStyle w:val="Heading2"/>
        <w:keepNext/>
        <w:spacing w:before="0"/>
      </w:pPr>
      <w:r>
        <w:t>Slide 19. Deployment Readiness and Next Steps</w:t>
      </w:r>
    </w:p>
    <w:p>
      <w:pPr>
        <w:spacing w:after="90" w:before="90"/>
        <w:shd w:fill="EAF2FF"/>
        <w:ind w:left="140" w:right="140"/>
      </w:pPr>
      <w:r>
        <w:rPr>
          <w:rFonts w:ascii="Calibri" w:hAnsi="Calibri"/>
          <w:b/>
          <w:color w:val="0B3A67"/>
        </w:rPr>
        <w:t xml:space="preserve">Purpose: </w:t>
      </w:r>
      <w:r>
        <w:rPr>
          <w:rFonts w:ascii="Calibri" w:hAnsi="Calibri"/>
          <w:color w:val="172B3A"/>
        </w:rPr>
        <w:t>Separate completed software work from pilot and field requirements.</w:t>
      </w:r>
    </w:p>
    <w:p>
      <w:pPr>
        <w:pStyle w:val="Heading3"/>
        <w:keepNext/>
      </w:pPr>
      <w:r>
        <w:t>On-slide copy</w:t>
      </w:r>
    </w:p>
    <w:p>
      <w:pPr>
        <w:numPr>
          <w:ilvl w:val="0"/>
          <w:numId w:val="10"/>
        </w:numPr>
      </w:pPr>
      <w:r>
        <w:rPr>
          <w:rFonts w:ascii="Calibri" w:hAnsi="Calibri"/>
          <w:color w:val="172B3A"/>
        </w:rPr>
        <w:t>Software website and responder application: implemented and production-build verified</w:t>
      </w:r>
    </w:p>
    <w:p>
      <w:pPr>
        <w:numPr>
          <w:ilvl w:val="0"/>
          <w:numId w:val="10"/>
        </w:numPr>
      </w:pPr>
      <w:r>
        <w:rPr>
          <w:rFonts w:ascii="Calibri" w:hAnsi="Calibri"/>
          <w:color w:val="172B3A"/>
        </w:rPr>
        <w:t>Backend: migrations, role-based access, incident workflow, status history, and audit paths prepared</w:t>
      </w:r>
    </w:p>
    <w:p>
      <w:pPr>
        <w:numPr>
          <w:ilvl w:val="0"/>
          <w:numId w:val="10"/>
        </w:numPr>
      </w:pPr>
      <w:r>
        <w:rPr>
          <w:rFonts w:ascii="Calibri" w:hAnsi="Calibri"/>
          <w:color w:val="172B3A"/>
        </w:rPr>
        <w:t>Before pilot: provision production environment, users, devices, signing, monitoring, backups, and acceptance tests</w:t>
      </w:r>
    </w:p>
    <w:p>
      <w:pPr>
        <w:numPr>
          <w:ilvl w:val="0"/>
          <w:numId w:val="10"/>
        </w:numPr>
      </w:pPr>
      <w:r>
        <w:rPr>
          <w:rFonts w:ascii="Calibri" w:hAnsi="Calibri"/>
          <w:color w:val="172B3A"/>
        </w:rPr>
        <w:t>Hardware: assemble and validate enclosure, buttons, audio, buzzer, power, backup power, and communication</w:t>
      </w:r>
    </w:p>
    <w:p>
      <w:pPr>
        <w:numPr>
          <w:ilvl w:val="0"/>
          <w:numId w:val="10"/>
        </w:numPr>
      </w:pPr>
      <w:r>
        <w:rPr>
          <w:rFonts w:ascii="Calibri" w:hAnsi="Calibri"/>
          <w:color w:val="172B3A"/>
        </w:rPr>
        <w:t>Pilot: install selected nodes, train users, run staged exercises, collect feedback, and refine</w:t>
      </w:r>
    </w:p>
    <w:p>
      <w:pPr>
        <w:spacing w:after="120"/>
      </w:pPr>
      <w:r>
        <w:rPr>
          <w:rFonts w:ascii="Calibri" w:hAnsi="Calibri"/>
          <w:b/>
          <w:color w:val="0B3A67"/>
        </w:rPr>
        <w:t xml:space="preserve">Recommended visual: </w:t>
      </w:r>
      <w:r>
        <w:rPr>
          <w:rFonts w:ascii="Calibri" w:hAnsi="Calibri"/>
          <w:color w:val="172B3A"/>
        </w:rPr>
        <w:t>Use a readiness roadmap: Software -&gt; Staging -&gt; Hardware Integration -&gt; Controlled Pilot -&gt; Review.</w:t>
      </w:r>
    </w:p>
    <w:p>
      <w:pPr>
        <w:spacing w:after="90" w:before="90"/>
        <w:shd w:fill="F4F7FA"/>
        <w:ind w:left="140" w:right="140"/>
      </w:pPr>
      <w:r>
        <w:rPr>
          <w:rFonts w:ascii="Calibri" w:hAnsi="Calibri"/>
          <w:b/>
          <w:color w:val="0B3A67"/>
        </w:rPr>
        <w:t xml:space="preserve">Speaker notes: </w:t>
      </w:r>
      <w:r>
        <w:rPr>
          <w:rFonts w:ascii="Calibri" w:hAnsi="Calibri"/>
          <w:color w:val="172B3A"/>
        </w:rPr>
        <w:t>Do not present the system as already municipality-wide or as a finished public safety service. The web production build, Flutter analysis/tests, and web release build have passed. Android packaging still requires an Android SDK and release-signing setup on the build workstation. Physical nodes and device-command channels require controlled staging with MDRRMO oversight.</w:t>
      </w:r>
    </w:p>
    <w:p>
      <w:pPr>
        <w:spacing w:after="120"/>
      </w:pPr>
      <w:r>
        <w:rPr>
          <w:rFonts w:ascii="Calibri" w:hAnsi="Calibri"/>
          <w:b/>
          <w:color w:val="0B3A67"/>
        </w:rPr>
        <w:t xml:space="preserve">Transition: </w:t>
      </w:r>
      <w:r>
        <w:rPr>
          <w:rFonts w:ascii="Calibri" w:hAnsi="Calibri"/>
          <w:color w:val="172B3A"/>
        </w:rPr>
        <w:t>Close by returning to the problem and the role NodeGuard is designed to play.</w:t>
      </w:r>
    </w:p>
    <w:p>
      <w:r>
        <w:br w:type="page"/>
      </w:r>
    </w:p>
    <w:p>
      <w:pPr>
        <w:pStyle w:val="Heading2"/>
        <w:keepNext/>
        <w:spacing w:before="0"/>
      </w:pPr>
      <w:r>
        <w:t>Slide 20. Conclusion: What NodeGuard Contributes</w:t>
      </w:r>
    </w:p>
    <w:p>
      <w:pPr>
        <w:spacing w:after="90" w:before="90"/>
        <w:shd w:fill="EAF2FF"/>
        <w:ind w:left="140" w:right="140"/>
      </w:pPr>
      <w:r>
        <w:rPr>
          <w:rFonts w:ascii="Calibri" w:hAnsi="Calibri"/>
          <w:b/>
          <w:color w:val="0B3A67"/>
        </w:rPr>
        <w:t xml:space="preserve">Purpose: </w:t>
      </w:r>
      <w:r>
        <w:rPr>
          <w:rFonts w:ascii="Calibri" w:hAnsi="Calibri"/>
          <w:color w:val="172B3A"/>
        </w:rPr>
        <w:t>End with a concise, defensible takeaway.</w:t>
      </w:r>
    </w:p>
    <w:p>
      <w:pPr>
        <w:pStyle w:val="Heading3"/>
        <w:keepNext/>
      </w:pPr>
      <w:r>
        <w:t>On-slide copy</w:t>
      </w:r>
    </w:p>
    <w:p>
      <w:pPr>
        <w:numPr>
          <w:ilvl w:val="0"/>
          <w:numId w:val="10"/>
        </w:numPr>
      </w:pPr>
      <w:r>
        <w:rPr>
          <w:rFonts w:ascii="Calibri" w:hAnsi="Calibri"/>
          <w:color w:val="172B3A"/>
        </w:rPr>
        <w:t>An additional accessible emergency-reporting channel</w:t>
      </w:r>
    </w:p>
    <w:p>
      <w:pPr>
        <w:numPr>
          <w:ilvl w:val="0"/>
          <w:numId w:val="10"/>
        </w:numPr>
      </w:pPr>
      <w:r>
        <w:rPr>
          <w:rFonts w:ascii="Calibri" w:hAnsi="Calibri"/>
          <w:color w:val="172B3A"/>
        </w:rPr>
        <w:t>Known node locations and structured emergency categories</w:t>
      </w:r>
    </w:p>
    <w:p>
      <w:pPr>
        <w:numPr>
          <w:ilvl w:val="0"/>
          <w:numId w:val="10"/>
        </w:numPr>
      </w:pPr>
      <w:r>
        <w:rPr>
          <w:rFonts w:ascii="Calibri" w:hAnsi="Calibri"/>
          <w:color w:val="172B3A"/>
        </w:rPr>
        <w:t>One connected workflow for verification, assignment, field updates, records, and review</w:t>
      </w:r>
    </w:p>
    <w:p>
      <w:pPr>
        <w:numPr>
          <w:ilvl w:val="0"/>
          <w:numId w:val="10"/>
        </w:numPr>
      </w:pPr>
      <w:r>
        <w:rPr>
          <w:rFonts w:ascii="Calibri" w:hAnsi="Calibri"/>
          <w:color w:val="172B3A"/>
        </w:rPr>
        <w:t>A human-controlled system that complements established MDRRMO procedures</w:t>
      </w:r>
    </w:p>
    <w:p>
      <w:pPr>
        <w:numPr>
          <w:ilvl w:val="0"/>
          <w:numId w:val="10"/>
        </w:numPr>
      </w:pPr>
      <w:r>
        <w:rPr>
          <w:rFonts w:ascii="Calibri" w:hAnsi="Calibri"/>
          <w:color w:val="172B3A"/>
        </w:rPr>
        <w:t>A foundation for controlled pilot testing and future improvement</w:t>
      </w:r>
    </w:p>
    <w:p>
      <w:pPr>
        <w:spacing w:after="120"/>
      </w:pPr>
      <w:r>
        <w:rPr>
          <w:rFonts w:ascii="Calibri" w:hAnsi="Calibri"/>
          <w:b/>
          <w:color w:val="0B3A67"/>
        </w:rPr>
        <w:t xml:space="preserve">Recommended visual: </w:t>
      </w:r>
      <w:r>
        <w:rPr>
          <w:rFonts w:ascii="Calibri" w:hAnsi="Calibri"/>
          <w:color w:val="172B3A"/>
        </w:rPr>
        <w:t>Return to the four-step Citizen -&gt; Node -&gt; MDRRMO -&gt; Responder flow, now with a final outcome label: Coordinated information.</w:t>
      </w:r>
    </w:p>
    <w:p>
      <w:pPr>
        <w:spacing w:after="90" w:before="90"/>
        <w:shd w:fill="F4F7FA"/>
        <w:ind w:left="140" w:right="140"/>
      </w:pPr>
      <w:r>
        <w:rPr>
          <w:rFonts w:ascii="Calibri" w:hAnsi="Calibri"/>
          <w:b/>
          <w:color w:val="0B3A67"/>
        </w:rPr>
        <w:t xml:space="preserve">Speaker notes: </w:t>
      </w:r>
      <w:r>
        <w:rPr>
          <w:rFonts w:ascii="Calibri" w:hAnsi="Calibri"/>
          <w:color w:val="172B3A"/>
        </w:rPr>
        <w:t>A strong closing line is: NodeGuard does not replace emergency professionals; it helps the right information reach them in a more structured, location-aware, and trackable way. Then invite questions. Keep the closing grounded in the scope and do not promise guaranteed faster response or incident outcomes.</w:t>
      </w:r>
    </w:p>
    <w:p>
      <w:pPr>
        <w:spacing w:after="120"/>
      </w:pPr>
      <w:r>
        <w:rPr>
          <w:rFonts w:ascii="Calibri" w:hAnsi="Calibri"/>
          <w:b/>
          <w:color w:val="0B3A67"/>
        </w:rPr>
        <w:t xml:space="preserve">Transition: </w:t>
      </w:r>
      <w:r>
        <w:rPr>
          <w:rFonts w:ascii="Calibri" w:hAnsi="Calibri"/>
          <w:color w:val="172B3A"/>
        </w:rPr>
        <w:t>Thank the audience and open the question-and-answer portion.</w:t>
      </w:r>
    </w:p>
    <w:p>
      <w:r>
        <w:br w:type="page"/>
      </w:r>
    </w:p>
    <w:p>
      <w:pPr>
        <w:pStyle w:val="Heading1"/>
        <w:keepNext/>
      </w:pPr>
      <w:r>
        <w:t>Visual and Asset Checklist</w:t>
      </w:r>
    </w:p>
    <w:p>
      <w:pPr>
        <w:numPr>
          <w:ilvl w:val="0"/>
          <w:numId w:val="10"/>
        </w:numPr>
      </w:pPr>
      <w:r>
        <w:rPr>
          <w:rFonts w:ascii="Calibri" w:hAnsi="Calibri"/>
          <w:color w:val="172B3A"/>
        </w:rPr>
        <w:t>MDRRMC logo on the title and closing slides; preserve its aspect ratio and clear space.</w:t>
      </w:r>
    </w:p>
    <w:p>
      <w:pPr>
        <w:numPr>
          <w:ilvl w:val="0"/>
          <w:numId w:val="10"/>
        </w:numPr>
      </w:pPr>
      <w:r>
        <w:rPr>
          <w:rFonts w:ascii="Calibri" w:hAnsi="Calibri"/>
          <w:color w:val="172B3A"/>
        </w:rPr>
        <w:t>Current dashboard screenshot showing the grouped navigation, connectivity strip, and operational summary.</w:t>
      </w:r>
    </w:p>
    <w:p>
      <w:pPr>
        <w:numPr>
          <w:ilvl w:val="0"/>
          <w:numId w:val="10"/>
        </w:numPr>
      </w:pPr>
      <w:r>
        <w:rPr>
          <w:rFonts w:ascii="Calibri" w:hAnsi="Calibri"/>
          <w:color w:val="172B3A"/>
        </w:rPr>
        <w:t>Current responder-app screenshots for assignments, incident details, and status updating.</w:t>
      </w:r>
    </w:p>
    <w:p>
      <w:pPr>
        <w:numPr>
          <w:ilvl w:val="0"/>
          <w:numId w:val="10"/>
        </w:numPr>
      </w:pPr>
      <w:r>
        <w:rPr>
          <w:rFonts w:ascii="Calibri" w:hAnsi="Calibri"/>
          <w:color w:val="172B3A"/>
        </w:rPr>
        <w:t>A labeled physical-node mockup or prototype image; mark it clearly as prototype if not field deployed.</w:t>
      </w:r>
    </w:p>
    <w:p>
      <w:pPr>
        <w:numPr>
          <w:ilvl w:val="0"/>
          <w:numId w:val="10"/>
        </w:numPr>
      </w:pPr>
      <w:r>
        <w:rPr>
          <w:rFonts w:ascii="Calibri" w:hAnsi="Calibri"/>
          <w:color w:val="172B3A"/>
        </w:rPr>
        <w:t>One end-to-end workflow diagram and one illustrative incident timeline.</w:t>
      </w:r>
    </w:p>
    <w:p>
      <w:pPr>
        <w:numPr>
          <w:ilvl w:val="0"/>
          <w:numId w:val="10"/>
        </w:numPr>
      </w:pPr>
      <w:r>
        <w:rPr>
          <w:rFonts w:ascii="Calibri" w:hAnsi="Calibri"/>
          <w:color w:val="172B3A"/>
        </w:rPr>
        <w:t>Map and report screenshots only when labels are readable; do not use tiny full-screen captures.</w:t>
      </w:r>
    </w:p>
    <w:p>
      <w:pPr>
        <w:numPr>
          <w:ilvl w:val="0"/>
          <w:numId w:val="10"/>
        </w:numPr>
      </w:pPr>
      <w:r>
        <w:rPr>
          <w:rFonts w:ascii="Calibri" w:hAnsi="Calibri"/>
          <w:color w:val="172B3A"/>
        </w:rPr>
        <w:t>Source labels under figures, especially official MDRRMO hazard-map material.</w:t>
      </w:r>
    </w:p>
    <w:p>
      <w:pPr>
        <w:pStyle w:val="Heading2"/>
        <w:keepNext/>
      </w:pPr>
      <w:r>
        <w:t>PowerPoint Design Rules</w:t>
      </w:r>
    </w:p>
    <w:p>
      <w:pPr>
        <w:numPr>
          <w:ilvl w:val="0"/>
          <w:numId w:val="10"/>
        </w:numPr>
      </w:pPr>
      <w:r>
        <w:rPr>
          <w:rFonts w:ascii="Calibri" w:hAnsi="Calibri"/>
          <w:color w:val="172B3A"/>
        </w:rPr>
        <w:t>Use 16:9 widescreen format.</w:t>
      </w:r>
    </w:p>
    <w:p>
      <w:pPr>
        <w:numPr>
          <w:ilvl w:val="0"/>
          <w:numId w:val="10"/>
        </w:numPr>
      </w:pPr>
      <w:r>
        <w:rPr>
          <w:rFonts w:ascii="Calibri" w:hAnsi="Calibri"/>
          <w:color w:val="172B3A"/>
        </w:rPr>
        <w:t>Use a clean sans-serif font such as Aptos, Arial, or Calibri.</w:t>
      </w:r>
    </w:p>
    <w:p>
      <w:pPr>
        <w:numPr>
          <w:ilvl w:val="0"/>
          <w:numId w:val="10"/>
        </w:numPr>
      </w:pPr>
      <w:r>
        <w:rPr>
          <w:rFonts w:ascii="Calibri" w:hAnsi="Calibri"/>
          <w:color w:val="172B3A"/>
        </w:rPr>
        <w:t>Aim for one main idea, one visual, and no more than four or five short bullets per slide.</w:t>
      </w:r>
    </w:p>
    <w:p>
      <w:pPr>
        <w:numPr>
          <w:ilvl w:val="0"/>
          <w:numId w:val="10"/>
        </w:numPr>
      </w:pPr>
      <w:r>
        <w:rPr>
          <w:rFonts w:ascii="Calibri" w:hAnsi="Calibri"/>
          <w:color w:val="172B3A"/>
        </w:rPr>
        <w:t>Use White for Ready, Blue for Set and coordinated action, and Red only for urgent Go states.</w:t>
      </w:r>
    </w:p>
    <w:p>
      <w:pPr>
        <w:numPr>
          <w:ilvl w:val="0"/>
          <w:numId w:val="10"/>
        </w:numPr>
      </w:pPr>
      <w:r>
        <w:rPr>
          <w:rFonts w:ascii="Calibri" w:hAnsi="Calibri"/>
          <w:color w:val="172B3A"/>
        </w:rPr>
        <w:t>Keep minimum body text around 24 pt and titles around 32-40 pt.</w:t>
      </w:r>
    </w:p>
    <w:p>
      <w:pPr>
        <w:numPr>
          <w:ilvl w:val="0"/>
          <w:numId w:val="10"/>
        </w:numPr>
      </w:pPr>
      <w:r>
        <w:rPr>
          <w:rFonts w:ascii="Calibri" w:hAnsi="Calibri"/>
          <w:color w:val="172B3A"/>
        </w:rPr>
        <w:t>Use icons and screenshots to reduce text, but never remove the scope and limitation slide.</w:t>
      </w:r>
    </w:p>
    <w:p>
      <w:pPr>
        <w:numPr>
          <w:ilvl w:val="0"/>
          <w:numId w:val="10"/>
        </w:numPr>
      </w:pPr>
      <w:r>
        <w:rPr>
          <w:rFonts w:ascii="Calibri" w:hAnsi="Calibri"/>
          <w:color w:val="172B3A"/>
        </w:rPr>
        <w:t>Avoid dramatic animations, flashing red, sound effects, generic hacker imagery, or disaster photos used only for shock value.</w:t>
      </w:r>
    </w:p>
    <w:p>
      <w:pPr>
        <w:pStyle w:val="Heading1"/>
        <w:keepNext/>
      </w:pPr>
      <w:r>
        <w:t>Glossary for New Presenters</w:t>
      </w:r>
    </w:p>
    <w:p>
      <w:pPr>
        <w:spacing w:after="80"/>
      </w:pPr>
      <w:r>
        <w:rPr>
          <w:rFonts w:ascii="Calibri" w:hAnsi="Calibri"/>
          <w:b/>
          <w:color w:val="0B3A67"/>
        </w:rPr>
        <w:t xml:space="preserve">IoT: </w:t>
      </w:r>
      <w:r>
        <w:rPr>
          <w:rFonts w:ascii="Calibri" w:hAnsi="Calibri"/>
          <w:color w:val="172B3A"/>
        </w:rPr>
        <w:t>Internet of Things: physical devices that can collect or send information through a network.</w:t>
      </w:r>
    </w:p>
    <w:p>
      <w:pPr>
        <w:spacing w:after="80"/>
      </w:pPr>
      <w:r>
        <w:rPr>
          <w:rFonts w:ascii="Calibri" w:hAnsi="Calibri"/>
          <w:b/>
          <w:color w:val="0B3A67"/>
        </w:rPr>
        <w:t xml:space="preserve">MDRRMO: </w:t>
      </w:r>
      <w:r>
        <w:rPr>
          <w:rFonts w:ascii="Calibri" w:hAnsi="Calibri"/>
          <w:color w:val="172B3A"/>
        </w:rPr>
        <w:t>Municipal Disaster Risk Reduction and Management Office.</w:t>
      </w:r>
    </w:p>
    <w:p>
      <w:pPr>
        <w:spacing w:after="80"/>
      </w:pPr>
      <w:r>
        <w:rPr>
          <w:rFonts w:ascii="Calibri" w:hAnsi="Calibri"/>
          <w:b/>
          <w:color w:val="0B3A67"/>
        </w:rPr>
        <w:t xml:space="preserve">Emergency alert node: </w:t>
      </w:r>
      <w:r>
        <w:rPr>
          <w:rFonts w:ascii="Calibri" w:hAnsi="Calibri"/>
          <w:color w:val="172B3A"/>
        </w:rPr>
        <w:t>A fixed public device with categorized emergency controls, a known identity/location, and optional voice context.</w:t>
      </w:r>
    </w:p>
    <w:p>
      <w:pPr>
        <w:spacing w:after="80"/>
      </w:pPr>
      <w:r>
        <w:rPr>
          <w:rFonts w:ascii="Calibri" w:hAnsi="Calibri"/>
          <w:b/>
          <w:color w:val="0B3A67"/>
        </w:rPr>
        <w:t xml:space="preserve">Incident: </w:t>
      </w:r>
      <w:r>
        <w:rPr>
          <w:rFonts w:ascii="Calibri" w:hAnsi="Calibri"/>
          <w:color w:val="172B3A"/>
        </w:rPr>
        <w:t>A recorded emergency or alert being reviewed, coordinated, responded to, or closed.</w:t>
      </w:r>
    </w:p>
    <w:p>
      <w:pPr>
        <w:spacing w:after="80"/>
      </w:pPr>
      <w:r>
        <w:rPr>
          <w:rFonts w:ascii="Calibri" w:hAnsi="Calibri"/>
          <w:b/>
          <w:color w:val="0B3A67"/>
        </w:rPr>
        <w:t xml:space="preserve">Dispatcher/operations personnel: </w:t>
      </w:r>
      <w:r>
        <w:rPr>
          <w:rFonts w:ascii="Calibri" w:hAnsi="Calibri"/>
          <w:color w:val="172B3A"/>
        </w:rPr>
        <w:t>Authorized staff who review reports, decide assignments, and monitor the response.</w:t>
      </w:r>
    </w:p>
    <w:p>
      <w:pPr>
        <w:spacing w:after="80"/>
      </w:pPr>
      <w:r>
        <w:rPr>
          <w:rFonts w:ascii="Calibri" w:hAnsi="Calibri"/>
          <w:b/>
          <w:color w:val="0B3A67"/>
        </w:rPr>
        <w:t xml:space="preserve">Responder: </w:t>
      </w:r>
      <w:r>
        <w:rPr>
          <w:rFonts w:ascii="Calibri" w:hAnsi="Calibri"/>
          <w:color w:val="172B3A"/>
        </w:rPr>
        <w:t>Authorized field personnel or partner unit assigned to an incident.</w:t>
      </w:r>
    </w:p>
    <w:p>
      <w:pPr>
        <w:spacing w:after="80"/>
      </w:pPr>
      <w:r>
        <w:rPr>
          <w:rFonts w:ascii="Calibri" w:hAnsi="Calibri"/>
          <w:b/>
          <w:color w:val="0B3A67"/>
        </w:rPr>
        <w:t xml:space="preserve">Backend: </w:t>
      </w:r>
      <w:r>
        <w:rPr>
          <w:rFonts w:ascii="Calibri" w:hAnsi="Calibri"/>
          <w:color w:val="172B3A"/>
        </w:rPr>
        <w:t>The shared services and database used by the node, website, and responder application.</w:t>
      </w:r>
    </w:p>
    <w:p>
      <w:pPr>
        <w:spacing w:after="80"/>
      </w:pPr>
      <w:r>
        <w:rPr>
          <w:rFonts w:ascii="Calibri" w:hAnsi="Calibri"/>
          <w:b/>
          <w:color w:val="0B3A67"/>
        </w:rPr>
        <w:t xml:space="preserve">Realtime: </w:t>
      </w:r>
      <w:r>
        <w:rPr>
          <w:rFonts w:ascii="Calibri" w:hAnsi="Calibri"/>
          <w:color w:val="172B3A"/>
        </w:rPr>
        <w:t>Updates that appear quickly across connected clients without requiring manual page refresh.</w:t>
      </w:r>
    </w:p>
    <w:p>
      <w:pPr>
        <w:spacing w:after="80"/>
      </w:pPr>
      <w:r>
        <w:rPr>
          <w:rFonts w:ascii="Calibri" w:hAnsi="Calibri"/>
          <w:b/>
          <w:color w:val="0B3A67"/>
        </w:rPr>
        <w:t xml:space="preserve">Role-based access: </w:t>
      </w:r>
      <w:r>
        <w:rPr>
          <w:rFonts w:ascii="Calibri" w:hAnsi="Calibri"/>
          <w:color w:val="172B3A"/>
        </w:rPr>
        <w:t>Permissions based on whether the user is an administrator, operations personnel, or responder.</w:t>
      </w:r>
    </w:p>
    <w:p>
      <w:pPr>
        <w:spacing w:after="80"/>
      </w:pPr>
      <w:r>
        <w:rPr>
          <w:rFonts w:ascii="Calibri" w:hAnsi="Calibri"/>
          <w:b/>
          <w:color w:val="0B3A67"/>
        </w:rPr>
        <w:t xml:space="preserve">Local sync queue: </w:t>
      </w:r>
      <w:r>
        <w:rPr>
          <w:rFonts w:ascii="Calibri" w:hAnsi="Calibri"/>
          <w:color w:val="172B3A"/>
        </w:rPr>
        <w:t>Status updates saved on the device and sent later when a connection becomes available.</w:t>
      </w:r>
    </w:p>
    <w:p>
      <w:pPr>
        <w:spacing w:after="80"/>
      </w:pPr>
      <w:r>
        <w:rPr>
          <w:rFonts w:ascii="Calibri" w:hAnsi="Calibri"/>
          <w:b/>
          <w:color w:val="0B3A67"/>
        </w:rPr>
        <w:t xml:space="preserve">RAD: </w:t>
      </w:r>
      <w:r>
        <w:rPr>
          <w:rFonts w:ascii="Calibri" w:hAnsi="Calibri"/>
          <w:color w:val="172B3A"/>
        </w:rPr>
        <w:t>Rapid Application Development: an iterative process of requirements, user design, construction, and cutover.</w:t>
      </w:r>
    </w:p>
    <w:p>
      <w:r>
        <w:br w:type="page"/>
      </w:r>
    </w:p>
    <w:p>
      <w:pPr>
        <w:pStyle w:val="Heading1"/>
        <w:keepNext/>
      </w:pPr>
      <w:r>
        <w:t>Likely Questions and Defensible Answers</w:t>
      </w:r>
    </w:p>
    <w:p>
      <w:pPr>
        <w:keepNext/>
      </w:pPr>
      <w:r>
        <w:rPr>
          <w:rFonts w:ascii="Calibri" w:hAnsi="Calibri"/>
          <w:b/>
          <w:color w:val="0B3A67"/>
        </w:rPr>
        <w:t>Does NodeGuard replace 911 or the MDRRMO hotline?</w:t>
      </w:r>
    </w:p>
    <w:p>
      <w:pPr>
        <w:spacing w:after="90" w:before="90"/>
        <w:shd w:fill="F4F7FA"/>
        <w:ind w:left="140" w:right="140"/>
      </w:pPr>
      <w:r>
        <w:rPr>
          <w:rFonts w:ascii="Calibri" w:hAnsi="Calibri"/>
          <w:b/>
          <w:color w:val="0B3A67"/>
        </w:rPr>
        <w:t xml:space="preserve">Suggested answer: </w:t>
      </w:r>
      <w:r>
        <w:rPr>
          <w:rFonts w:ascii="Calibri" w:hAnsi="Calibri"/>
          <w:color w:val="172B3A"/>
        </w:rPr>
        <w:t>No. It is an additional localized reporting and coordination channel. Existing hotlines, radio, barangay reporting, partner-office coordination, and official procedures remain necessary.</w:t>
      </w:r>
    </w:p>
    <w:p>
      <w:pPr>
        <w:keepNext/>
      </w:pPr>
      <w:r>
        <w:rPr>
          <w:rFonts w:ascii="Calibri" w:hAnsi="Calibri"/>
          <w:b/>
          <w:color w:val="0B3A67"/>
        </w:rPr>
        <w:t>Why use a fixed node instead of only a mobile app?</w:t>
      </w:r>
    </w:p>
    <w:p>
      <w:pPr>
        <w:spacing w:after="90" w:before="90"/>
        <w:shd w:fill="F4F7FA"/>
        <w:ind w:left="140" w:right="140"/>
      </w:pPr>
      <w:r>
        <w:rPr>
          <w:rFonts w:ascii="Calibri" w:hAnsi="Calibri"/>
          <w:b/>
          <w:color w:val="0B3A67"/>
        </w:rPr>
        <w:t xml:space="preserve">Suggested answer: </w:t>
      </w:r>
      <w:r>
        <w:rPr>
          <w:rFonts w:ascii="Calibri" w:hAnsi="Calibri"/>
          <w:color w:val="172B3A"/>
        </w:rPr>
        <w:t>A fixed node can be visible in a public place, has a known registered location, and reduces dependence on smartphone ownership, installation, registration, data service, and complex navigation.</w:t>
      </w:r>
    </w:p>
    <w:p>
      <w:pPr>
        <w:keepNext/>
      </w:pPr>
      <w:r>
        <w:rPr>
          <w:rFonts w:ascii="Calibri" w:hAnsi="Calibri"/>
          <w:b/>
          <w:color w:val="0B3A67"/>
        </w:rPr>
        <w:t>What if someone presses the wrong button or makes a prank alert?</w:t>
      </w:r>
    </w:p>
    <w:p>
      <w:pPr>
        <w:spacing w:after="90" w:before="90"/>
        <w:shd w:fill="F4F7FA"/>
        <w:ind w:left="140" w:right="140"/>
      </w:pPr>
      <w:r>
        <w:rPr>
          <w:rFonts w:ascii="Calibri" w:hAnsi="Calibri"/>
          <w:b/>
          <w:color w:val="0B3A67"/>
        </w:rPr>
        <w:t xml:space="preserve">Suggested answer: </w:t>
      </w:r>
      <w:r>
        <w:rPr>
          <w:rFonts w:ascii="Calibri" w:hAnsi="Calibri"/>
          <w:color w:val="172B3A"/>
        </w:rPr>
        <w:t>The system records the node ID, category, timestamp, device logs, and available voice context. Authorized personnel validate the alert and may tag it as false, but misuse cannot be completely prevented.</w:t>
      </w:r>
    </w:p>
    <w:p>
      <w:pPr>
        <w:keepNext/>
      </w:pPr>
      <w:r>
        <w:rPr>
          <w:rFonts w:ascii="Calibri" w:hAnsi="Calibri"/>
          <w:b/>
          <w:color w:val="0B3A67"/>
        </w:rPr>
        <w:t>Does an alert automatically dispatch a team?</w:t>
      </w:r>
    </w:p>
    <w:p>
      <w:pPr>
        <w:spacing w:after="90" w:before="90"/>
        <w:shd w:fill="F4F7FA"/>
        <w:ind w:left="140" w:right="140"/>
      </w:pPr>
      <w:r>
        <w:rPr>
          <w:rFonts w:ascii="Calibri" w:hAnsi="Calibri"/>
          <w:b/>
          <w:color w:val="0B3A67"/>
        </w:rPr>
        <w:t xml:space="preserve">Suggested answer: </w:t>
      </w:r>
      <w:r>
        <w:rPr>
          <w:rFonts w:ascii="Calibri" w:hAnsi="Calibri"/>
          <w:color w:val="172B3A"/>
        </w:rPr>
        <w:t>No. MDRRMO personnel review and validate the alert, consider resources and context, and make the dispatch decision.</w:t>
      </w:r>
    </w:p>
    <w:p>
      <w:pPr>
        <w:keepNext/>
      </w:pPr>
      <w:r>
        <w:rPr>
          <w:rFonts w:ascii="Calibri" w:hAnsi="Calibri"/>
          <w:b/>
          <w:color w:val="0B3A67"/>
        </w:rPr>
        <w:t>What happens without internet?</w:t>
      </w:r>
    </w:p>
    <w:p>
      <w:pPr>
        <w:spacing w:after="90" w:before="90"/>
        <w:shd w:fill="F4F7FA"/>
        <w:ind w:left="140" w:right="140"/>
      </w:pPr>
      <w:r>
        <w:rPr>
          <w:rFonts w:ascii="Calibri" w:hAnsi="Calibri"/>
          <w:b/>
          <w:color w:val="0B3A67"/>
        </w:rPr>
        <w:t xml:space="preserve">Suggested answer: </w:t>
      </w:r>
      <w:r>
        <w:rPr>
          <w:rFonts w:ascii="Calibri" w:hAnsi="Calibri"/>
          <w:color w:val="172B3A"/>
        </w:rPr>
        <w:t>The responder app can preserve drafts and queue permitted status updates. Remote media and maps may be deferred. Dispatch and buzzer commands require a live connection and are not automatically replayed.</w:t>
      </w:r>
    </w:p>
    <w:p>
      <w:pPr>
        <w:keepNext/>
      </w:pPr>
      <w:r>
        <w:rPr>
          <w:rFonts w:ascii="Calibri" w:hAnsi="Calibri"/>
          <w:b/>
          <w:color w:val="0B3A67"/>
        </w:rPr>
        <w:t>How is sensitive information protected?</w:t>
      </w:r>
    </w:p>
    <w:p>
      <w:pPr>
        <w:spacing w:after="90" w:before="90"/>
        <w:shd w:fill="F4F7FA"/>
        <w:ind w:left="140" w:right="140"/>
      </w:pPr>
      <w:r>
        <w:rPr>
          <w:rFonts w:ascii="Calibri" w:hAnsi="Calibri"/>
          <w:b/>
          <w:color w:val="0B3A67"/>
        </w:rPr>
        <w:t xml:space="preserve">Suggested answer: </w:t>
      </w:r>
      <w:r>
        <w:rPr>
          <w:rFonts w:ascii="Calibri" w:hAnsi="Calibri"/>
          <w:color w:val="172B3A"/>
        </w:rPr>
        <w:t>The software uses authorized accounts, role-based access, database row-level policies, private voice storage, short-lived access links, server-only secrets, and audit logging. Production deployment still requires formal privacy, security, backup, and monitoring procedures.</w:t>
      </w:r>
    </w:p>
    <w:p>
      <w:pPr>
        <w:keepNext/>
      </w:pPr>
      <w:r>
        <w:rPr>
          <w:rFonts w:ascii="Calibri" w:hAnsi="Calibri"/>
          <w:b/>
          <w:color w:val="0B3A67"/>
        </w:rPr>
        <w:t>Is NodeGuard already deployed municipality-wide?</w:t>
      </w:r>
    </w:p>
    <w:p>
      <w:pPr>
        <w:spacing w:after="90" w:before="90"/>
        <w:shd w:fill="F4F7FA"/>
        <w:ind w:left="140" w:right="140"/>
      </w:pPr>
      <w:r>
        <w:rPr>
          <w:rFonts w:ascii="Calibri" w:hAnsi="Calibri"/>
          <w:b/>
          <w:color w:val="0B3A67"/>
        </w:rPr>
        <w:t xml:space="preserve">Suggested answer: </w:t>
      </w:r>
      <w:r>
        <w:rPr>
          <w:rFonts w:ascii="Calibri" w:hAnsi="Calibri"/>
          <w:color w:val="172B3A"/>
        </w:rPr>
        <w:t>No. The software has been implemented and build-tested, but municipality-wide use, physical-node rollout, long-term performance, and real-world outcome evaluation require controlled pilot deployment and institutional approval.</w:t>
      </w:r>
    </w:p>
    <w:p>
      <w:pPr>
        <w:keepNext/>
      </w:pPr>
      <w:r>
        <w:rPr>
          <w:rFonts w:ascii="Calibri" w:hAnsi="Calibri"/>
          <w:b/>
          <w:color w:val="0B3A67"/>
        </w:rPr>
        <w:t>Can NodeGuard prove faster response time?</w:t>
      </w:r>
    </w:p>
    <w:p>
      <w:pPr>
        <w:spacing w:after="90" w:before="90"/>
        <w:shd w:fill="F4F7FA"/>
        <w:ind w:left="140" w:right="140"/>
      </w:pPr>
      <w:r>
        <w:rPr>
          <w:rFonts w:ascii="Calibri" w:hAnsi="Calibri"/>
          <w:b/>
          <w:color w:val="0B3A67"/>
        </w:rPr>
        <w:t xml:space="preserve">Suggested answer: </w:t>
      </w:r>
      <w:r>
        <w:rPr>
          <w:rFonts w:ascii="Calibri" w:hAnsi="Calibri"/>
          <w:color w:val="172B3A"/>
        </w:rPr>
        <w:t>Not yet. The study intends to improve the availability and organization of initial information. Actual arrival times and emergency outcomes require future controlled and long-term evaluation.</w:t>
      </w:r>
    </w:p>
    <w:p>
      <w:pPr>
        <w:keepNext/>
      </w:pPr>
      <w:r>
        <w:rPr>
          <w:rFonts w:ascii="Calibri" w:hAnsi="Calibri"/>
          <w:b/>
          <w:color w:val="0B3A67"/>
        </w:rPr>
        <w:t>Why are there only three categories?</w:t>
      </w:r>
    </w:p>
    <w:p>
      <w:pPr>
        <w:spacing w:after="90" w:before="90"/>
        <w:shd w:fill="F4F7FA"/>
        <w:ind w:left="140" w:right="140"/>
      </w:pPr>
      <w:r>
        <w:rPr>
          <w:rFonts w:ascii="Calibri" w:hAnsi="Calibri"/>
          <w:b/>
          <w:color w:val="0B3A67"/>
        </w:rPr>
        <w:t xml:space="preserve">Suggested answer: </w:t>
      </w:r>
      <w:r>
        <w:rPr>
          <w:rFonts w:ascii="Calibri" w:hAnsi="Calibri"/>
          <w:color w:val="172B3A"/>
        </w:rPr>
        <w:t>The three broad categories make public activation simple while giving MDRRMO an initial classification. Authorized personnel still determine the specific response.</w:t>
      </w:r>
    </w:p>
    <w:p>
      <w:pPr>
        <w:keepNext/>
      </w:pPr>
      <w:r>
        <w:rPr>
          <w:rFonts w:ascii="Calibri" w:hAnsi="Calibri"/>
          <w:b/>
          <w:color w:val="0B3A67"/>
        </w:rPr>
        <w:t>What makes NodeGuard different from a panic button?</w:t>
      </w:r>
    </w:p>
    <w:p>
      <w:pPr>
        <w:spacing w:after="90" w:before="90"/>
        <w:shd w:fill="F4F7FA"/>
        <w:ind w:left="140" w:right="140"/>
      </w:pPr>
      <w:r>
        <w:rPr>
          <w:rFonts w:ascii="Calibri" w:hAnsi="Calibri"/>
          <w:b/>
          <w:color w:val="0B3A67"/>
        </w:rPr>
        <w:t xml:space="preserve">Suggested answer: </w:t>
      </w:r>
      <w:r>
        <w:rPr>
          <w:rFonts w:ascii="Calibri" w:hAnsi="Calibri"/>
          <w:color w:val="172B3A"/>
        </w:rPr>
        <w:t>It combines a categorized fixed node with known location, optional voice context, centralized incident management, responder/resource assignment, field updates, records, reports, analytics, and governance controls.</w:t>
      </w:r>
    </w:p>
    <w:p>
      <w:pPr>
        <w:pStyle w:val="Heading1"/>
        <w:keepNext/>
      </w:pPr>
      <w:r>
        <w:t>Final Presentation Checklist</w:t>
      </w:r>
    </w:p>
    <w:p>
      <w:pPr>
        <w:numPr>
          <w:ilvl w:val="0"/>
          <w:numId w:val="10"/>
        </w:numPr>
      </w:pPr>
      <w:r>
        <w:rPr>
          <w:rFonts w:ascii="Calibri" w:hAnsi="Calibri"/>
          <w:color w:val="172B3A"/>
        </w:rPr>
        <w:t>The audience can explain NodeGuard in one sentence after Slide 2.</w:t>
      </w:r>
    </w:p>
    <w:p>
      <w:pPr>
        <w:numPr>
          <w:ilvl w:val="0"/>
          <w:numId w:val="10"/>
        </w:numPr>
      </w:pPr>
      <w:r>
        <w:rPr>
          <w:rFonts w:ascii="Calibri" w:hAnsi="Calibri"/>
          <w:color w:val="172B3A"/>
        </w:rPr>
        <w:t>The deck shows all three components: alert node, website, and responder app.</w:t>
      </w:r>
    </w:p>
    <w:p>
      <w:pPr>
        <w:numPr>
          <w:ilvl w:val="0"/>
          <w:numId w:val="10"/>
        </w:numPr>
      </w:pPr>
      <w:r>
        <w:rPr>
          <w:rFonts w:ascii="Calibri" w:hAnsi="Calibri"/>
          <w:color w:val="172B3A"/>
        </w:rPr>
        <w:t>The workflow visibly includes alert validation and human dispatch authority.</w:t>
      </w:r>
    </w:p>
    <w:p>
      <w:pPr>
        <w:numPr>
          <w:ilvl w:val="0"/>
          <w:numId w:val="10"/>
        </w:numPr>
      </w:pPr>
      <w:r>
        <w:rPr>
          <w:rFonts w:ascii="Calibri" w:hAnsi="Calibri"/>
          <w:color w:val="172B3A"/>
        </w:rPr>
        <w:t>Offline Local-Sync is explained without implying that dangerous commands are queued.</w:t>
      </w:r>
    </w:p>
    <w:p>
      <w:pPr>
        <w:numPr>
          <w:ilvl w:val="0"/>
          <w:numId w:val="10"/>
        </w:numPr>
      </w:pPr>
      <w:r>
        <w:rPr>
          <w:rFonts w:ascii="Calibri" w:hAnsi="Calibri"/>
          <w:color w:val="172B3A"/>
        </w:rPr>
        <w:t>The scope slide clearly states that NodeGuard supplements existing emergency channels.</w:t>
      </w:r>
    </w:p>
    <w:p>
      <w:pPr>
        <w:numPr>
          <w:ilvl w:val="0"/>
          <w:numId w:val="10"/>
        </w:numPr>
      </w:pPr>
      <w:r>
        <w:rPr>
          <w:rFonts w:ascii="Calibri" w:hAnsi="Calibri"/>
          <w:color w:val="172B3A"/>
        </w:rPr>
        <w:t>Interview estimates, illustrative scenarios, mock data, and future features are labeled correctly.</w:t>
      </w:r>
    </w:p>
    <w:p>
      <w:pPr>
        <w:numPr>
          <w:ilvl w:val="0"/>
          <w:numId w:val="10"/>
        </w:numPr>
      </w:pPr>
      <w:r>
        <w:rPr>
          <w:rFonts w:ascii="Calibri" w:hAnsi="Calibri"/>
          <w:color w:val="172B3A"/>
        </w:rPr>
        <w:t>All screenshots are current, readable, and free of private credentials or real personal data.</w:t>
      </w:r>
    </w:p>
    <w:p>
      <w:pPr>
        <w:numPr>
          <w:ilvl w:val="0"/>
          <w:numId w:val="10"/>
        </w:numPr>
      </w:pPr>
      <w:r>
        <w:rPr>
          <w:rFonts w:ascii="Calibri" w:hAnsi="Calibri"/>
          <w:color w:val="172B3A"/>
        </w:rPr>
        <w:t>The presenter rehearsed the scenario and the likely questions.</w:t>
      </w:r>
    </w:p>
    <w:p>
      <w:pPr>
        <w:numPr>
          <w:ilvl w:val="0"/>
          <w:numId w:val="10"/>
        </w:numPr>
      </w:pPr>
      <w:r>
        <w:rPr>
          <w:rFonts w:ascii="Calibri" w:hAnsi="Calibri"/>
          <w:color w:val="172B3A"/>
        </w:rPr>
        <w:t>The final slide returns to the main message instead of ending on a technical diagram.</w:t>
      </w:r>
    </w:p>
    <w:p>
      <w:pPr>
        <w:pStyle w:val="Heading1"/>
        <w:keepNext/>
      </w:pPr>
      <w:r>
        <w:t>Source Basis</w:t>
      </w:r>
    </w:p>
    <w:p>
      <w:pPr>
        <w:numPr>
          <w:ilvl w:val="0"/>
          <w:numId w:val="10"/>
        </w:numPr>
      </w:pPr>
      <w:r>
        <w:rPr>
          <w:rFonts w:ascii="Calibri" w:hAnsi="Calibri"/>
          <w:color w:val="172B3A"/>
        </w:rPr>
        <w:t>Fernandez, R. S., Calderon, L. M., and Amando, C. G. S. (2026). NodeGuard: An IoT-Based Emergency Response and Incident Management for MDRRMO La Trinidad. Capstone paper.</w:t>
      </w:r>
    </w:p>
    <w:p>
      <w:pPr>
        <w:numPr>
          <w:ilvl w:val="0"/>
          <w:numId w:val="10"/>
        </w:numPr>
      </w:pPr>
      <w:r>
        <w:rPr>
          <w:rFonts w:ascii="Calibri" w:hAnsi="Calibri"/>
          <w:color w:val="172B3A"/>
        </w:rPr>
        <w:t>NodeGuard repository README, deployment guide, connection guide, UI system, database migrations, website source, and personnel-application source.</w:t>
      </w:r>
    </w:p>
    <w:p>
      <w:pPr>
        <w:numPr>
          <w:ilvl w:val="0"/>
          <w:numId w:val="10"/>
        </w:numPr>
      </w:pPr>
      <w:r>
        <w:rPr>
          <w:rFonts w:ascii="Calibri" w:hAnsi="Calibri"/>
          <w:color w:val="172B3A"/>
        </w:rPr>
        <w:t>La Trinidad Municipal Disaster Risk Reduction and Management Office: https://ltdrrmo.ph/</w:t>
      </w:r>
    </w:p>
    <w:p>
      <w:pPr>
        <w:numPr>
          <w:ilvl w:val="0"/>
          <w:numId w:val="10"/>
        </w:numPr>
      </w:pPr>
      <w:r>
        <w:rPr>
          <w:rFonts w:ascii="Calibri" w:hAnsi="Calibri"/>
          <w:color w:val="172B3A"/>
        </w:rPr>
        <w:t>Official MDRRMO hazard-map library: https://ltdrrmo.ph/resources/maps/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2606D"/>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2606D"/>
        <w:sz w:val="17"/>
      </w:rPr>
      <w:t>NODEGUARD  |  POWERPOINT PRESENTATION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55EE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55EE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3A6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1F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2606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and Presenting NodeGuard</dc:title>
  <dc:subject>Beginner-friendly PowerPoint presentation development guide</dc:subject>
  <dc:creator>NodeGuard Project Team</dc:creator>
  <cp:keywords>NodeGuard, MDRRMO, emergency response, presentation guide</cp:keywords>
  <dc:description>generated by python-docx</dc:description>
  <cp:lastModifiedBy/>
  <cp:revision>1</cp:revision>
  <dcterms:created xsi:type="dcterms:W3CDTF">2013-12-23T23:15:00Z</dcterms:created>
  <dcterms:modified xsi:type="dcterms:W3CDTF">2013-12-23T23:15:00Z</dcterms:modified>
  <cp:category/>
</cp:coreProperties>
</file>