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5" name="image6.png"/>
            <a:graphic>
              <a:graphicData uri="http://schemas.openxmlformats.org/drawingml/2006/picture">
                <pic:pic>
                  <pic:nvPicPr>
                    <pic:cNvPr descr="Global Rain logo" id="0" name="image6.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pcm1hur46im"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082583250"/>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o4xbyg5lwh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sj7vjekwklj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vugveqziesc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8oj5nwioemz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ikiof7ogva0e">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c7a4t6jgrc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4x1kc7gfptg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cxuv7qvzyks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bte9q6gm4q2t">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nxzg7gfxhfk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1ytbufr1exv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5lsxz6lscv7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5o4xbyg5lwhb"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6/16/26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Ronald Green</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sj7vjekwkljb"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6" name="image8.png"/>
            <a:graphic>
              <a:graphicData uri="http://schemas.openxmlformats.org/drawingml/2006/picture">
                <pic:pic>
                  <pic:nvPicPr>
                    <pic:cNvPr descr="Artemis Financial logo" id="0" name="image8.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vugveqziescr"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these completed practices for the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heading=h.8oj5nwioemzh"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Ronald Green</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2"/>
        </w:numPr>
        <w:spacing w:before="0" w:line="240" w:lineRule="auto"/>
        <w:ind w:left="360" w:hanging="360"/>
        <w:rPr/>
      </w:pPr>
      <w:bookmarkStart w:colFirst="0" w:colLast="0" w:name="_heading=h.ikiof7ogva0e" w:id="5"/>
      <w:bookmarkEnd w:id="5"/>
      <w:r w:rsidDel="00000000" w:rsidR="00000000" w:rsidRPr="00000000">
        <w:rPr>
          <w:rtl w:val="0"/>
        </w:rPr>
        <w:t xml:space="preserve">Algorithm Cipher</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Artemis Financial requires a modern, secure, and robust cryptographic mechanism to ensure both secure communications over the web and the strict integrity of data transfers. To protect sensitive client portfolios containing savings, retirement, investments, and insurance data, a dual cryptographic architecture is deployed: Transport Layer Security for data-in-transit encryption and SHA-256 for data integrity verification via checksums. </w:t>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180" w:before="3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Overview</w:t>
      </w:r>
    </w:p>
    <w:p w:rsidR="00000000" w:rsidDel="00000000" w:rsidP="00000000" w:rsidRDefault="00000000" w:rsidRPr="00000000" w14:paraId="0000003E">
      <w:pPr>
        <w:spacing w:after="240" w:before="1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establishes a comprehensive defense-in-depth model. When clients access the public web interface, their data is encrypted over the network to prevent interception. To ensure that files or configuration scripts are not tampered with during transmission, the application calculates a cryptographic checksum. If even a single character or byte is modified in transit, the calculated hash completely changes, instantly flagging the data as untrusted.</w:t>
      </w:r>
    </w:p>
    <w:p w:rsidR="00000000" w:rsidDel="00000000" w:rsidP="00000000" w:rsidRDefault="00000000" w:rsidRPr="00000000" w14:paraId="0000003F">
      <w:pPr>
        <w:spacing w:after="180" w:before="3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 Functions and Bit Levels</w:t>
      </w:r>
    </w:p>
    <w:p w:rsidR="00000000" w:rsidDel="00000000" w:rsidP="00000000" w:rsidRDefault="00000000" w:rsidRPr="00000000" w14:paraId="00000040">
      <w:pPr>
        <w:spacing w:after="240" w:before="1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file and data verification, the SHA-256 hash algorithm is implemented. As part of the SHA-2 family designed by the NSA, it processes messages in 512-bit blocks and outputs a fixed 256-bit (32-byte) digest. The bit level provides 2²⁵⁶ possible combinations, making it mathematically and computationally immune to collision attacks and preimage attacks.</w:t>
      </w:r>
    </w:p>
    <w:p w:rsidR="00000000" w:rsidDel="00000000" w:rsidP="00000000" w:rsidRDefault="00000000" w:rsidRPr="00000000" w14:paraId="00000041">
      <w:pPr>
        <w:spacing w:after="180" w:before="3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Numbers &amp; Symmetric vs. Asymmetric Keys</w:t>
      </w:r>
    </w:p>
    <w:p w:rsidR="00000000" w:rsidDel="00000000" w:rsidP="00000000" w:rsidRDefault="00000000" w:rsidRPr="00000000" w14:paraId="00000042">
      <w:pPr>
        <w:spacing w:after="240" w:before="1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leverages both symmetric and asymmetric cryptography efficiently:</w:t>
      </w:r>
    </w:p>
    <w:p w:rsidR="00000000" w:rsidDel="00000000" w:rsidP="00000000" w:rsidRDefault="00000000" w:rsidRPr="00000000" w14:paraId="00000043">
      <w:pPr>
        <w:numPr>
          <w:ilvl w:val="0"/>
          <w:numId w:val="2"/>
        </w:numPr>
        <w:spacing w:after="0" w:afterAutospacing="0" w:before="180" w:line="4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Asymmetric (Public Key) Cryptography: Uses a mathematically linked keypair—a public key distributed to users and a private key kept secure by Artemis Financial. The RSA algorithm with a 2048-bit key size is utilized during the initial TLS handshake to securely authenticate the server and negotiate a secure session.</w:t>
      </w:r>
    </w:p>
    <w:p w:rsidR="00000000" w:rsidDel="00000000" w:rsidP="00000000" w:rsidRDefault="00000000" w:rsidRPr="00000000" w14:paraId="00000044">
      <w:pPr>
        <w:numPr>
          <w:ilvl w:val="0"/>
          <w:numId w:val="2"/>
        </w:numPr>
        <w:spacing w:after="0" w:afterAutospacing="0" w:before="0" w:beforeAutospacing="0" w:line="4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Symmetric (Secret Key) Cryptography: Uses a single shared key to both encrypt and decrypt data. Once the handshake verifies the identity of the server, the connection shifts to AES-256 (Advanced Encryption Standard) symmetric encryption because it is computationally faster and highly efficient for high-volume data streams.</w:t>
      </w:r>
    </w:p>
    <w:p w:rsidR="00000000" w:rsidDel="00000000" w:rsidP="00000000" w:rsidRDefault="00000000" w:rsidRPr="00000000" w14:paraId="00000045">
      <w:pPr>
        <w:numPr>
          <w:ilvl w:val="0"/>
          <w:numId w:val="2"/>
        </w:numPr>
        <w:spacing w:after="420" w:before="0" w:beforeAutospacing="0" w:line="480" w:lineRule="auto"/>
        <w:ind w:left="360"/>
        <w:rPr>
          <w:rFonts w:ascii="Roboto" w:cs="Roboto" w:eastAsia="Roboto" w:hAnsi="Roboto"/>
        </w:rPr>
      </w:pPr>
      <w:r w:rsidDel="00000000" w:rsidR="00000000" w:rsidRPr="00000000">
        <w:rPr>
          <w:rFonts w:ascii="Times New Roman" w:cs="Times New Roman" w:eastAsia="Times New Roman" w:hAnsi="Times New Roman"/>
          <w:rtl w:val="0"/>
        </w:rPr>
        <w:t xml:space="preserve">Random Numbers: To prevent predictable session keys or predictable initial values, the application relies on Cryptographically Secure Pseudo-Random Number Generators (CSPRNG), specifically Java’s </w:t>
      </w:r>
      <w:r w:rsidDel="00000000" w:rsidR="00000000" w:rsidRPr="00000000">
        <w:rPr>
          <w:rFonts w:ascii="Times New Roman" w:cs="Times New Roman" w:eastAsia="Times New Roman" w:hAnsi="Times New Roman"/>
          <w:rtl w:val="0"/>
        </w:rPr>
        <w:t xml:space="preserve">SecureRandom</w:t>
      </w:r>
      <w:r w:rsidDel="00000000" w:rsidR="00000000" w:rsidRPr="00000000">
        <w:rPr>
          <w:rFonts w:ascii="Times New Roman" w:cs="Times New Roman" w:eastAsia="Times New Roman" w:hAnsi="Times New Roman"/>
          <w:rtl w:val="0"/>
        </w:rPr>
        <w:t xml:space="preserve">, rather than standard pseudo-random generators. This ensures that attackers cannot guess or regenerate encryption keys.</w:t>
      </w:r>
    </w:p>
    <w:p w:rsidR="00000000" w:rsidDel="00000000" w:rsidP="00000000" w:rsidRDefault="00000000" w:rsidRPr="00000000" w14:paraId="00000046">
      <w:pPr>
        <w:spacing w:after="180" w:before="360" w:line="480" w:lineRule="auto"/>
        <w:ind w:left="360" w:firstLine="0"/>
        <w:rPr>
          <w:rFonts w:ascii="Roboto" w:cs="Roboto" w:eastAsia="Roboto" w:hAnsi="Roboto"/>
        </w:rPr>
      </w:pPr>
      <w:r w:rsidDel="00000000" w:rsidR="00000000" w:rsidRPr="00000000">
        <w:rPr>
          <w:rFonts w:ascii="Roboto" w:cs="Roboto" w:eastAsia="Roboto" w:hAnsi="Roboto"/>
          <w:rtl w:val="0"/>
        </w:rPr>
        <w:t xml:space="preserve">History and Current State</w:t>
      </w:r>
    </w:p>
    <w:p w:rsidR="00000000" w:rsidDel="00000000" w:rsidP="00000000" w:rsidRDefault="00000000" w:rsidRPr="00000000" w14:paraId="00000047">
      <w:pPr>
        <w:spacing w:after="240" w:before="180" w:line="480" w:lineRule="auto"/>
        <w:ind w:left="360" w:firstLine="0"/>
        <w:rPr>
          <w:rFonts w:ascii="Times New Roman" w:cs="Times New Roman" w:eastAsia="Times New Roman" w:hAnsi="Times New Roman"/>
        </w:rPr>
      </w:pPr>
      <w:r w:rsidDel="00000000" w:rsidR="00000000" w:rsidRPr="00000000">
        <w:rPr>
          <w:rFonts w:ascii="Roboto" w:cs="Roboto" w:eastAsia="Roboto" w:hAnsi="Roboto"/>
          <w:rtl w:val="0"/>
        </w:rPr>
        <w:t xml:space="preserve">Cryptographic standards evolve rapidly as computational power increases. Older ciphers such as MD5 (128-bit) and SHA-1 (160-bit) have been completely deprecated by NIST due to severe structural vulnerabilities that allow rapid, cheap collision spoofing. Today, SHA-256, SHA-3, and AES-256 stand as globally accepted industry benchmarks used by financial institutions and government entities to withstand modern cryptographic attacks.</w:t>
      </w: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pStyle w:val="Heading2"/>
        <w:numPr>
          <w:ilvl w:val="0"/>
          <w:numId w:val="2"/>
        </w:numPr>
        <w:spacing w:before="0" w:line="240" w:lineRule="auto"/>
        <w:ind w:left="360" w:hanging="360"/>
        <w:rPr/>
      </w:pPr>
      <w:bookmarkStart w:colFirst="0" w:colLast="0" w:name="_heading=h.c7a4t6jgrcy" w:id="6"/>
      <w:bookmarkEnd w:id="6"/>
      <w:r w:rsidDel="00000000" w:rsidR="00000000" w:rsidRPr="00000000">
        <w:rPr>
          <w:rtl w:val="0"/>
        </w:rPr>
        <w:t xml:space="preserve">Certificate Generation</w:t>
      </w:r>
    </w:p>
    <w:p w:rsidR="00000000" w:rsidDel="00000000" w:rsidP="00000000" w:rsidRDefault="00000000" w:rsidRPr="00000000" w14:paraId="0000004A">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sz w:val="22"/>
          <w:szCs w:val="22"/>
        </w:rPr>
        <w:drawing>
          <wp:inline distB="114300" distT="114300" distL="114300" distR="114300">
            <wp:extent cx="5943600" cy="45085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pStyle w:val="Heading2"/>
        <w:numPr>
          <w:ilvl w:val="0"/>
          <w:numId w:val="2"/>
        </w:numPr>
        <w:spacing w:before="0" w:line="240" w:lineRule="auto"/>
        <w:ind w:left="360" w:hanging="360"/>
        <w:rPr/>
      </w:pPr>
      <w:bookmarkStart w:colFirst="0" w:colLast="0" w:name="_heading=h.4x1kc7gfptgu" w:id="7"/>
      <w:bookmarkEnd w:id="7"/>
      <w:r w:rsidDel="00000000" w:rsidR="00000000" w:rsidRPr="00000000">
        <w:rPr>
          <w:rtl w:val="0"/>
        </w:rPr>
        <w:t xml:space="preserve">Deploy Cipher</w:t>
      </w:r>
    </w:p>
    <w:p w:rsidR="00000000" w:rsidDel="00000000" w:rsidP="00000000" w:rsidRDefault="00000000" w:rsidRPr="00000000" w14:paraId="0000004F">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Pr>
        <w:drawing>
          <wp:inline distB="114300" distT="114300" distL="114300" distR="114300">
            <wp:extent cx="5943600" cy="12446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pStyle w:val="Heading2"/>
        <w:numPr>
          <w:ilvl w:val="0"/>
          <w:numId w:val="2"/>
        </w:numPr>
        <w:spacing w:before="0" w:line="240" w:lineRule="auto"/>
        <w:ind w:left="360" w:hanging="360"/>
        <w:rPr/>
      </w:pPr>
      <w:bookmarkStart w:colFirst="0" w:colLast="0" w:name="_heading=h.cxuv7qvzyksg" w:id="8"/>
      <w:bookmarkEnd w:id="8"/>
      <w:r w:rsidDel="00000000" w:rsidR="00000000" w:rsidRPr="00000000">
        <w:rPr>
          <w:rtl w:val="0"/>
        </w:rPr>
        <w:t xml:space="preserve">Secure Communications </w:t>
      </w:r>
    </w:p>
    <w:p w:rsidR="00000000" w:rsidDel="00000000" w:rsidP="00000000" w:rsidRDefault="00000000" w:rsidRPr="00000000" w14:paraId="00000054">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sz w:val="22"/>
          <w:szCs w:val="22"/>
        </w:rPr>
        <w:drawing>
          <wp:inline distB="114300" distT="114300" distL="114300" distR="114300">
            <wp:extent cx="5781675" cy="32385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816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pStyle w:val="Heading2"/>
        <w:numPr>
          <w:ilvl w:val="0"/>
          <w:numId w:val="2"/>
        </w:numPr>
        <w:spacing w:before="0" w:line="240" w:lineRule="auto"/>
        <w:ind w:left="360" w:hanging="360"/>
        <w:rPr/>
      </w:pPr>
      <w:bookmarkStart w:colFirst="0" w:colLast="0" w:name="_heading=h.bte9q6gm4q2t" w:id="9"/>
      <w:bookmarkEnd w:id="9"/>
      <w:r w:rsidDel="00000000" w:rsidR="00000000" w:rsidRPr="00000000">
        <w:rPr>
          <w:rtl w:val="0"/>
        </w:rPr>
        <w:t xml:space="preserve">Secondary Testing</w:t>
      </w:r>
    </w:p>
    <w:p w:rsidR="00000000" w:rsidDel="00000000" w:rsidP="00000000" w:rsidRDefault="00000000" w:rsidRPr="00000000" w14:paraId="00000059">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sz w:val="22"/>
          <w:szCs w:val="22"/>
        </w:rPr>
        <w:drawing>
          <wp:inline distB="114300" distT="114300" distL="114300" distR="114300">
            <wp:extent cx="5943600" cy="34036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Pr>
        <w:drawing>
          <wp:inline distB="114300" distT="114300" distL="114300" distR="114300">
            <wp:extent cx="5943600" cy="9017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numPr>
          <w:ilvl w:val="0"/>
          <w:numId w:val="2"/>
        </w:numPr>
        <w:spacing w:before="0" w:line="240" w:lineRule="auto"/>
        <w:ind w:left="360" w:hanging="360"/>
        <w:rPr/>
      </w:pPr>
      <w:bookmarkStart w:colFirst="0" w:colLast="0" w:name="_heading=h.nxzg7gfxhfkf" w:id="10"/>
      <w:bookmarkEnd w:id="10"/>
      <w:r w:rsidDel="00000000" w:rsidR="00000000" w:rsidRPr="00000000">
        <w:rPr>
          <w:rtl w:val="0"/>
        </w:rPr>
        <w:t xml:space="preserve">Functional Testing</w:t>
      </w:r>
    </w:p>
    <w:p w:rsidR="00000000" w:rsidDel="00000000" w:rsidP="00000000" w:rsidRDefault="00000000" w:rsidRPr="00000000" w14:paraId="0000005E">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sz w:val="22"/>
          <w:szCs w:val="22"/>
        </w:rPr>
        <w:drawing>
          <wp:inline distB="114300" distT="114300" distL="114300" distR="114300">
            <wp:extent cx="5943600" cy="12827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pStyle w:val="Heading2"/>
        <w:numPr>
          <w:ilvl w:val="0"/>
          <w:numId w:val="2"/>
        </w:numPr>
        <w:spacing w:before="0" w:line="240" w:lineRule="auto"/>
        <w:ind w:left="360" w:hanging="360"/>
        <w:rPr/>
      </w:pPr>
      <w:bookmarkStart w:colFirst="0" w:colLast="0" w:name="_heading=h.1ytbufr1exvg" w:id="11"/>
      <w:bookmarkEnd w:id="11"/>
      <w:r w:rsidDel="00000000" w:rsidR="00000000" w:rsidRPr="00000000">
        <w:rPr>
          <w:rtl w:val="0"/>
        </w:rPr>
        <w:t xml:space="preserve">Summary</w:t>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code for the Artemis Financial application was systematically refactored to eliminate design vulnerabilities and fully comply with secure software development lifecycle standards. Following the vulnerability assessment process flow, two primary defensive exposures were addressed. First, plaintext HTTP endpoints were refactored to use encrypted HTTPS over port 8443 via an authenticated PKCS12 keystore, mitigating exposure to data-in-transit interception and eavesdropping attacks. Second, an algorithmic checksum verification layer utilizing SHA-256 was added to the web interface to establish data integrity and provenance for financial communications. Automated secondary static analysis using the dependency-check tool was executed to verify that the modifications were implemented successfully and did not introduce new supply-chain risks, ensuring the final application platform complies with industry-standard security protocols.</w:t>
      </w:r>
    </w:p>
    <w:p w:rsidR="00000000" w:rsidDel="00000000" w:rsidP="00000000" w:rsidRDefault="00000000" w:rsidRPr="00000000" w14:paraId="00000065">
      <w:pPr>
        <w:rPr>
          <w:sz w:val="22"/>
          <w:szCs w:val="22"/>
        </w:rPr>
      </w:pPr>
      <w:r w:rsidDel="00000000" w:rsidR="00000000" w:rsidRPr="00000000">
        <w:rPr>
          <w:rtl w:val="0"/>
        </w:rPr>
      </w:r>
    </w:p>
    <w:p w:rsidR="00000000" w:rsidDel="00000000" w:rsidP="00000000" w:rsidRDefault="00000000" w:rsidRPr="00000000" w14:paraId="00000066">
      <w:pPr>
        <w:rPr>
          <w:sz w:val="22"/>
          <w:szCs w:val="22"/>
        </w:rPr>
      </w:pPr>
      <w:r w:rsidDel="00000000" w:rsidR="00000000" w:rsidRPr="00000000">
        <w:rPr>
          <w:rtl w:val="0"/>
        </w:rPr>
      </w:r>
    </w:p>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pStyle w:val="Heading2"/>
        <w:numPr>
          <w:ilvl w:val="0"/>
          <w:numId w:val="2"/>
        </w:numPr>
        <w:spacing w:before="0" w:line="240" w:lineRule="auto"/>
        <w:ind w:left="360" w:hanging="360"/>
        <w:rPr>
          <w:rFonts w:ascii="Calibri" w:cs="Calibri" w:eastAsia="Calibri" w:hAnsi="Calibri"/>
        </w:rPr>
      </w:pPr>
      <w:bookmarkStart w:colFirst="0" w:colLast="0" w:name="_heading=h.5lsxz6lscv7l"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spacing w:after="240" w:before="1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industry-standard best practices for secure coding is essential to mitigate known common vulnerabilities and insulate enterprise platforms from emerging threat vectors.</w:t>
      </w:r>
    </w:p>
    <w:p w:rsidR="00000000" w:rsidDel="00000000" w:rsidP="00000000" w:rsidRDefault="00000000" w:rsidRPr="00000000" w14:paraId="0000006B">
      <w:pPr>
        <w:spacing w:after="180" w:before="3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Existing Security and System Health</w:t>
      </w:r>
    </w:p>
    <w:p w:rsidR="00000000" w:rsidDel="00000000" w:rsidP="00000000" w:rsidRDefault="00000000" w:rsidRPr="00000000" w14:paraId="0000006C">
      <w:pPr>
        <w:spacing w:after="240" w:before="1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the application’s existing stability while upgrading its defense posture, the refactoring used modular, clean coding structures that avoided hardcoded secrets or direct alterations to valid business domain models. Input parameters are handled via explicit character sets (</w:t>
      </w:r>
      <w:r w:rsidDel="00000000" w:rsidR="00000000" w:rsidRPr="00000000">
        <w:rPr>
          <w:rFonts w:ascii="Times New Roman" w:cs="Times New Roman" w:eastAsia="Times New Roman" w:hAnsi="Times New Roman"/>
          <w:rtl w:val="0"/>
        </w:rPr>
        <w:t xml:space="preserve">StandardCharsets.UTF_8</w:t>
      </w:r>
      <w:r w:rsidDel="00000000" w:rsidR="00000000" w:rsidRPr="00000000">
        <w:rPr>
          <w:rFonts w:ascii="Times New Roman" w:cs="Times New Roman" w:eastAsia="Times New Roman" w:hAnsi="Times New Roman"/>
          <w:rtl w:val="0"/>
        </w:rPr>
        <w:t xml:space="preserve">) to eliminate injection variations or unexpected text parsing exploits. Furthermore, by utilizing native, trusted Java API structures (</w:t>
      </w:r>
      <w:r w:rsidDel="00000000" w:rsidR="00000000" w:rsidRPr="00000000">
        <w:rPr>
          <w:rFonts w:ascii="Times New Roman" w:cs="Times New Roman" w:eastAsia="Times New Roman" w:hAnsi="Times New Roman"/>
          <w:rtl w:val="0"/>
        </w:rPr>
        <w:t xml:space="preserve">java.security.MessageDigest</w:t>
      </w:r>
      <w:r w:rsidDel="00000000" w:rsidR="00000000" w:rsidRPr="00000000">
        <w:rPr>
          <w:rFonts w:ascii="Times New Roman" w:cs="Times New Roman" w:eastAsia="Times New Roman" w:hAnsi="Times New Roman"/>
          <w:rtl w:val="0"/>
        </w:rPr>
        <w:t xml:space="preserve">), the application maintains full compatibility with standard enterprise Java frameworks without relying on third-party dependencies that might widen the attack surface.</w:t>
      </w:r>
    </w:p>
    <w:p w:rsidR="00000000" w:rsidDel="00000000" w:rsidP="00000000" w:rsidRDefault="00000000" w:rsidRPr="00000000" w14:paraId="0000006D">
      <w:pPr>
        <w:spacing w:after="180" w:before="36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Value and Well-Being</w:t>
      </w:r>
    </w:p>
    <w:p w:rsidR="00000000" w:rsidDel="00000000" w:rsidP="00000000" w:rsidRDefault="00000000" w:rsidRPr="00000000" w14:paraId="0000006E">
      <w:pPr>
        <w:spacing w:after="240" w:before="18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For a consulting firm like Artemis Financial that curates individualized client portfolios, software security directly correlates to brand equity, corporate viability, and regulatory compliance. Implementing data verification checksums and enforcing transport layer encryption guarantees that sensitive consumer asset data remains safe from digital corporate espionage and theft. Proactively mitigating security risks shields the organization from devastating financial penalties, legal liabilities, and catastrophic loss of public trust. Embracing these paradigms enforces Global Rain’s core operational philosophy: </w:t>
      </w:r>
      <w:r w:rsidDel="00000000" w:rsidR="00000000" w:rsidRPr="00000000">
        <w:rPr>
          <w:rFonts w:ascii="Times New Roman" w:cs="Times New Roman" w:eastAsia="Times New Roman" w:hAnsi="Times New Roman"/>
          <w:i w:val="1"/>
          <w:iCs w:val="1"/>
          <w:rtl w:val="0"/>
        </w:rPr>
        <w:t xml:space="preserve">"Security is everyone's responsibility."</w:t>
      </w:r>
    </w:p>
    <w:p w:rsidR="00000000" w:rsidDel="00000000" w:rsidP="00000000" w:rsidRDefault="00000000" w:rsidRPr="00000000" w14:paraId="0000006F">
      <w:pPr>
        <w:rPr>
          <w:sz w:val="22"/>
          <w:szCs w:val="22"/>
        </w:rPr>
      </w:pPr>
      <w:r w:rsidDel="00000000" w:rsidR="00000000" w:rsidRPr="00000000">
        <w:rPr>
          <w:rtl w:val="0"/>
        </w:rPr>
      </w:r>
    </w:p>
    <w:sectPr>
      <w:headerReference r:id="rId15" w:type="default"/>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9rPdUBnf+sS7dVzp5CvPO/Tqdg==">CgMxLjAyDWgucGNtMWh1cjQ2aW0yDmguNW80eGJ5ZzVsd2hiMg5oLnNqN3ZqZWt3a2xqYjIOaC52dWd2ZXF6aWVzY3IyDmguOG9qNW53aW9lbXpoMg5oLmlraW9mN29ndmEwZTINaC5jN2E0dDZqZ3JjeTIOaC40eDFrYzdnZnB0Z3UyDmguY3h1djdxdnp5a3NnMg5oLmJ0ZTlxNmdtNHEydDIOaC5ueHpnN2dmeGhma2YyDmguMXl0YnVmcjFleHZnMg5oLjVsc3h6NmxzY3Y3bDgAciExSkFxTTZtSjlqT1JwZEtmVHRvNS1SNEpZQS1feUZTU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