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89F" w:rsidRPr="00D73C9F" w:rsidRDefault="00D73C9F" w:rsidP="00D73C9F">
      <w:pPr>
        <w:spacing w:line="276" w:lineRule="auto"/>
        <w:rPr>
          <w:rFonts w:ascii="Arial" w:hAnsi="Arial" w:cs="Arial"/>
          <w:sz w:val="20"/>
          <w:szCs w:val="20"/>
          <w:lang w:val="nl-NL"/>
        </w:rPr>
      </w:pPr>
      <w:r w:rsidRPr="00D73C9F">
        <w:rPr>
          <w:rFonts w:ascii="Arial" w:hAnsi="Arial" w:cs="Arial"/>
          <w:b/>
          <w:sz w:val="20"/>
          <w:szCs w:val="20"/>
          <w:lang w:val="nl-NL"/>
        </w:rPr>
        <w:t>Bronnen RMO</w:t>
      </w:r>
    </w:p>
    <w:p w:rsidR="00D73C9F" w:rsidRPr="00D73C9F" w:rsidRDefault="00D73C9F" w:rsidP="00D73C9F">
      <w:pPr>
        <w:spacing w:line="276" w:lineRule="auto"/>
        <w:rPr>
          <w:rFonts w:ascii="Arial" w:hAnsi="Arial" w:cs="Arial"/>
          <w:sz w:val="20"/>
          <w:szCs w:val="20"/>
          <w:lang w:val="nl-NL"/>
        </w:rPr>
      </w:pPr>
      <w:r w:rsidRPr="00D73C9F">
        <w:rPr>
          <w:rFonts w:ascii="Arial" w:hAnsi="Arial" w:cs="Arial"/>
          <w:sz w:val="20"/>
          <w:szCs w:val="20"/>
          <w:lang w:val="nl-NL"/>
        </w:rPr>
        <w:t>1.</w:t>
      </w:r>
    </w:p>
    <w:p w:rsidR="00D73C9F" w:rsidRPr="00D73C9F" w:rsidRDefault="00D73C9F" w:rsidP="00D73C9F">
      <w:pPr>
        <w:spacing w:line="276" w:lineRule="auto"/>
        <w:rPr>
          <w:rFonts w:ascii="Arial" w:hAnsi="Arial" w:cs="Arial"/>
          <w:i/>
          <w:iCs/>
          <w:sz w:val="20"/>
          <w:szCs w:val="20"/>
          <w:lang w:eastAsia="nl-NL"/>
        </w:rPr>
      </w:pPr>
      <w:r w:rsidRPr="00D73C9F">
        <w:rPr>
          <w:rFonts w:ascii="Arial" w:hAnsi="Arial" w:cs="Arial"/>
          <w:sz w:val="20"/>
          <w:szCs w:val="20"/>
          <w:lang w:val="nl-NL"/>
        </w:rPr>
        <w:t>Het grafaltaar van Caetennia</w:t>
      </w:r>
      <w:r w:rsidRPr="00D73C9F">
        <w:rPr>
          <w:rFonts w:ascii="Arial" w:hAnsi="Arial" w:cs="Arial"/>
          <w:sz w:val="20"/>
          <w:szCs w:val="20"/>
          <w:lang w:val="nl-NL" w:eastAsia="nl-NL"/>
        </w:rPr>
        <w:t xml:space="preserve"> De Latijnse inscriptie vermeldt: </w:t>
      </w:r>
      <w:r w:rsidRPr="00D73C9F">
        <w:rPr>
          <w:rFonts w:ascii="Arial" w:hAnsi="Arial" w:cs="Arial"/>
          <w:i/>
          <w:iCs/>
          <w:sz w:val="20"/>
          <w:szCs w:val="20"/>
          <w:lang w:val="nl-NL" w:eastAsia="nl-NL"/>
        </w:rPr>
        <w:t>Aan de Manes [goden van de onderwereld], van Caetennia Pollitta, dochter van Publius; zij werd 10 jaren en 6 maanden oud.</w:t>
      </w:r>
      <w:r w:rsidRPr="00D73C9F">
        <w:rPr>
          <w:rFonts w:ascii="Arial" w:hAnsi="Arial" w:cs="Arial"/>
          <w:i/>
          <w:sz w:val="20"/>
          <w:szCs w:val="20"/>
          <w:lang w:val="nl-NL"/>
        </w:rPr>
        <w:t xml:space="preserve"> </w:t>
      </w:r>
      <w:r w:rsidRPr="00D73C9F">
        <w:rPr>
          <w:rFonts w:ascii="Arial" w:hAnsi="Arial" w:cs="Arial"/>
          <w:i/>
          <w:sz w:val="20"/>
          <w:szCs w:val="20"/>
        </w:rPr>
        <w:t>Dis · Manibus | Caetenniae · P(ublii) · f(iliae) · Pollittae | vixit · annis · X · et · mensib(us)sexs (sic).</w:t>
      </w:r>
    </w:p>
    <w:p w:rsidR="00D73C9F" w:rsidRPr="00D73C9F" w:rsidRDefault="00D73C9F" w:rsidP="00D73C9F">
      <w:pPr>
        <w:spacing w:line="276" w:lineRule="auto"/>
        <w:rPr>
          <w:rFonts w:ascii="Arial" w:hAnsi="Arial" w:cs="Arial"/>
          <w:sz w:val="20"/>
          <w:szCs w:val="20"/>
        </w:rPr>
      </w:pPr>
    </w:p>
    <w:p w:rsidR="00D73C9F" w:rsidRPr="00D73C9F" w:rsidRDefault="00D73C9F" w:rsidP="00D73C9F">
      <w:pPr>
        <w:spacing w:line="276" w:lineRule="auto"/>
        <w:rPr>
          <w:rFonts w:ascii="Arial" w:hAnsi="Arial" w:cs="Arial"/>
          <w:sz w:val="20"/>
          <w:szCs w:val="20"/>
        </w:rPr>
      </w:pPr>
      <w:r w:rsidRPr="00D73C9F">
        <w:rPr>
          <w:rFonts w:ascii="Arial" w:hAnsi="Arial" w:cs="Arial"/>
          <w:sz w:val="20"/>
          <w:szCs w:val="20"/>
        </w:rPr>
        <w:t>2.</w:t>
      </w:r>
    </w:p>
    <w:p w:rsidR="00D73C9F" w:rsidRPr="00D73C9F" w:rsidRDefault="00D73C9F" w:rsidP="00D73C9F">
      <w:pPr>
        <w:spacing w:line="276" w:lineRule="auto"/>
        <w:rPr>
          <w:rFonts w:ascii="Arial" w:hAnsi="Arial" w:cs="Arial"/>
          <w:sz w:val="20"/>
          <w:szCs w:val="20"/>
          <w:lang w:val="nl-NL" w:eastAsia="nl-NL"/>
        </w:rPr>
      </w:pPr>
      <w:r w:rsidRPr="00D73C9F">
        <w:rPr>
          <w:rFonts w:ascii="Arial" w:hAnsi="Arial" w:cs="Arial"/>
          <w:sz w:val="20"/>
          <w:szCs w:val="20"/>
          <w:lang w:val="nl-NL" w:eastAsia="nl-NL"/>
        </w:rPr>
        <w:t>Het Romeinse meisje Caetennia Pollitta stierf jong. De inscriptie op dit grafaltaar meldt dat ze tien jaar en zes maanden oud werd. Het altaar is een gedenksteen waarop plengoffers werden gebracht door familieleden. Het stond in een ondergrondse tombe. In een medaillonvormige nis staat het portret van het overleden meisje. Aan de bovenkant is het altaar versierd met een kussen. Daar is een uitholling gemaakt waarin men wijn kon schenken als offergave aan de dode. De offerschaal en de schenkkan waarmee dit gebeurde staan in reliëf afgebeeld op de zijkanten van het altaar.</w:t>
      </w:r>
    </w:p>
    <w:p w:rsidR="00D73C9F" w:rsidRPr="00D73C9F" w:rsidRDefault="00D73C9F" w:rsidP="00D73C9F">
      <w:pPr>
        <w:spacing w:line="276" w:lineRule="auto"/>
        <w:rPr>
          <w:rFonts w:ascii="Arial" w:hAnsi="Arial" w:cs="Arial"/>
          <w:sz w:val="20"/>
          <w:szCs w:val="20"/>
          <w:lang w:val="nl-NL" w:eastAsia="nl-NL"/>
        </w:rPr>
      </w:pPr>
    </w:p>
    <w:p w:rsidR="00D73C9F" w:rsidRPr="00D73C9F" w:rsidRDefault="00D73C9F" w:rsidP="00D73C9F">
      <w:pPr>
        <w:spacing w:line="276" w:lineRule="auto"/>
        <w:rPr>
          <w:rFonts w:ascii="Arial" w:hAnsi="Arial" w:cs="Arial"/>
          <w:sz w:val="20"/>
          <w:szCs w:val="20"/>
          <w:lang w:val="nl-NL" w:eastAsia="nl-NL"/>
        </w:rPr>
      </w:pPr>
      <w:r w:rsidRPr="00D73C9F">
        <w:rPr>
          <w:rFonts w:ascii="Arial" w:hAnsi="Arial" w:cs="Arial"/>
          <w:sz w:val="20"/>
          <w:szCs w:val="20"/>
          <w:lang w:val="nl-NL" w:eastAsia="nl-NL"/>
        </w:rPr>
        <w:t>3.</w:t>
      </w:r>
    </w:p>
    <w:p w:rsidR="00D73C9F" w:rsidRPr="00D73C9F" w:rsidRDefault="00D73C9F" w:rsidP="00D73C9F">
      <w:pPr>
        <w:spacing w:line="276" w:lineRule="auto"/>
        <w:rPr>
          <w:rFonts w:ascii="Arial" w:hAnsi="Arial" w:cs="Arial"/>
          <w:sz w:val="20"/>
          <w:szCs w:val="20"/>
          <w:lang w:val="nl-NL"/>
        </w:rPr>
      </w:pPr>
      <w:r w:rsidRPr="00D73C9F">
        <w:rPr>
          <w:rFonts w:ascii="Arial" w:hAnsi="Arial" w:cs="Arial"/>
          <w:sz w:val="20"/>
          <w:szCs w:val="20"/>
          <w:lang w:val="nl-NL" w:eastAsia="nl-NL"/>
        </w:rPr>
        <w:t>De Romeinen kenden bij de geboorte van kinderen een oud gebruik waarbij de vader moest beslissen of de pasgeborene in leven mocht blijven. Wanneer de </w:t>
      </w:r>
      <w:r w:rsidRPr="00D73C9F">
        <w:rPr>
          <w:rFonts w:ascii="Arial" w:hAnsi="Arial" w:cs="Arial"/>
          <w:i/>
          <w:sz w:val="20"/>
          <w:szCs w:val="20"/>
          <w:lang w:val="nl-NL" w:eastAsia="nl-NL"/>
        </w:rPr>
        <w:t>pater familias</w:t>
      </w:r>
      <w:r w:rsidRPr="00D73C9F">
        <w:rPr>
          <w:rFonts w:ascii="Arial" w:hAnsi="Arial" w:cs="Arial"/>
          <w:sz w:val="20"/>
          <w:szCs w:val="20"/>
          <w:lang w:val="nl-NL" w:eastAsia="nl-NL"/>
        </w:rPr>
        <w:t> de baby die voor hem op de grond gelegd was optilde, was het jongetje of meisje officieel opgenomen in het gezin. Hij kon in bepaalde gevallen het kind ook weigeren: het werd dan verstoten en gedood of te vondeling gelegd.</w:t>
      </w:r>
    </w:p>
    <w:p w:rsidR="00D73C9F" w:rsidRPr="00D73C9F" w:rsidRDefault="00D73C9F" w:rsidP="00D73C9F">
      <w:pPr>
        <w:spacing w:line="276" w:lineRule="auto"/>
        <w:rPr>
          <w:rFonts w:ascii="Arial" w:hAnsi="Arial" w:cs="Arial"/>
          <w:sz w:val="20"/>
          <w:szCs w:val="20"/>
          <w:lang w:val="nl-NL"/>
        </w:rPr>
      </w:pPr>
    </w:p>
    <w:p w:rsidR="00D73C9F" w:rsidRPr="00D73C9F" w:rsidRDefault="00D73C9F" w:rsidP="00D73C9F">
      <w:pPr>
        <w:spacing w:line="276" w:lineRule="auto"/>
        <w:rPr>
          <w:rFonts w:ascii="Arial" w:hAnsi="Arial" w:cs="Arial"/>
          <w:sz w:val="20"/>
          <w:szCs w:val="20"/>
          <w:lang w:val="nl-NL"/>
        </w:rPr>
      </w:pPr>
      <w:r w:rsidRPr="00D73C9F">
        <w:rPr>
          <w:rFonts w:ascii="Arial" w:hAnsi="Arial" w:cs="Arial"/>
          <w:sz w:val="20"/>
          <w:szCs w:val="20"/>
          <w:lang w:val="nl-NL"/>
        </w:rPr>
        <w:t>4.</w:t>
      </w:r>
    </w:p>
    <w:p w:rsidR="00D73C9F" w:rsidRPr="00D73C9F" w:rsidRDefault="00D73C9F" w:rsidP="00D73C9F">
      <w:pPr>
        <w:spacing w:line="276" w:lineRule="auto"/>
        <w:rPr>
          <w:rFonts w:ascii="Arial" w:hAnsi="Arial" w:cs="Arial"/>
          <w:sz w:val="20"/>
          <w:szCs w:val="20"/>
          <w:lang w:val="nl-NL" w:eastAsia="nl-NL"/>
        </w:rPr>
      </w:pPr>
      <w:r w:rsidRPr="00D73C9F">
        <w:rPr>
          <w:rFonts w:ascii="Arial" w:hAnsi="Arial" w:cs="Arial"/>
          <w:sz w:val="20"/>
          <w:szCs w:val="20"/>
          <w:lang w:val="nl-NL" w:eastAsia="nl-NL"/>
        </w:rPr>
        <w:t>De kinderen uit de hogere Romeinse kringen – met name de jongens, maar ook wel wat meisjes – kregen een uitgebreid onderwijsprogramma. De </w:t>
      </w:r>
      <w:r w:rsidRPr="00D73C9F">
        <w:rPr>
          <w:rFonts w:ascii="Arial" w:hAnsi="Arial" w:cs="Arial"/>
          <w:i/>
          <w:sz w:val="20"/>
          <w:szCs w:val="20"/>
          <w:lang w:val="nl-NL" w:eastAsia="nl-NL"/>
        </w:rPr>
        <w:t>paidagogos</w:t>
      </w:r>
      <w:r w:rsidRPr="00D73C9F">
        <w:rPr>
          <w:rFonts w:ascii="Arial" w:hAnsi="Arial" w:cs="Arial"/>
          <w:sz w:val="20"/>
          <w:szCs w:val="20"/>
          <w:lang w:val="nl-NL" w:eastAsia="nl-NL"/>
        </w:rPr>
        <w:t>, een speciale slaaf begeleidde de kinderen naar school. Daar kregen ze les in onder andere lezen en schrijven, redenaarskunst en kennis van de Griekse en Romeinse literatuur</w:t>
      </w:r>
      <w:r w:rsidRPr="00D73C9F">
        <w:rPr>
          <w:rFonts w:ascii="Arial" w:hAnsi="Arial" w:cs="Arial"/>
          <w:sz w:val="20"/>
          <w:szCs w:val="20"/>
          <w:lang w:val="nl-NL" w:eastAsia="nl-NL"/>
        </w:rPr>
        <w:t>.</w:t>
      </w:r>
    </w:p>
    <w:p w:rsidR="00D73C9F" w:rsidRPr="00D73C9F" w:rsidRDefault="00D73C9F" w:rsidP="00D73C9F">
      <w:pPr>
        <w:spacing w:line="276" w:lineRule="auto"/>
        <w:rPr>
          <w:rFonts w:ascii="Arial" w:hAnsi="Arial" w:cs="Arial"/>
          <w:sz w:val="20"/>
          <w:szCs w:val="20"/>
          <w:lang w:val="nl-NL" w:eastAsia="nl-NL"/>
        </w:rPr>
      </w:pPr>
    </w:p>
    <w:p w:rsidR="00D73C9F" w:rsidRPr="00D73C9F" w:rsidRDefault="00D73C9F" w:rsidP="00D73C9F">
      <w:pPr>
        <w:spacing w:line="276" w:lineRule="auto"/>
        <w:rPr>
          <w:rFonts w:ascii="Arial" w:hAnsi="Arial" w:cs="Arial"/>
          <w:sz w:val="20"/>
          <w:szCs w:val="20"/>
          <w:lang w:val="nl-NL" w:eastAsia="nl-NL"/>
        </w:rPr>
      </w:pPr>
      <w:r w:rsidRPr="00D73C9F">
        <w:rPr>
          <w:rFonts w:ascii="Arial" w:hAnsi="Arial" w:cs="Arial"/>
          <w:sz w:val="20"/>
          <w:szCs w:val="20"/>
          <w:lang w:val="nl-NL" w:eastAsia="nl-NL"/>
        </w:rPr>
        <w:t>5.</w:t>
      </w:r>
    </w:p>
    <w:p w:rsidR="00D73C9F" w:rsidRPr="00D73C9F" w:rsidRDefault="00D73C9F" w:rsidP="00D73C9F">
      <w:pPr>
        <w:spacing w:line="276" w:lineRule="auto"/>
        <w:rPr>
          <w:rFonts w:ascii="Arial" w:hAnsi="Arial" w:cs="Arial"/>
          <w:sz w:val="20"/>
          <w:szCs w:val="20"/>
          <w:lang w:val="nl-NL"/>
        </w:rPr>
      </w:pPr>
      <w:r w:rsidRPr="00D73C9F">
        <w:rPr>
          <w:rFonts w:ascii="Arial" w:hAnsi="Arial" w:cs="Arial"/>
          <w:sz w:val="20"/>
          <w:szCs w:val="20"/>
          <w:lang w:val="nl-NL"/>
        </w:rPr>
        <w:t>Het is lastig om te bepalen wat de relatie was tussen Ceatennia en degene die dit altaar aan haar heeft gewijd. Dat zouden haar ouders kunnen zijn maar ook een ander familielid. Het is wel duidelijk dat ze een vrijgeboren Romeins meisje was, dat is te zien aan de naam van haar vader; Publius Caetennius.</w:t>
      </w:r>
    </w:p>
    <w:p w:rsidR="00D73C9F" w:rsidRPr="00D73C9F" w:rsidRDefault="00D73C9F" w:rsidP="00D73C9F">
      <w:pPr>
        <w:spacing w:line="276" w:lineRule="auto"/>
        <w:rPr>
          <w:rFonts w:ascii="Arial" w:hAnsi="Arial" w:cs="Arial"/>
          <w:sz w:val="20"/>
          <w:szCs w:val="20"/>
          <w:lang w:val="nl-NL"/>
        </w:rPr>
      </w:pPr>
    </w:p>
    <w:p w:rsidR="00D73C9F" w:rsidRPr="00D73C9F" w:rsidRDefault="00D73C9F" w:rsidP="00D73C9F">
      <w:pPr>
        <w:spacing w:line="276" w:lineRule="auto"/>
        <w:rPr>
          <w:rFonts w:ascii="Arial" w:hAnsi="Arial" w:cs="Arial"/>
          <w:sz w:val="20"/>
          <w:szCs w:val="20"/>
          <w:lang w:val="nl-NL"/>
        </w:rPr>
      </w:pPr>
      <w:r w:rsidRPr="00D73C9F">
        <w:rPr>
          <w:rFonts w:ascii="Arial" w:hAnsi="Arial" w:cs="Arial"/>
          <w:sz w:val="20"/>
          <w:szCs w:val="20"/>
          <w:lang w:val="nl-NL"/>
        </w:rPr>
        <w:t>6.</w:t>
      </w:r>
    </w:p>
    <w:p w:rsidR="00D73C9F" w:rsidRPr="00D73C9F" w:rsidRDefault="00D73C9F" w:rsidP="00D73C9F">
      <w:pPr>
        <w:spacing w:line="276" w:lineRule="auto"/>
        <w:rPr>
          <w:rFonts w:ascii="Arial" w:hAnsi="Arial" w:cs="Arial"/>
          <w:sz w:val="20"/>
          <w:szCs w:val="20"/>
          <w:lang w:val="nl-NL"/>
        </w:rPr>
      </w:pPr>
      <w:r w:rsidRPr="00D73C9F">
        <w:rPr>
          <w:rFonts w:ascii="Arial" w:hAnsi="Arial" w:cs="Arial"/>
          <w:sz w:val="20"/>
          <w:szCs w:val="20"/>
          <w:lang w:val="nl-NL" w:eastAsia="nl-NL"/>
        </w:rPr>
        <w:t>Het grafaltaar van Caetennia Pollitta is gevonden in Rome tijdens de bouw van huizen achter de badgebouwen (thermen) van de Romeinse keizer Caracalla. Andere graven van de familie (gens) van het meisje zijn ontdekt onder de Sint Pieter.</w:t>
      </w:r>
    </w:p>
    <w:p w:rsidR="00D73C9F" w:rsidRDefault="00D73C9F">
      <w:pPr>
        <w:rPr>
          <w:rFonts w:cstheme="minorHAnsi"/>
          <w:sz w:val="20"/>
          <w:szCs w:val="20"/>
          <w:lang w:val="nl-NL"/>
        </w:rPr>
      </w:pPr>
      <w:r>
        <w:rPr>
          <w:rFonts w:cstheme="minorHAnsi"/>
          <w:sz w:val="20"/>
          <w:szCs w:val="20"/>
          <w:lang w:val="nl-NL"/>
        </w:rPr>
        <w:br w:type="page"/>
      </w:r>
    </w:p>
    <w:p w:rsidR="00D73C9F" w:rsidRPr="00D73C9F" w:rsidRDefault="00D73C9F">
      <w:pPr>
        <w:rPr>
          <w:lang w:val="nl-NL"/>
        </w:rPr>
      </w:pPr>
      <w:r w:rsidRPr="00D73C9F">
        <w:rPr>
          <w:b/>
          <w:bCs/>
          <w:lang w:val="nl-NL"/>
        </w:rPr>
        <w:lastRenderedPageBreak/>
        <w:t>Bronnen uit</w:t>
      </w:r>
      <w:r w:rsidRPr="00D73C9F">
        <w:rPr>
          <w:lang w:val="nl-NL"/>
        </w:rPr>
        <w:t>: C. Laes.  Kleine Romeinen. Jonge kinderen in het antieke Rome. Amsterdam University Press, 2006</w:t>
      </w:r>
      <w:r w:rsidRPr="00D73C9F">
        <w:rPr>
          <w:lang w:val="nl-NL"/>
        </w:rPr>
        <w:t>.</w:t>
      </w:r>
    </w:p>
    <w:p w:rsidR="00D73C9F" w:rsidRDefault="00D73C9F">
      <w:pPr>
        <w:rPr>
          <w:lang w:val="nl-NL"/>
        </w:rPr>
      </w:pPr>
      <w:r>
        <w:rPr>
          <w:lang w:val="nl-NL"/>
        </w:rPr>
        <w:t>1.</w:t>
      </w:r>
    </w:p>
    <w:p w:rsidR="00D73C9F" w:rsidRDefault="00D73C9F">
      <w:pPr>
        <w:rPr>
          <w:lang w:val="nl-NL"/>
        </w:rPr>
      </w:pPr>
      <w:r>
        <w:rPr>
          <w:lang w:val="nl-NL"/>
        </w:rPr>
        <w:t>Zo bijvoorbeeld de ouders van de kleine Gratus in Rome:</w:t>
      </w:r>
    </w:p>
    <w:p w:rsidR="00D73C9F" w:rsidRDefault="00D73C9F">
      <w:pPr>
        <w:rPr>
          <w:lang w:val="nl-NL"/>
        </w:rPr>
      </w:pPr>
      <w:r>
        <w:rPr>
          <w:lang w:val="nl-NL"/>
        </w:rPr>
        <w:t>‘Zachte aarde, ontvang in uw schoot de beenderen van de veel te vroeg gestorven Gratus. Ze zijn conform de wet begraven, dus koester ze. De godinnen van het Lot hebben hem nog geen vier omwentelingen van Phoebus (de zon) geschonken. Zijn ouders treuren nu om hem, nu hij hun is ontroofd. Wat had hij eraan dat hij guitig was en lief en dat hij daarmee ieders hart stal? Mocht onze lieverd daarom een dag langer leven? O hoe gruwelijk is de roof van de grimmige Dis!’</w:t>
      </w:r>
    </w:p>
    <w:p w:rsidR="00D73C9F" w:rsidRDefault="00D73C9F">
      <w:pPr>
        <w:rPr>
          <w:lang w:val="nl-NL"/>
        </w:rPr>
      </w:pPr>
      <w:r>
        <w:rPr>
          <w:lang w:val="nl-NL"/>
        </w:rPr>
        <w:t>2.</w:t>
      </w:r>
    </w:p>
    <w:p w:rsidR="00D73C9F" w:rsidRDefault="00D73C9F">
      <w:pPr>
        <w:rPr>
          <w:lang w:val="nl-NL"/>
        </w:rPr>
      </w:pPr>
      <w:r>
        <w:rPr>
          <w:lang w:val="nl-NL"/>
        </w:rPr>
        <w:t>Immers, zoals Cicero het formuleert:</w:t>
      </w:r>
    </w:p>
    <w:p w:rsidR="00D73C9F" w:rsidRDefault="00D73C9F">
      <w:pPr>
        <w:rPr>
          <w:lang w:val="nl-NL"/>
        </w:rPr>
      </w:pPr>
      <w:r>
        <w:rPr>
          <w:lang w:val="nl-NL"/>
        </w:rPr>
        <w:t>‘Een wettig kind belichaamt de hoop van zijn ouders en van de maatschappij: hij is de voortzetter van de naam, de stamhouder van het geslacht, de erfgenaam van de familie en een nieuwe burger voor het vaderland.’</w:t>
      </w:r>
    </w:p>
    <w:p w:rsidR="00D73C9F" w:rsidRDefault="00D73C9F">
      <w:pPr>
        <w:rPr>
          <w:lang w:val="nl-NL"/>
        </w:rPr>
      </w:pPr>
      <w:r>
        <w:rPr>
          <w:lang w:val="nl-NL"/>
        </w:rPr>
        <w:t>3.</w:t>
      </w:r>
    </w:p>
    <w:p w:rsidR="00D73C9F" w:rsidRDefault="00643D6F">
      <w:pPr>
        <w:rPr>
          <w:lang w:val="nl-NL"/>
        </w:rPr>
      </w:pPr>
      <w:r>
        <w:rPr>
          <w:lang w:val="nl-NL"/>
        </w:rPr>
        <w:t>‘Varro heeft het geheel van de levensfasen aldus ingedeeld: de jonge kindertijd (</w:t>
      </w:r>
      <w:r>
        <w:rPr>
          <w:i/>
          <w:lang w:val="nl-NL"/>
        </w:rPr>
        <w:t>infantia</w:t>
      </w:r>
      <w:r>
        <w:rPr>
          <w:lang w:val="nl-NL"/>
        </w:rPr>
        <w:t>), de eigenlijke kindertijd (</w:t>
      </w:r>
      <w:r>
        <w:rPr>
          <w:i/>
          <w:lang w:val="nl-NL"/>
        </w:rPr>
        <w:t>pueritia</w:t>
      </w:r>
      <w:r>
        <w:rPr>
          <w:lang w:val="nl-NL"/>
        </w:rPr>
        <w:t>), de adolescentie (</w:t>
      </w:r>
      <w:r>
        <w:rPr>
          <w:i/>
          <w:lang w:val="nl-NL"/>
        </w:rPr>
        <w:t>adulescentia</w:t>
      </w:r>
      <w:r>
        <w:rPr>
          <w:lang w:val="nl-NL"/>
        </w:rPr>
        <w:t>), de volwassenheid (</w:t>
      </w:r>
      <w:r>
        <w:rPr>
          <w:i/>
          <w:lang w:val="nl-NL"/>
        </w:rPr>
        <w:t>iuventa</w:t>
      </w:r>
      <w:r>
        <w:rPr>
          <w:lang w:val="nl-NL"/>
        </w:rPr>
        <w:t>), de ouderdom (</w:t>
      </w:r>
      <w:r>
        <w:rPr>
          <w:i/>
          <w:lang w:val="nl-NL"/>
        </w:rPr>
        <w:t>senecta</w:t>
      </w:r>
      <w:r>
        <w:rPr>
          <w:lang w:val="nl-NL"/>
        </w:rPr>
        <w:t>).’</w:t>
      </w:r>
    </w:p>
    <w:p w:rsidR="00643D6F" w:rsidRDefault="00643D6F">
      <w:pPr>
        <w:rPr>
          <w:lang w:val="nl-NL"/>
        </w:rPr>
      </w:pPr>
      <w:r>
        <w:rPr>
          <w:lang w:val="nl-NL"/>
        </w:rPr>
        <w:t xml:space="preserve">Toch is het hoogst onzeker of we op grond hiervan mogen concluderen dat pas in de eerste eeuw v.C. de jonge kindertijd als een aparte levensfase werd gezien, zoals geleerden wel hebben beweerd. Varro’s inleiding lijkt eerder gebaseerd op getallensymboliek dan op een nieuw inzicht in de ontwikkelingsfasen van de psyche van het kind. Hij kende namelijk ook een vijfdeling waarbij niet de kindertijd maar de ouderdom was gesplitst in twee fasen. Pas later, in de eerste eeuw n.C., raakte de speciale term voor de jonge kindertijd, </w:t>
      </w:r>
      <w:r>
        <w:rPr>
          <w:i/>
          <w:lang w:val="nl-NL"/>
        </w:rPr>
        <w:t>infantia</w:t>
      </w:r>
      <w:r>
        <w:rPr>
          <w:lang w:val="nl-NL"/>
        </w:rPr>
        <w:t>, algemeen ingeburgerd.</w:t>
      </w:r>
    </w:p>
    <w:p w:rsidR="00643D6F" w:rsidRDefault="00643D6F">
      <w:pPr>
        <w:rPr>
          <w:lang w:val="nl-NL"/>
        </w:rPr>
      </w:pPr>
      <w:r>
        <w:rPr>
          <w:lang w:val="nl-NL"/>
        </w:rPr>
        <w:t>4.</w:t>
      </w:r>
    </w:p>
    <w:p w:rsidR="00643D6F" w:rsidRDefault="00F105D8">
      <w:pPr>
        <w:rPr>
          <w:lang w:val="nl-NL"/>
        </w:rPr>
      </w:pPr>
      <w:r>
        <w:rPr>
          <w:lang w:val="nl-NL"/>
        </w:rPr>
        <w:t>Elke periode van een mensenleven had zijn eigen kenmerken. Daarover was iedereen in de oudheid het wel eens. Cicero, bijvoorbeeld, schreef in zijn boek over de ouderdom:</w:t>
      </w:r>
    </w:p>
    <w:p w:rsidR="00F105D8" w:rsidRDefault="00F105D8">
      <w:pPr>
        <w:rPr>
          <w:lang w:val="nl-NL"/>
        </w:rPr>
      </w:pPr>
      <w:r>
        <w:rPr>
          <w:lang w:val="nl-NL"/>
        </w:rPr>
        <w:t xml:space="preserve">‘Het menselijk leven verloopt volgens een vast patroon. De natuur gaat slechts langs één enkel pad en dat loopt men maar éénmaal. Elke fase van het leven bezit zijn eigen karakter, zodat de </w:t>
      </w:r>
      <w:r>
        <w:rPr>
          <w:i/>
          <w:lang w:val="nl-NL"/>
        </w:rPr>
        <w:t>infirmitas</w:t>
      </w:r>
      <w:r>
        <w:rPr>
          <w:lang w:val="nl-NL"/>
        </w:rPr>
        <w:t xml:space="preserve"> (zwakheid) van de kinderen en de </w:t>
      </w:r>
      <w:r>
        <w:rPr>
          <w:i/>
          <w:lang w:val="nl-NL"/>
        </w:rPr>
        <w:t>ferocitas</w:t>
      </w:r>
      <w:r>
        <w:rPr>
          <w:lang w:val="nl-NL"/>
        </w:rPr>
        <w:t xml:space="preserve"> (onstuimigheid) van de jongeren de </w:t>
      </w:r>
      <w:r>
        <w:rPr>
          <w:i/>
          <w:lang w:val="nl-NL"/>
        </w:rPr>
        <w:t>gravitas</w:t>
      </w:r>
      <w:r>
        <w:rPr>
          <w:lang w:val="nl-NL"/>
        </w:rPr>
        <w:t xml:space="preserve"> (ernst) van de volwassenen en de </w:t>
      </w:r>
      <w:r>
        <w:rPr>
          <w:i/>
          <w:lang w:val="nl-NL"/>
        </w:rPr>
        <w:t>maturitas</w:t>
      </w:r>
      <w:r>
        <w:rPr>
          <w:lang w:val="nl-NL"/>
        </w:rPr>
        <w:t xml:space="preserve"> (rijpheid) van de ouderen alle natuurlijk zijn. Men moet zich daaraan overgeven op de juiste tijd.’</w:t>
      </w:r>
    </w:p>
    <w:p w:rsidR="00F105D8" w:rsidRDefault="00F105D8">
      <w:pPr>
        <w:rPr>
          <w:lang w:val="nl-NL"/>
        </w:rPr>
      </w:pPr>
      <w:r>
        <w:rPr>
          <w:lang w:val="nl-NL"/>
        </w:rPr>
        <w:t>5.</w:t>
      </w:r>
    </w:p>
    <w:p w:rsidR="00F105D8" w:rsidRDefault="00017F58">
      <w:pPr>
        <w:rPr>
          <w:lang w:val="nl-NL"/>
        </w:rPr>
      </w:pPr>
      <w:r>
        <w:rPr>
          <w:lang w:val="nl-NL"/>
        </w:rPr>
        <w:t>Zo schreef de filosoof Seneca aan een vriend dat hij niet zo excessief moet rouwen om de dood van zijn zoontje en gaat dan voort:</w:t>
      </w:r>
    </w:p>
    <w:p w:rsidR="00017F58" w:rsidRPr="00F105D8" w:rsidRDefault="00017F58">
      <w:pPr>
        <w:rPr>
          <w:lang w:val="nl-NL"/>
        </w:rPr>
      </w:pPr>
      <w:r>
        <w:rPr>
          <w:lang w:val="nl-NL"/>
        </w:rPr>
        <w:lastRenderedPageBreak/>
        <w:t>‘Raad ik je aan om hard te zijn? Om bij de begrafenis een onbewogen gezicht te zetten? Wil ik niet dat je hart ineenkrimpt van verdriet? Absoluut niet! Dat zou onmenselijk zijn en met deugd niets te maken hebben (…) Sommige gevoelens bezitten hun eigen rechten. Tranen vloeien, hoezeer we ook proberen ze tegen te houden, en doordat ze vloeien verlichten ze ons hart. Dus wat doen we? We laten ze vloeien. En ik verzeker je dat we de natuur kunnen volgen en tegelijk onze waardigheid kunnen behouden. Want er zijn regels, zelfs in de rouw, en een wijs man neemt ze in acht. Ook tranen, zoals alles, kennen hun maat. Onmatig in verdriet en vreugde is alleen de dwaas.’</w:t>
      </w:r>
      <w:bookmarkStart w:id="0" w:name="_GoBack"/>
      <w:bookmarkEnd w:id="0"/>
    </w:p>
    <w:sectPr w:rsidR="00017F58" w:rsidRPr="00F10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C9F"/>
    <w:rsid w:val="00017F58"/>
    <w:rsid w:val="0045289F"/>
    <w:rsid w:val="00643D6F"/>
    <w:rsid w:val="00D73C9F"/>
    <w:rsid w:val="00F1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8403"/>
  <w15:chartTrackingRefBased/>
  <w15:docId w15:val="{C0CED297-425B-4F54-AAA9-1EDB11C2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09407">
      <w:bodyDiv w:val="1"/>
      <w:marLeft w:val="0"/>
      <w:marRight w:val="0"/>
      <w:marTop w:val="0"/>
      <w:marBottom w:val="0"/>
      <w:divBdr>
        <w:top w:val="none" w:sz="0" w:space="0" w:color="auto"/>
        <w:left w:val="none" w:sz="0" w:space="0" w:color="auto"/>
        <w:bottom w:val="none" w:sz="0" w:space="0" w:color="auto"/>
        <w:right w:val="none" w:sz="0" w:space="0" w:color="auto"/>
      </w:divBdr>
    </w:div>
    <w:div w:id="209657865">
      <w:bodyDiv w:val="1"/>
      <w:marLeft w:val="0"/>
      <w:marRight w:val="0"/>
      <w:marTop w:val="0"/>
      <w:marBottom w:val="0"/>
      <w:divBdr>
        <w:top w:val="none" w:sz="0" w:space="0" w:color="auto"/>
        <w:left w:val="none" w:sz="0" w:space="0" w:color="auto"/>
        <w:bottom w:val="none" w:sz="0" w:space="0" w:color="auto"/>
        <w:right w:val="none" w:sz="0" w:space="0" w:color="auto"/>
      </w:divBdr>
    </w:div>
    <w:div w:id="490604989">
      <w:bodyDiv w:val="1"/>
      <w:marLeft w:val="0"/>
      <w:marRight w:val="0"/>
      <w:marTop w:val="0"/>
      <w:marBottom w:val="0"/>
      <w:divBdr>
        <w:top w:val="none" w:sz="0" w:space="0" w:color="auto"/>
        <w:left w:val="none" w:sz="0" w:space="0" w:color="auto"/>
        <w:bottom w:val="none" w:sz="0" w:space="0" w:color="auto"/>
        <w:right w:val="none" w:sz="0" w:space="0" w:color="auto"/>
      </w:divBdr>
    </w:div>
    <w:div w:id="779105928">
      <w:bodyDiv w:val="1"/>
      <w:marLeft w:val="0"/>
      <w:marRight w:val="0"/>
      <w:marTop w:val="0"/>
      <w:marBottom w:val="0"/>
      <w:divBdr>
        <w:top w:val="none" w:sz="0" w:space="0" w:color="auto"/>
        <w:left w:val="none" w:sz="0" w:space="0" w:color="auto"/>
        <w:bottom w:val="none" w:sz="0" w:space="0" w:color="auto"/>
        <w:right w:val="none" w:sz="0" w:space="0" w:color="auto"/>
      </w:divBdr>
    </w:div>
    <w:div w:id="20139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781</Words>
  <Characters>4454</Characters>
  <Application>Microsoft Office Word</Application>
  <DocSecurity>0</DocSecurity>
  <Lines>37</Lines>
  <Paragraphs>10</Paragraphs>
  <ScaleCrop>false</ScaleCrop>
  <Company>Rijksmuseum van Oudheden</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Epping</dc:creator>
  <cp:keywords/>
  <dc:description/>
  <cp:lastModifiedBy>Timo Epping</cp:lastModifiedBy>
  <cp:revision>4</cp:revision>
  <dcterms:created xsi:type="dcterms:W3CDTF">2020-12-10T15:02:00Z</dcterms:created>
  <dcterms:modified xsi:type="dcterms:W3CDTF">2020-12-10T15:17:00Z</dcterms:modified>
</cp:coreProperties>
</file>