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399" w:rsidRPr="0003664A" w14:paraId="23EB6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86C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74602F0" w14:textId="77777777" w:rsidR="005B4399" w:rsidRPr="0003664A" w:rsidRDefault="005B4399">
            <w:pPr>
              <w:rPr>
                <w:lang w:val="en-US"/>
              </w:rPr>
            </w:pPr>
          </w:p>
        </w:tc>
      </w:tr>
    </w:tbl>
    <w:p w14:paraId="198FD347" w14:textId="77777777" w:rsidR="005B4399" w:rsidRPr="0003664A" w:rsidRDefault="005B4399">
      <w:pPr>
        <w:spacing w:after="2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399" w:rsidRPr="0003664A" w14:paraId="274D8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030"/>
            <w:tcMar>
              <w:top w:w="260" w:type="dxa"/>
              <w:left w:w="500" w:type="dxa"/>
              <w:bottom w:w="260" w:type="dxa"/>
              <w:right w:w="500" w:type="dxa"/>
            </w:tcMar>
          </w:tcPr>
          <w:p w14:paraId="3DA8FA13" w14:textId="77777777" w:rsidR="005B4399" w:rsidRPr="0003664A" w:rsidRDefault="00000000">
            <w:pPr>
              <w:spacing w:after="80"/>
              <w:jc w:val="center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FFFFFF"/>
                <w:sz w:val="42"/>
                <w:szCs w:val="42"/>
                <w:lang w:val="en-US"/>
              </w:rPr>
              <w:t>MARS MISSION RISK ASSESSMENT</w:t>
            </w:r>
          </w:p>
          <w:p w14:paraId="168E75FC" w14:textId="77777777" w:rsidR="005B4399" w:rsidRPr="0003664A" w:rsidRDefault="00000000">
            <w:pPr>
              <w:spacing w:after="20"/>
              <w:jc w:val="center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i/>
                <w:iCs/>
                <w:color w:val="C8A86C"/>
                <w:sz w:val="24"/>
                <w:szCs w:val="24"/>
                <w:lang w:val="en-US"/>
              </w:rPr>
              <w:t>Corrected Probabilistic Framework — v9.3</w:t>
            </w:r>
          </w:p>
          <w:p w14:paraId="7250F82B" w14:textId="77777777" w:rsidR="005B4399" w:rsidRPr="0003664A" w:rsidRDefault="00000000">
            <w:pPr>
              <w:jc w:val="center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i/>
                <w:iCs/>
                <w:color w:val="C8D8F0"/>
                <w:sz w:val="18"/>
                <w:szCs w:val="18"/>
                <w:lang w:val="en-US"/>
              </w:rPr>
              <w:t>Independent Exploratory PRA for External Technical Discussion</w:t>
            </w:r>
          </w:p>
        </w:tc>
      </w:tr>
    </w:tbl>
    <w:p w14:paraId="658A8B5D" w14:textId="77777777" w:rsidR="005B4399" w:rsidRPr="0003664A" w:rsidRDefault="005B4399">
      <w:pPr>
        <w:spacing w:after="320"/>
        <w:rPr>
          <w:lang w:val="en-US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360"/>
      </w:tblGrid>
      <w:tr w:rsidR="005B4399" w:rsidRPr="0003664A" w14:paraId="535680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642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AUTHORS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E456" w14:textId="49E92415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Quantix Analytics Consulting</w:t>
            </w:r>
          </w:p>
        </w:tc>
      </w:tr>
      <w:tr w:rsidR="005B4399" w:rsidRPr="0003664A" w14:paraId="490B9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A12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B9B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v9.3 — May 2026 (Supersedes v1.0–v9.2)</w:t>
            </w:r>
          </w:p>
        </w:tc>
      </w:tr>
      <w:tr w:rsidR="005B4399" w:rsidRPr="0003664A" w14:paraId="09FDE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988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694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Independent Technical Memorandum — Not peer-reviewed</w:t>
            </w:r>
          </w:p>
        </w:tc>
      </w:tr>
      <w:tr w:rsidR="00BD0086" w:rsidRPr="0003664A" w14:paraId="0FEC1042" w14:textId="77777777" w:rsidTr="00BD00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42C4" w14:textId="6177CF38" w:rsidR="00BD0086" w:rsidRPr="0003664A" w:rsidRDefault="00BD0086">
            <w:pPr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GIT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28DA" w14:textId="5CC93D73" w:rsidR="00BD0086" w:rsidRPr="00BD0086" w:rsidRDefault="00BD0086">
            <w:pPr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</w:pPr>
            <w:r w:rsidRPr="00BD0086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https://github.com/pjauslin/mars-pra</w:t>
            </w:r>
          </w:p>
        </w:tc>
      </w:tr>
      <w:tr w:rsidR="005B4399" w:rsidRPr="0003664A" w14:paraId="7C718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933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METHOD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F72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Monte Carlo PRA (N=</w:t>
            </w:r>
            <w:proofErr w:type="gram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100,000) ·</w:t>
            </w:r>
            <w:proofErr w:type="gram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Beta/</w:t>
            </w: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LogNormal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Priors · Gaussian Copula · Copula Sensitivity vs. t-copula</w:t>
            </w:r>
          </w:p>
        </w:tc>
      </w:tr>
      <w:tr w:rsidR="005B4399" w:rsidRPr="0003664A" w14:paraId="21D35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762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DISCLAIMER</w:t>
            </w:r>
          </w:p>
        </w:tc>
        <w:tc>
          <w:tcPr>
            <w:tcW w:w="7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EB6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Prior distributions are expert-elicitation estimates, not empirically calibrated against Mars-class operational records.</w:t>
            </w:r>
          </w:p>
        </w:tc>
      </w:tr>
    </w:tbl>
    <w:p w14:paraId="42C8BB0E" w14:textId="77777777" w:rsidR="005B4399" w:rsidRPr="0003664A" w:rsidRDefault="005B4399">
      <w:pPr>
        <w:spacing w:after="2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399" w:rsidRPr="0003664A" w14:paraId="4BF80C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86C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29BCD304" w14:textId="77777777" w:rsidR="005B4399" w:rsidRPr="0003664A" w:rsidRDefault="005B4399">
            <w:pPr>
              <w:rPr>
                <w:lang w:val="en-US"/>
              </w:rPr>
            </w:pPr>
          </w:p>
        </w:tc>
      </w:tr>
    </w:tbl>
    <w:p w14:paraId="060498B8" w14:textId="77777777" w:rsidR="005B4399" w:rsidRPr="0003664A" w:rsidRDefault="00000000">
      <w:pPr>
        <w:pageBreakBefore/>
        <w:rPr>
          <w:lang w:val="en-US"/>
        </w:rPr>
      </w:pPr>
      <w:r w:rsidRPr="0003664A">
        <w:rPr>
          <w:lang w:val="en-US"/>
        </w:rPr>
        <w:lastRenderedPageBreak/>
        <w:br/>
      </w:r>
    </w:p>
    <w:p w14:paraId="796374E0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EXECUTIVE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B4399" w:rsidRPr="0003664A" w14:paraId="2BBB27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C2030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D0DAEA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7787B1C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9"/>
                <w:szCs w:val="19"/>
                <w:lang w:val="en-US"/>
              </w:rPr>
              <w:t>FRAMING AND LIMITATIONS</w:t>
            </w:r>
          </w:p>
        </w:tc>
      </w:tr>
      <w:tr w:rsidR="005B4399" w:rsidRPr="0003664A" w14:paraId="227A4D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5D549BA" w14:textId="18A5A53D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This memorandum is an independent </w:t>
            </w:r>
            <w:r w:rsidR="0003664A"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exploration</w:t>
            </w: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 PRA framework intended for external technical discussion, not engineering certification.</w:t>
            </w:r>
          </w:p>
        </w:tc>
      </w:tr>
      <w:tr w:rsidR="005B4399" w:rsidRPr="0003664A" w14:paraId="44DCBA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8E99A99" w14:textId="093C547D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Prior distributions are </w:t>
            </w:r>
            <w:r w:rsidR="0003664A"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parameterized</w:t>
            </w: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 from publicly available analogue data and expert elicitation. No Mars-class operational records exist.</w:t>
            </w:r>
          </w:p>
        </w:tc>
      </w:tr>
      <w:tr w:rsidR="005B4399" w:rsidRPr="0003664A" w14:paraId="5B618E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62FE9330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Results are structured plausibility estimates. Precision beyond ±5 percentage points is not warranted by the underlying data.</w:t>
            </w:r>
          </w:p>
        </w:tc>
      </w:tr>
      <w:tr w:rsidR="005B4399" w:rsidRPr="0003664A" w14:paraId="35D3CE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single" w:sz="2" w:space="0" w:color="1C2030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89FCEF8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The framework identifies likely investment priorities implied by the risk-weight structure, not definitive design prescriptions.</w:t>
            </w:r>
          </w:p>
        </w:tc>
      </w:tr>
    </w:tbl>
    <w:p w14:paraId="19AA6B07" w14:textId="77777777" w:rsidR="005B4399" w:rsidRPr="0003664A" w:rsidRDefault="005B4399">
      <w:pPr>
        <w:spacing w:after="120"/>
        <w:rPr>
          <w:lang w:val="en-US"/>
        </w:rPr>
      </w:pPr>
    </w:p>
    <w:p w14:paraId="39D8A709" w14:textId="77777777" w:rsidR="005B4399" w:rsidRPr="0003664A" w:rsidRDefault="00000000">
      <w:pPr>
        <w:spacing w:before="280" w:after="8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Core Finding: The Scale Error</w:t>
      </w:r>
    </w:p>
    <w:p w14:paraId="478CE6A6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Published Mars collision risk figures (0.01–0.1%) are derived from robotic probes with cross-sections of 5–100 m². Starship’s effective collision area is approximately 2,600 m². Without explicit scale correction, published figures may understate crewed vessel exposure by up to 130×.</w:t>
      </w:r>
    </w:p>
    <w:p w14:paraId="03795B1B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69EC07C0" wp14:editId="7F6D2F12">
            <wp:extent cx="6076950" cy="30384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823" cy="30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C464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Figure 1 — Cross-section and cumulative exposure. A 500-person Starship mission carries approximately 38.8× the cumulative collision exposure of all prior Mars robotic missions combined.</w:t>
      </w:r>
    </w:p>
    <w:p w14:paraId="22832944" w14:textId="77777777" w:rsidR="005B4399" w:rsidRPr="0003664A" w:rsidRDefault="005B4399">
      <w:pPr>
        <w:spacing w:after="80"/>
        <w:rPr>
          <w:lang w:val="en-US"/>
        </w:rPr>
      </w:pPr>
    </w:p>
    <w:p w14:paraId="1CD2CFA0" w14:textId="77777777" w:rsidR="005B4399" w:rsidRPr="0003664A" w:rsidRDefault="00000000">
      <w:pPr>
        <w:spacing w:before="280" w:after="8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Monte Carlo Summary (Scenario A)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900"/>
        <w:gridCol w:w="1400"/>
        <w:gridCol w:w="900"/>
        <w:gridCol w:w="900"/>
        <w:gridCol w:w="860"/>
      </w:tblGrid>
      <w:tr w:rsidR="005B4399" w:rsidRPr="0003664A" w14:paraId="1A8D4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F042" w14:textId="77777777" w:rsidR="005B4399" w:rsidRPr="0003664A" w:rsidRDefault="005B4399">
            <w:pPr>
              <w:rPr>
                <w:lang w:val="en-US"/>
              </w:rPr>
            </w:pP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0A9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p5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0AF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p25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68F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p50 (median)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768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p75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9B0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p95</w:t>
            </w:r>
          </w:p>
        </w:tc>
        <w:tc>
          <w:tcPr>
            <w:tcW w:w="8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F79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Mean</w:t>
            </w:r>
          </w:p>
        </w:tc>
      </w:tr>
      <w:tr w:rsidR="005B4399" w:rsidRPr="0003664A" w14:paraId="1236E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911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Scenario A (conservative-optimistic)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3F1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8.8%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AC2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10.9%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0B1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76E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14.4%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898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8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0BC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12.7%</w:t>
            </w:r>
          </w:p>
        </w:tc>
      </w:tr>
      <w:tr w:rsidR="005B4399" w:rsidRPr="0003664A" w14:paraId="6538B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F48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Scenario B (conservative-pessimistic)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B40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22.7%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69F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25.4%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B2F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27.2%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B60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29.1%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139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31.9%</w:t>
            </w:r>
          </w:p>
        </w:tc>
        <w:tc>
          <w:tcPr>
            <w:tcW w:w="8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A11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27.3%</w:t>
            </w:r>
          </w:p>
        </w:tc>
      </w:tr>
      <w:tr w:rsidR="005B4399" w:rsidRPr="0003664A" w14:paraId="6BF40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BF5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Crew Dragon design standard (~0.37%)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781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1F5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43F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~0.37%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422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DF4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8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7BB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~0.37%</w:t>
            </w:r>
          </w:p>
        </w:tc>
      </w:tr>
    </w:tbl>
    <w:p w14:paraId="73927C35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0BC33DC3" w14:textId="25C0E15D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1 — Monte Carlo LOC percentiles (N=100,000, Gaussian copula ρ=0.30 for Eng–ECLSS). Scenario A median is approximately 34× above the Crew Dragon 1-in-270 standard. Copula sensitivity analysis (Section 5, Appendix B) shows p50 is robust to ρ in [0.0, 0.5].</w:t>
      </w:r>
    </w:p>
    <w:p w14:paraId="5C25062E" w14:textId="77777777" w:rsidR="005B4399" w:rsidRPr="0003664A" w:rsidRDefault="005B4399">
      <w:pPr>
        <w:spacing w:after="80"/>
        <w:rPr>
          <w:lang w:val="en-US"/>
        </w:rPr>
      </w:pPr>
    </w:p>
    <w:p w14:paraId="136AF039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5149501D" wp14:editId="41AB7A37">
            <wp:extent cx="6115050" cy="3057525"/>
            <wp:effectExtent l="0" t="0" r="0" b="9525"/>
            <wp:docPr id="1053171346" name="Grafik 105317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708" cy="30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8890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Figure 2 — Full Monte Carlo LOC distributions. Dotted lines = p5/p95. Dashed red = Crew Dragon standard. Both scenarios lie substantially above the 0.37% reference across the full prior uncertainty range.</w:t>
      </w:r>
    </w:p>
    <w:p w14:paraId="5F19A539" w14:textId="77777777" w:rsidR="005B4399" w:rsidRPr="0003664A" w:rsidRDefault="005B4399">
      <w:pPr>
        <w:spacing w:after="120"/>
        <w:rPr>
          <w:lang w:val="en-US"/>
        </w:rPr>
      </w:pPr>
    </w:p>
    <w:p w14:paraId="75E45C49" w14:textId="77777777" w:rsidR="005B4399" w:rsidRPr="0003664A" w:rsidRDefault="00000000">
      <w:pPr>
        <w:spacing w:before="280" w:after="8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Variance Decomposition</w:t>
      </w:r>
    </w:p>
    <w:p w14:paraId="54B561E4" w14:textId="3CAA3069" w:rsidR="005B4399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Squared Spearman rank correlation (approximating first-order Sobol sensitivity indices) identifies engineering reliability (~33%) and solar/radiation exposure (~29%) as dominant LOC variance drivers. ECLSS contributes ~21%. Debris contributes ~10%, driven by the heavy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tail rather than a </w:t>
      </w:r>
      <w:r w:rsidR="0003664A" w:rsidRPr="0003664A">
        <w:rPr>
          <w:rFonts w:ascii="Arial" w:eastAsia="Arial" w:hAnsi="Arial" w:cs="Arial"/>
          <w:color w:val="111111"/>
          <w:lang w:val="en-US"/>
        </w:rPr>
        <w:t>large, expected</w:t>
      </w:r>
      <w:r w:rsidRPr="0003664A">
        <w:rPr>
          <w:rFonts w:ascii="Arial" w:eastAsia="Arial" w:hAnsi="Arial" w:cs="Arial"/>
          <w:color w:val="111111"/>
          <w:lang w:val="en-US"/>
        </w:rPr>
        <w:t xml:space="preserve"> value.</w:t>
      </w:r>
    </w:p>
    <w:p w14:paraId="4B6BD314" w14:textId="77777777" w:rsidR="0003664A" w:rsidRPr="0003664A" w:rsidRDefault="0003664A">
      <w:pPr>
        <w:spacing w:before="60" w:after="60" w:line="288" w:lineRule="auto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B4399" w:rsidRPr="0003664A" w14:paraId="41B079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C2030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D0DAEA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4D794DF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9"/>
                <w:szCs w:val="19"/>
                <w:lang w:val="en-US"/>
              </w:rPr>
              <w:t>INDICATIVE INVESTMENT PRIORITY ORDER</w:t>
            </w:r>
          </w:p>
        </w:tc>
      </w:tr>
      <w:tr w:rsidR="005B4399" w:rsidRPr="0003664A" w14:paraId="55AD7D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2A353135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#1 — ECLSS closed-loop maturation: no validated 270-day deep-space closed-loop operational record exists.</w:t>
            </w:r>
          </w:p>
        </w:tc>
      </w:tr>
      <w:tr w:rsidR="005B4399" w:rsidRPr="0003664A" w14:paraId="119430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7BA8B0D1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#2 — Engineering reliability heritage: Starship has no deep-space flight heritage.</w:t>
            </w:r>
          </w:p>
        </w:tc>
      </w:tr>
      <w:tr w:rsidR="005B4399" w:rsidRPr="0003664A" w14:paraId="6EB6DC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7D277B6C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#3 — Solar shielding + mission timing to solar minimum (zero-cost lever, ~40% SEP exposure reduction).</w:t>
            </w:r>
          </w:p>
        </w:tc>
      </w:tr>
      <w:tr w:rsidR="005B4399" w:rsidRPr="0003664A" w14:paraId="26574B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783863BD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#4 — Pathfinder debris missions: constraint of the 4–10 cm </w:t>
            </w:r>
            <w:proofErr w:type="spell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LogNormal</w:t>
            </w:r>
            <w:proofErr w:type="spell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 tail + gradient model validation.</w:t>
            </w:r>
          </w:p>
        </w:tc>
      </w:tr>
      <w:tr w:rsidR="005B4399" w:rsidRPr="0003664A" w14:paraId="6C4BDA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single" w:sz="2" w:space="0" w:color="1C2030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7DF2F271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This ordering is robust across copula family (Gaussian vs. t), correlation magnitude (ρ = 0.0–0.5), and scenario (A vs. B).</w:t>
            </w:r>
          </w:p>
        </w:tc>
      </w:tr>
    </w:tbl>
    <w:p w14:paraId="34FA0303" w14:textId="77777777" w:rsidR="005B4399" w:rsidRPr="0003664A" w:rsidRDefault="00000000">
      <w:pPr>
        <w:pageBreakBefore/>
        <w:rPr>
          <w:lang w:val="en-US"/>
        </w:rPr>
      </w:pPr>
      <w:r w:rsidRPr="0003664A">
        <w:rPr>
          <w:lang w:val="en-US"/>
        </w:rPr>
        <w:lastRenderedPageBreak/>
        <w:br/>
      </w:r>
    </w:p>
    <w:p w14:paraId="76526A85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1  SCALE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-EXTRAPOLATION PROBLEM</w:t>
      </w:r>
    </w:p>
    <w:p w14:paraId="52CD67C0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1.1  Background</w:t>
      </w:r>
      <w:proofErr w:type="gramEnd"/>
    </w:p>
    <w:p w14:paraId="2D121F45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Published collision risk assessments for crewed Mars missions cite probabilities of 0.01–0.1% [nasa2023debris], derived from robotic probes on 6–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9 month</w:t>
      </w:r>
      <w:proofErr w:type="gramEnd"/>
      <w:r w:rsidRPr="0003664A">
        <w:rPr>
          <w:rFonts w:ascii="Arial" w:eastAsia="Arial" w:hAnsi="Arial" w:cs="Arial"/>
          <w:color w:val="111111"/>
          <w:lang w:val="en-US"/>
        </w:rPr>
        <w:t xml:space="preserve"> transits. These figures may be applied to crewed missions without explicit cross-section scaling. This memorandum makes the correction explicit for external review and does not assert that SpaceX or NASA internal models omit it.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400"/>
        <w:gridCol w:w="1100"/>
        <w:gridCol w:w="1900"/>
        <w:gridCol w:w="1960"/>
      </w:tblGrid>
      <w:tr w:rsidR="005B4399" w:rsidRPr="0003664A" w14:paraId="4202EB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70D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Mission Class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824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Cross-Section</w:t>
            </w:r>
          </w:p>
        </w:tc>
        <w:tc>
          <w:tcPr>
            <w:tcW w:w="1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E08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E6D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Cumulative Exposure</w:t>
            </w:r>
          </w:p>
        </w:tc>
        <w:tc>
          <w:tcPr>
            <w:tcW w:w="1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C8F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Empirical Precedent</w:t>
            </w:r>
          </w:p>
        </w:tc>
      </w:tr>
      <w:tr w:rsidR="005B4399" w:rsidRPr="0003664A" w14:paraId="043F5F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13A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Robotic probes (historical)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757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5–100 m²</w:t>
            </w:r>
          </w:p>
        </w:tc>
        <w:tc>
          <w:tcPr>
            <w:tcW w:w="1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058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6–9 months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3DA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~250 m²·years</w:t>
            </w:r>
          </w:p>
        </w:tc>
        <w:tc>
          <w:tcPr>
            <w:tcW w:w="1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A31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Yes — 50+ missions</w:t>
            </w:r>
          </w:p>
        </w:tc>
      </w:tr>
      <w:tr w:rsidR="005B4399" w:rsidRPr="0003664A" w14:paraId="50223E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6A1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Crewed Starship (100 pax)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373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~2,626 m²</w:t>
            </w:r>
          </w:p>
        </w:tc>
        <w:tc>
          <w:tcPr>
            <w:tcW w:w="1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308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~9 months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46D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~1,970 m²·years</w:t>
            </w:r>
          </w:p>
        </w:tc>
        <w:tc>
          <w:tcPr>
            <w:tcW w:w="1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8ED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None</w:t>
            </w:r>
          </w:p>
        </w:tc>
      </w:tr>
      <w:tr w:rsidR="005B4399" w:rsidRPr="0003664A" w14:paraId="3D8AC5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FC2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Colony vessel (500 pax)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23A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~12,921 m²</w:t>
            </w:r>
          </w:p>
        </w:tc>
        <w:tc>
          <w:tcPr>
            <w:tcW w:w="1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8BB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~9 months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226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~9,691 m²·years</w:t>
            </w:r>
          </w:p>
        </w:tc>
        <w:tc>
          <w:tcPr>
            <w:tcW w:w="1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859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None</w:t>
            </w:r>
          </w:p>
        </w:tc>
      </w:tr>
    </w:tbl>
    <w:p w14:paraId="0FD90D77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1.1 — Cross-section estimates are geometric approximations. Effective collision areas depend on Whipple shield architecture, attitude profile, and multi-wall design.</w:t>
      </w:r>
    </w:p>
    <w:p w14:paraId="14E65052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1.2  Version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History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299"/>
        <w:gridCol w:w="3960"/>
      </w:tblGrid>
      <w:tr w:rsidR="005B4399" w:rsidRPr="0003664A" w14:paraId="6A63D3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153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6DA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Primary Correction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03A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Remaining Limitation</w:t>
            </w:r>
          </w:p>
        </w:tc>
      </w:tr>
      <w:tr w:rsidR="005B4399" w:rsidRPr="0003664A" w14:paraId="2BFAD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AC5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v1.0–v6.0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E10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Circular inverse calculation; forward power-law estimation.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244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Static volume; uniform density</w:t>
            </w:r>
          </w:p>
        </w:tc>
      </w:tr>
      <w:tr w:rsidR="005B4399" w:rsidRPr="0003664A" w14:paraId="78FF8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82A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v7.0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432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Equation system; citations resolved.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729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V=</w:t>
            </w: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A·d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geometry; homogeneous density</w:t>
            </w:r>
          </w:p>
        </w:tc>
      </w:tr>
      <w:tr w:rsidR="005B4399" w:rsidRPr="0003664A" w14:paraId="1C3AB6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E96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v8.0–v9.0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667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Phase-space integration; heliocentric gradient r⁻¹·⁵; risk-weight recalibration.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960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model underdeveloped; point estimates</w:t>
            </w:r>
          </w:p>
        </w:tc>
      </w:tr>
      <w:tr w:rsidR="005B4399" w:rsidRPr="0003664A" w14:paraId="168917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2D5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v9.1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482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model expanded; uncertainty ranges; tone moderated.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450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Monte Carlo; no Bayesian framing</w:t>
            </w:r>
          </w:p>
        </w:tc>
      </w:tr>
      <w:tr w:rsidR="005B4399" w:rsidRPr="0003664A" w14:paraId="0D507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DE5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v9.2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6F3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Monte Carlo (N=100k); Gaussian copula; 18 references.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734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copula sensitivity; priors not documented</w:t>
            </w:r>
          </w:p>
        </w:tc>
      </w:tr>
      <w:tr w:rsidR="005B4399" w:rsidRPr="0003664A" w14:paraId="4F688E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CF0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v9.3</w:t>
            </w:r>
          </w:p>
        </w:tc>
        <w:tc>
          <w:tcPr>
            <w:tcW w:w="4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43C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Copula sensitivity (Gaussian vs. t, ρ range); full prior derivation appendix; reproducible code.</w:t>
            </w:r>
          </w:p>
        </w:tc>
        <w:tc>
          <w:tcPr>
            <w:tcW w:w="3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66F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FMEA/fault tree; priors not empirically calibrated</w:t>
            </w:r>
          </w:p>
        </w:tc>
      </w:tr>
    </w:tbl>
    <w:p w14:paraId="7933F85F" w14:textId="77777777" w:rsidR="005B4399" w:rsidRPr="0003664A" w:rsidRDefault="005B4399">
      <w:pPr>
        <w:spacing w:after="160"/>
        <w:rPr>
          <w:lang w:val="en-US"/>
        </w:rPr>
      </w:pPr>
    </w:p>
    <w:p w14:paraId="59CC3E76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2  SOLAR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AND RADIATION RISK</w:t>
      </w:r>
    </w:p>
    <w:p w14:paraId="0B8508B7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Prior versions used solar LOC figures from Carrington-class event frequency without modelling absorbed dose or shielding architecture. This section presents a scenario-based revision consistent with published GCR/SEP literature.</w:t>
      </w:r>
    </w:p>
    <w:p w14:paraId="09AC11C7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2.1  Radiation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Environment</w:t>
      </w:r>
    </w:p>
    <w:p w14:paraId="60FD5472" w14:textId="77777777" w:rsidR="0003664A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Mars transit radiation environment comprises: (1) Galactic Cosmic Rays (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GCR) —</w:t>
      </w:r>
      <w:proofErr w:type="gramEnd"/>
      <w:r w:rsidRPr="0003664A">
        <w:rPr>
          <w:rFonts w:ascii="Arial" w:eastAsia="Arial" w:hAnsi="Arial" w:cs="Arial"/>
          <w:color w:val="111111"/>
          <w:lang w:val="en-US"/>
        </w:rPr>
        <w:t xml:space="preserve"> continuous, isotropic; (2) Solar Energetic Particle (SEP) events — episodic, anisotropic; (3) secondary spallation radiation within shielding. The MARIE instrument (Mars Odyssey) measured a GCR dose rate of approximately 0.22 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mGy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/day during cruise phase (solar maximum, 2001) [zeitlin2004]. CRATER (MSL) measured 1.84 mSv/day cruise dose [hassler2013], yielding approximately 497 mSv over 270 days without shielding </w:t>
      </w:r>
    </w:p>
    <w:p w14:paraId="44D082F1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2932A2BC" w14:textId="719D90FF" w:rsidR="005B4399" w:rsidRPr="0003664A" w:rsidRDefault="0003664A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optimization</w:t>
      </w:r>
      <w:r w:rsidR="00000000" w:rsidRPr="0003664A">
        <w:rPr>
          <w:rFonts w:ascii="Arial" w:eastAsia="Arial" w:hAnsi="Arial" w:cs="Arial"/>
          <w:color w:val="111111"/>
          <w:lang w:val="en-US"/>
        </w:rPr>
        <w:t>. The LD50/30 for whole-body acute radiation syndrome is approximately 3–4 Gy without medical intervention [cucinotta2014].</w:t>
      </w:r>
    </w:p>
    <w:p w14:paraId="1699DCEB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2.2  Shielding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Scenarios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1700"/>
        <w:gridCol w:w="1400"/>
        <w:gridCol w:w="1460"/>
      </w:tblGrid>
      <w:tr w:rsidR="005B4399" w:rsidRPr="0003664A" w14:paraId="10A915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D5F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Scenario</w:t>
            </w:r>
          </w:p>
        </w:tc>
        <w:tc>
          <w:tcPr>
            <w:tcW w:w="2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960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Architecture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7B9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Storm Shelter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336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Timing</w:t>
            </w:r>
          </w:p>
        </w:tc>
        <w:tc>
          <w:tcPr>
            <w:tcW w:w="14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EC6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Est. Radiation LOC</w:t>
            </w:r>
          </w:p>
        </w:tc>
      </w:tr>
      <w:tr w:rsidR="005B4399" w:rsidRPr="0003664A" w14:paraId="72C99B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519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Minimal</w:t>
            </w:r>
          </w:p>
        </w:tc>
        <w:tc>
          <w:tcPr>
            <w:tcW w:w="2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A92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~5 g/cm² Al-equiv.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355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None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7EE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maximum</w:t>
            </w:r>
          </w:p>
        </w:tc>
        <w:tc>
          <w:tcPr>
            <w:tcW w:w="14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38C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~8–15%</w:t>
            </w:r>
          </w:p>
        </w:tc>
      </w:tr>
      <w:tr w:rsidR="005B4399" w:rsidRPr="0003664A" w14:paraId="0376AF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F1E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Basic (Sc. A mode)</w:t>
            </w:r>
          </w:p>
        </w:tc>
        <w:tc>
          <w:tcPr>
            <w:tcW w:w="2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87B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Polyethylene + water (~20 g/cm²)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F61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~500 kg water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8C1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minimum</w:t>
            </w:r>
          </w:p>
        </w:tc>
        <w:tc>
          <w:tcPr>
            <w:tcW w:w="14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85E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~2–6%</w:t>
            </w:r>
          </w:p>
        </w:tc>
      </w:tr>
      <w:tr w:rsidR="005B4399" w:rsidRPr="0003664A" w14:paraId="4D187B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16F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Enhanced</w:t>
            </w:r>
          </w:p>
        </w:tc>
        <w:tc>
          <w:tcPr>
            <w:tcW w:w="2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7D6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Active magnetic + 30+ g/cm²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046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Full architecture</w:t>
            </w:r>
          </w:p>
        </w:tc>
        <w:tc>
          <w:tcPr>
            <w:tcW w:w="1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8BA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min + contingency</w:t>
            </w:r>
          </w:p>
        </w:tc>
        <w:tc>
          <w:tcPr>
            <w:tcW w:w="14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9A5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~0.5–2%</w:t>
            </w:r>
          </w:p>
        </w:tc>
      </w:tr>
    </w:tbl>
    <w:p w14:paraId="3F5768B9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2.1 — Based on MARIE/CRATER GCR baselines and CREME96 SEP flux model. A validated LOC requires GEANT4/HZETRN transport modelling for Starship-specific shielding geometry.</w:t>
      </w:r>
    </w:p>
    <w:p w14:paraId="17596670" w14:textId="77777777" w:rsidR="005B4399" w:rsidRPr="0003664A" w:rsidRDefault="005B4399">
      <w:pPr>
        <w:spacing w:after="160"/>
        <w:rPr>
          <w:lang w:val="en-US"/>
        </w:rPr>
      </w:pPr>
    </w:p>
    <w:p w14:paraId="5BBB995F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3  DEBRIS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COLLISION MODEL</w:t>
      </w:r>
    </w:p>
    <w:p w14:paraId="46F7C4AD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3.1  Phase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-Space Flux Integration</w:t>
      </w:r>
    </w:p>
    <w:p w14:paraId="2A4101A8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λ = ∫_trajectory ∫∫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A_eff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(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v_rel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) ·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v_rel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· f(</w:t>
      </w:r>
      <w:proofErr w:type="spellStart"/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r,v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,d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) d³v dt 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 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3.1)</w:t>
      </w:r>
    </w:p>
    <w:p w14:paraId="1AE95796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Mean encounter velocity ~20 km/s (Öpik-Wetherill [opik1951; wetherill1967]). The heliocentric radial gradient:</w:t>
      </w:r>
    </w:p>
    <w:p w14:paraId="04D1C8E6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ρ(r) =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ρ₁AU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· (1 AU /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r)^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1.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5,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f_gradient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≈ 0.72 for 1.0–1.52 AU 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 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3.2)</w:t>
      </w:r>
    </w:p>
    <w:p w14:paraId="7F14C3E4" w14:textId="3D3C8B80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Empirically validated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for d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&lt; 1 mm [grun1985; fechtig1981]. Extrapolation to 4–10 cm is unvalidated. The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prior reflects this heavy-tailed epistemic uncertainty (see Appendix A for </w:t>
      </w:r>
      <w:r w:rsidR="00BD0086" w:rsidRPr="0003664A">
        <w:rPr>
          <w:rFonts w:ascii="Arial" w:eastAsia="Arial" w:hAnsi="Arial" w:cs="Arial"/>
          <w:color w:val="111111"/>
          <w:lang w:val="en-US"/>
        </w:rPr>
        <w:t>parameterization</w:t>
      </w:r>
      <w:r w:rsidRPr="0003664A">
        <w:rPr>
          <w:rFonts w:ascii="Arial" w:eastAsia="Arial" w:hAnsi="Arial" w:cs="Arial"/>
          <w:color w:val="111111"/>
          <w:lang w:val="en-US"/>
        </w:rPr>
        <w:t xml:space="preserve"> rationale).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"/>
        <w:gridCol w:w="1900"/>
        <w:gridCol w:w="1800"/>
        <w:gridCol w:w="2760"/>
      </w:tblGrid>
      <w:tr w:rsidR="005B4399" w:rsidRPr="0003664A" w14:paraId="651A84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05B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Population profile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983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α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51CC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P_collision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 xml:space="preserve"> (central)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DFB2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P_collision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 xml:space="preserve"> (upper)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685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Interpretation</w:t>
            </w:r>
          </w:p>
        </w:tc>
      </w:tr>
      <w:tr w:rsidR="005B4399" w:rsidRPr="0003664A" w14:paraId="7E58E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829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Sparse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E94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4.0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C78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~0.000002%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35E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C17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Effectively zero</w:t>
            </w:r>
          </w:p>
        </w:tc>
      </w:tr>
      <w:tr w:rsidR="005B4399" w:rsidRPr="0003664A" w14:paraId="332CF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D80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8A5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3.7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D54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~0.024%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6B3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05B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Not dominant LOC driver</w:t>
            </w:r>
          </w:p>
        </w:tc>
      </w:tr>
      <w:tr w:rsidR="005B4399" w:rsidRPr="0003664A" w14:paraId="562D5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B80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Dense</w:t>
            </w:r>
          </w:p>
        </w:tc>
        <w:tc>
          <w:tcPr>
            <w:tcW w:w="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E6D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3.5</w:t>
            </w:r>
          </w:p>
        </w:tc>
        <w:tc>
          <w:tcPr>
            <w:tcW w:w="19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0B5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—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FF4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~1.8%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893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Black Swan (1-in-56)</w:t>
            </w:r>
          </w:p>
        </w:tc>
      </w:tr>
    </w:tbl>
    <w:p w14:paraId="257D90C8" w14:textId="77777777" w:rsidR="005B4399" w:rsidRPr="0003664A" w:rsidRDefault="005B4399">
      <w:pPr>
        <w:spacing w:after="160"/>
        <w:rPr>
          <w:lang w:val="en-US"/>
        </w:rPr>
      </w:pPr>
    </w:p>
    <w:p w14:paraId="5D2818C1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4  MONTE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CARLO PRA</w:t>
      </w:r>
    </w:p>
    <w:p w14:paraId="664A849E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4.1  Method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Overview</w:t>
      </w:r>
    </w:p>
    <w:p w14:paraId="53CE9FCD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N=100,000 samples are drawn from Beta distributions (bounded risk factors) and a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distribution (debris). Engineering and ECLSS failures are assigned rank correlation ρ=0.30 via Gaussian copula, reflecting their shared validation gap. Total LOC: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P_total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= 1 − 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∏(</w:t>
      </w:r>
      <w:proofErr w:type="gramEnd"/>
      <w:r w:rsidRPr="0003664A">
        <w:rPr>
          <w:rFonts w:ascii="Arial" w:eastAsia="Arial" w:hAnsi="Arial" w:cs="Arial"/>
          <w:color w:val="111111"/>
          <w:lang w:val="en-US"/>
        </w:rPr>
        <w:t xml:space="preserve">1 −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p_i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>). Full source code and CSV outputs are provided at the repository listed on the cover page.</w:t>
      </w:r>
    </w:p>
    <w:p w14:paraId="38D565B9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4.2  Prior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Distributions</w:t>
      </w:r>
    </w:p>
    <w:p w14:paraId="6DAC3369" w14:textId="3839843D" w:rsidR="005B4399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Figure 3 shows each prior distribution with the analogue data anchors that </w:t>
      </w:r>
      <w:r w:rsidR="0003664A" w:rsidRPr="0003664A">
        <w:rPr>
          <w:rFonts w:ascii="Arial" w:eastAsia="Arial" w:hAnsi="Arial" w:cs="Arial"/>
          <w:color w:val="111111"/>
          <w:lang w:val="en-US"/>
        </w:rPr>
        <w:t>parameterize</w:t>
      </w:r>
      <w:r w:rsidRPr="0003664A">
        <w:rPr>
          <w:rFonts w:ascii="Arial" w:eastAsia="Arial" w:hAnsi="Arial" w:cs="Arial"/>
          <w:color w:val="111111"/>
          <w:lang w:val="en-US"/>
        </w:rPr>
        <w:t xml:space="preserve"> it. Full derivation in Appendix A.</w:t>
      </w:r>
    </w:p>
    <w:p w14:paraId="4DD3763D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7BA11E1D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68E4F926" w14:textId="77777777" w:rsidR="0003664A" w:rsidRPr="0003664A" w:rsidRDefault="0003664A">
      <w:pPr>
        <w:spacing w:before="60" w:after="60" w:line="288" w:lineRule="auto"/>
        <w:rPr>
          <w:lang w:val="en-US"/>
        </w:rPr>
      </w:pPr>
    </w:p>
    <w:p w14:paraId="023D2EBF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2154C3D1" wp14:editId="20E8CEC8">
            <wp:extent cx="6124575" cy="2449830"/>
            <wp:effectExtent l="0" t="0" r="9525" b="7620"/>
            <wp:docPr id="1838292213" name="Grafik 183829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013" cy="24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0293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Figure 3 — Prior distributions. Blue = Scenario A; orange = Scenario B. Vertical line = median. Box annotation: p5, p50, p95 for Scenario A. Debris uses </w:t>
      </w:r>
      <w:proofErr w:type="spellStart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 (heavy tail) to reflect the unmeasured 4–10 cm regime.</w:t>
      </w:r>
    </w:p>
    <w:p w14:paraId="596A62D2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3FC6884E" wp14:editId="02625AEF">
            <wp:extent cx="6129338" cy="4086225"/>
            <wp:effectExtent l="0" t="0" r="5080" b="0"/>
            <wp:docPr id="726914444" name="Grafik 7269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121" cy="40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0393" w14:textId="6287AFF0" w:rsidR="005B4399" w:rsidRDefault="00000000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Figure 4 — Prior derivation panels. Each panel shows the fitted prior with the analogue data points that define its mode, lower, and upper bounds. Dotted vertical lines = individual anchors; shaded band = p5–p95. Full </w:t>
      </w:r>
      <w:r w:rsidR="0003664A"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parameterization</w:t>
      </w: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 in Appendix A.</w:t>
      </w:r>
    </w:p>
    <w:p w14:paraId="548B3237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0662A7BE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0540B37D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11EF8AFC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5D615418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397C5D5D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42B664CC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137C80F3" w14:textId="77777777" w:rsidR="0003664A" w:rsidRPr="0003664A" w:rsidRDefault="0003664A">
      <w:pPr>
        <w:spacing w:before="40" w:after="80" w:line="276" w:lineRule="auto"/>
        <w:rPr>
          <w:lang w:val="en-US"/>
        </w:rPr>
      </w:pPr>
    </w:p>
    <w:p w14:paraId="6EBC008E" w14:textId="77777777" w:rsidR="005B4399" w:rsidRPr="0003664A" w:rsidRDefault="005B4399">
      <w:pPr>
        <w:spacing w:after="120"/>
        <w:rPr>
          <w:lang w:val="en-US"/>
        </w:rPr>
      </w:pPr>
    </w:p>
    <w:p w14:paraId="3D6E45D7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4.3  LOC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Distributions</w:t>
      </w:r>
    </w:p>
    <w:p w14:paraId="4A7A257E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34D6991D" wp14:editId="1BE0E2E9">
            <wp:extent cx="6105525" cy="3052763"/>
            <wp:effectExtent l="0" t="0" r="0" b="0"/>
            <wp:docPr id="512559258" name="Grafik 512559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796" cy="3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2B30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Figure 5 — Monte Carlo LOC distributions. Left: Scenario A. Right: Scenario B. Dotted = p5/p95; dashed = p25/p75; solid = median. Both distributions lie substantially above the Crew Dragon 0.37% reference.</w:t>
      </w:r>
    </w:p>
    <w:p w14:paraId="6D6EB729" w14:textId="77777777" w:rsidR="005B4399" w:rsidRPr="0003664A" w:rsidRDefault="005B4399">
      <w:pPr>
        <w:spacing w:after="120"/>
        <w:rPr>
          <w:lang w:val="en-US"/>
        </w:rPr>
      </w:pPr>
    </w:p>
    <w:p w14:paraId="4B75A138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4.4  Variance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Decomposition</w:t>
      </w:r>
    </w:p>
    <w:p w14:paraId="7AB6CEF6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11954FE7" wp14:editId="16E7C53E">
            <wp:extent cx="6124575" cy="2505508"/>
            <wp:effectExtent l="0" t="0" r="0" b="9525"/>
            <wp:docPr id="842676596" name="Grafik 842676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245" cy="25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A99A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Figure 6 — Variance decomposition (squared Spearman rank correlation, Scenario A). Engineering and solar/radiation dominate. Debris contributes ~10%, driven by the </w:t>
      </w:r>
      <w:proofErr w:type="spellStart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 tail.</w:t>
      </w:r>
    </w:p>
    <w:p w14:paraId="632D6B0F" w14:textId="77777777" w:rsidR="005B4399" w:rsidRPr="0003664A" w:rsidRDefault="005B4399">
      <w:pPr>
        <w:spacing w:after="160"/>
        <w:rPr>
          <w:lang w:val="en-US"/>
        </w:rPr>
      </w:pPr>
    </w:p>
    <w:p w14:paraId="607110CA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5  COPULA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SENSITIVITY ANALYSIS</w:t>
      </w:r>
    </w:p>
    <w:p w14:paraId="6C9DF643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5.1  Gaussian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vs. t-Copula</w:t>
      </w:r>
    </w:p>
    <w:p w14:paraId="7DF18262" w14:textId="77777777" w:rsidR="0003664A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Gaussian copula has zero upper-tail dependence (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λ_U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= 0): in the limit, joint extreme events become independent. The t-copula with ν degrees of freedom has positive tail dependence (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λ_U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&gt; 0 for finite ν), implying higher joint extreme-failure probability. For ν=4,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λ_U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≈ 0.24 at ρ=0.30 [nelsen2006]. This is more </w:t>
      </w:r>
    </w:p>
    <w:p w14:paraId="3FBBBF57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70E00963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02FD633A" w14:textId="20A83AAF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conservative for correlated tail risks (e.g., simultaneous engineering and ECLSS failure under extreme conditions).</w:t>
      </w:r>
    </w:p>
    <w:p w14:paraId="4DD45759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key question is whether the choice of copula family materially affects LOC conclusions. Figure 7 shows the result:</w:t>
      </w:r>
    </w:p>
    <w:p w14:paraId="6627E2C6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7BD20902" wp14:editId="353C7BAC">
            <wp:extent cx="6124575" cy="3062288"/>
            <wp:effectExtent l="0" t="0" r="0" b="5080"/>
            <wp:docPr id="100480302" name="Grafik 10048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02" cy="30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6EC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Figure 7 — Copula sensitivity. Left: Gaussian copula (</w:t>
      </w:r>
      <w:proofErr w:type="spellStart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λ_U</w:t>
      </w:r>
      <w:proofErr w:type="spellEnd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=0). Right: t-copula (ν=4, λ_U≈0.24). Curves show LOC distribution for ρ</w:t>
      </w:r>
      <w:proofErr w:type="gramStart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∈[</w:t>
      </w:r>
      <w:proofErr w:type="gramEnd"/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0.0, 0.5]. The p50 LOC varies by less than 0.5 percentage points across the full ρ range and copula family, indicating that the central estimate is robust to the correlation assumption.</w:t>
      </w:r>
    </w:p>
    <w:p w14:paraId="11FD5248" w14:textId="77777777" w:rsidR="005B4399" w:rsidRPr="0003664A" w:rsidRDefault="005B4399">
      <w:pPr>
        <w:spacing w:after="80"/>
        <w:rPr>
          <w:lang w:val="en-US"/>
        </w:rPr>
      </w:pPr>
    </w:p>
    <w:p w14:paraId="3E4A3FC4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5.2  Sensitivity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Table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200"/>
        <w:gridCol w:w="1200"/>
        <w:gridCol w:w="1200"/>
        <w:gridCol w:w="1160"/>
      </w:tblGrid>
      <w:tr w:rsidR="005B4399" w:rsidRPr="0003664A" w14:paraId="550B17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111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Copula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F68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0.0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4C7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0.1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A24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0.2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ACA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0.3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40B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0.4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6EF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0.5</w:t>
            </w:r>
          </w:p>
        </w:tc>
      </w:tr>
      <w:tr w:rsidR="005B4399" w:rsidRPr="0003664A" w14:paraId="04A464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E3C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Gaussian (p50)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B0C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265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12.4%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076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65E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12.2%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BE5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12.1%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EA0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12.1%</w:t>
            </w:r>
          </w:p>
        </w:tc>
      </w:tr>
      <w:tr w:rsidR="005B4399" w:rsidRPr="0003664A" w14:paraId="43D73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031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Gaussian (p95)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4FE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CE4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05D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CBF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711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17.2%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700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17.2%</w:t>
            </w:r>
          </w:p>
        </w:tc>
      </w:tr>
      <w:tr w:rsidR="005B4399" w:rsidRPr="0003664A" w14:paraId="6115EA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436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t-copula ν=4 (p50)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129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A3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EB7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7D7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D3D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920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</w:tr>
      <w:tr w:rsidR="005B4399" w:rsidRPr="0003664A" w14:paraId="1BCA8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5B3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t-copula ν=4 (p95)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CA3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5DE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354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57E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55E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17.4%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205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17.4%</w:t>
            </w:r>
          </w:p>
        </w:tc>
      </w:tr>
    </w:tbl>
    <w:p w14:paraId="432B43CB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5.1 — LOC percentiles across copula family and ρ. The p95 is similarly robust. The t-copula gives marginally higher p95 at ρ=0.4–0.5, consistent with its positive tail dependence. In both cases, the practical difference is less than 0.2 percentage points.</w:t>
      </w:r>
    </w:p>
    <w:p w14:paraId="6DD48D72" w14:textId="77777777" w:rsidR="005B4399" w:rsidRPr="0003664A" w:rsidRDefault="005B4399">
      <w:pPr>
        <w:spacing w:after="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B4399" w:rsidRPr="0003664A" w14:paraId="47B8AE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C2030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D0DAEA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0E43524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9"/>
                <w:szCs w:val="19"/>
                <w:lang w:val="en-US"/>
              </w:rPr>
              <w:t>IMPLICATION</w:t>
            </w:r>
          </w:p>
        </w:tc>
      </w:tr>
      <w:tr w:rsidR="005B4399" w:rsidRPr="0003664A" w14:paraId="08BE8E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13143193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The LOC central estimate (p50 ≈12.6% Scenario A) is not materially sensitive to whether Gaussian or t-copula is used, or to the exact value of ρ in the [0, 0.5] range.</w:t>
            </w:r>
          </w:p>
        </w:tc>
      </w:tr>
      <w:tr w:rsidR="005B4399" w:rsidRPr="0003664A" w14:paraId="685E93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117248C6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The tail (p95) is similarly insensitive. This confirms that the dominant uncertainty source is the prior distributions themselves, not the correlation structure.</w:t>
            </w:r>
          </w:p>
        </w:tc>
      </w:tr>
      <w:tr w:rsidR="005B4399" w:rsidRPr="0003664A" w14:paraId="45B87B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single" w:sz="2" w:space="0" w:color="1C2030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0F54DD3F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A reviewer who argues for t-copula on tail-dependence grounds would obtain essentially the same central estimate and policy implications.</w:t>
            </w:r>
          </w:p>
        </w:tc>
      </w:tr>
    </w:tbl>
    <w:p w14:paraId="516A81E2" w14:textId="77777777" w:rsidR="005B4399" w:rsidRDefault="005B4399">
      <w:pPr>
        <w:spacing w:after="160"/>
        <w:rPr>
          <w:lang w:val="en-US"/>
        </w:rPr>
      </w:pPr>
    </w:p>
    <w:p w14:paraId="52A87BFE" w14:textId="77777777" w:rsidR="0003664A" w:rsidRDefault="0003664A">
      <w:pPr>
        <w:spacing w:after="160"/>
        <w:rPr>
          <w:lang w:val="en-US"/>
        </w:rPr>
      </w:pPr>
    </w:p>
    <w:p w14:paraId="19A5DC3C" w14:textId="77777777" w:rsidR="0003664A" w:rsidRDefault="0003664A">
      <w:pPr>
        <w:spacing w:after="160"/>
        <w:rPr>
          <w:lang w:val="en-US"/>
        </w:rPr>
      </w:pPr>
    </w:p>
    <w:p w14:paraId="67DE15D4" w14:textId="77777777" w:rsidR="0003664A" w:rsidRDefault="0003664A">
      <w:pPr>
        <w:spacing w:after="160"/>
        <w:rPr>
          <w:lang w:val="en-US"/>
        </w:rPr>
      </w:pPr>
    </w:p>
    <w:p w14:paraId="4AB603B3" w14:textId="77777777" w:rsidR="0003664A" w:rsidRPr="0003664A" w:rsidRDefault="0003664A">
      <w:pPr>
        <w:spacing w:after="160"/>
        <w:rPr>
          <w:lang w:val="en-US"/>
        </w:rPr>
      </w:pPr>
    </w:p>
    <w:p w14:paraId="7E05AB1E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6  AGGREGATE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LOC SCENARIOS</w:t>
      </w:r>
    </w:p>
    <w:p w14:paraId="3A828CF1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6520A88F" wp14:editId="651FC0CF">
            <wp:extent cx="6143625" cy="3071813"/>
            <wp:effectExtent l="0" t="0" r="0" b="0"/>
            <wp:docPr id="1239809513" name="Grafik 1239809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36" cy="30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DAE2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Figure 8 — Sensitivity (tornado) analysis. Each factor varied independently from minimum to maximum. Solar/radiation and engineering dominate the LOC range. Debris has a narrow bar at central estimates but a wide tail at the upper bound.</w:t>
      </w:r>
    </w:p>
    <w:p w14:paraId="078AE812" w14:textId="77777777" w:rsidR="005B4399" w:rsidRPr="0003664A" w:rsidRDefault="005B4399">
      <w:pPr>
        <w:spacing w:after="120"/>
        <w:rPr>
          <w:lang w:val="en-US"/>
        </w:rPr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8"/>
        <w:gridCol w:w="987"/>
        <w:gridCol w:w="851"/>
        <w:gridCol w:w="987"/>
        <w:gridCol w:w="794"/>
        <w:gridCol w:w="1250"/>
        <w:gridCol w:w="1243"/>
      </w:tblGrid>
      <w:tr w:rsidR="005B4399" w:rsidRPr="0003664A" w14:paraId="0481CC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B77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Risk Factor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D0D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Sc. A Range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403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Mode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3B3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Sc. B Range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FC7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Mode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ECE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Distribution</w:t>
            </w:r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DA1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Variance Share (Sc. A)</w:t>
            </w:r>
          </w:p>
        </w:tc>
      </w:tr>
      <w:tr w:rsidR="005B4399" w:rsidRPr="0003664A" w14:paraId="47451F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AF7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/ radiation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508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1–15%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454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A2E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4–20%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856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10%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D80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F6E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~29%</w:t>
            </w:r>
          </w:p>
        </w:tc>
      </w:tr>
      <w:tr w:rsidR="005B4399" w:rsidRPr="0003664A" w14:paraId="358911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423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Engineering / propulsion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F8A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1.5–13%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A26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997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4–16%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609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9%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AD2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DBE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~33%</w:t>
            </w:r>
          </w:p>
        </w:tc>
      </w:tr>
      <w:tr w:rsidR="005B4399" w:rsidRPr="0003664A" w14:paraId="514FDD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E55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ECLSS / life-support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DDA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0.5–9%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2FD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2.0%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60E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2–10%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C22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4.5%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216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Beta (corr.)</w:t>
            </w:r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A68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~21%</w:t>
            </w:r>
          </w:p>
        </w:tc>
      </w:tr>
      <w:tr w:rsidR="005B4399" w:rsidRPr="0003664A" w14:paraId="450B74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F63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Human factors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BF7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0.2–8%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45D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0.8%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2EC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1.5–12%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751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5%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9D3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F58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~6%</w:t>
            </w:r>
          </w:p>
        </w:tc>
      </w:tr>
      <w:tr w:rsidR="005B4399" w:rsidRPr="0003664A" w14:paraId="521E60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46F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Debris (4–10 cm)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DA8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0.001–1.8%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54D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0.024%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7F8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0.05–2.5%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037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0.8%</w:t>
            </w:r>
          </w:p>
        </w:tc>
        <w:tc>
          <w:tcPr>
            <w:tcW w:w="1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3F15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LogNormal</w:t>
            </w:r>
            <w:proofErr w:type="spellEnd"/>
          </w:p>
        </w:tc>
        <w:tc>
          <w:tcPr>
            <w:tcW w:w="12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C15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~10%</w:t>
            </w:r>
          </w:p>
        </w:tc>
      </w:tr>
    </w:tbl>
    <w:p w14:paraId="7266216B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6.1 — Full prior specification. Variance shares from Monte Carlo (squared Spearman rank correlation, Scenario A correlated model).</w:t>
      </w:r>
    </w:p>
    <w:p w14:paraId="531CEE52" w14:textId="77777777" w:rsidR="005B4399" w:rsidRPr="0003664A" w:rsidRDefault="005B4399">
      <w:pPr>
        <w:spacing w:after="80"/>
        <w:rPr>
          <w:lang w:val="en-US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700"/>
        <w:gridCol w:w="3060"/>
      </w:tblGrid>
      <w:tr w:rsidR="005B4399" w:rsidRPr="0003664A" w14:paraId="7A3B5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A1B9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Programme</w:t>
            </w:r>
            <w:proofErr w:type="spellEnd"/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F93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LOC (est.)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B57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Empirical Record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D9A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Primary Risk Driver</w:t>
            </w:r>
          </w:p>
        </w:tc>
      </w:tr>
      <w:tr w:rsidR="005B4399" w:rsidRPr="0003664A" w14:paraId="7451D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A4F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Mercury (early)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E9C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~40%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2A0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 LOC / 6 crewed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00A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Unknown systems; no heritage</w:t>
            </w:r>
          </w:p>
        </w:tc>
      </w:tr>
      <w:tr w:rsidR="005B4399" w:rsidRPr="0003664A" w14:paraId="3CD07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5C4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Apollo (lunar)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BEC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~1–15%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878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 LOC / 17 crewed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14B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Launch vehicle; mission complexity</w:t>
            </w:r>
          </w:p>
        </w:tc>
      </w:tr>
      <w:tr w:rsidR="005B4399" w:rsidRPr="0003664A" w14:paraId="7E961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693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Space Shuttle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37F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~0.5–1.5%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3E5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 LOC / 135 flights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74D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O-ring failure; foam impact</w:t>
            </w:r>
          </w:p>
        </w:tc>
      </w:tr>
      <w:tr w:rsidR="005B4399" w:rsidRPr="0003664A" w14:paraId="1C223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C52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ISS missions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7EA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~0.5–1%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8E7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 LOC (to date)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E49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Mature systems; abort-to-Earth available</w:t>
            </w:r>
          </w:p>
        </w:tc>
      </w:tr>
      <w:tr w:rsidR="005B4399" w:rsidRPr="0003664A" w14:paraId="6535A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4ED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Crew Dragon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1FC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&lt; 0.37%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5D2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 LOC / 7+ missions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7F2D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CtCap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1-in-270 standard [fragola1996]</w:t>
            </w:r>
          </w:p>
        </w:tc>
      </w:tr>
      <w:tr w:rsidR="005B4399" w:rsidRPr="0003664A" w14:paraId="0F96E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60E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lastRenderedPageBreak/>
              <w:t>Mars — Sc. A (v9.3)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392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median 12.6% [8.8–17.3%]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FA2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precedent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E54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Engineering + solar/radiation</w:t>
            </w:r>
          </w:p>
        </w:tc>
      </w:tr>
      <w:tr w:rsidR="005B4399" w:rsidRPr="0003664A" w14:paraId="663FC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980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Mars — Sc. B (v9.3)</w:t>
            </w:r>
          </w:p>
        </w:tc>
        <w:tc>
          <w:tcPr>
            <w:tcW w:w="22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D22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median 27.2% [22.7–31.9%]</w:t>
            </w:r>
          </w:p>
        </w:tc>
        <w:tc>
          <w:tcPr>
            <w:tcW w:w="17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0AC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precedent</w:t>
            </w:r>
          </w:p>
        </w:tc>
        <w:tc>
          <w:tcPr>
            <w:tcW w:w="30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170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Exceeds all documented tolerances</w:t>
            </w:r>
          </w:p>
        </w:tc>
      </w:tr>
    </w:tbl>
    <w:p w14:paraId="3780F470" w14:textId="77777777" w:rsidR="005B4399" w:rsidRPr="0003664A" w:rsidRDefault="005B4399">
      <w:pPr>
        <w:spacing w:after="160"/>
        <w:rPr>
          <w:lang w:val="en-US"/>
        </w:rPr>
      </w:pPr>
    </w:p>
    <w:p w14:paraId="692E41E1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7  POLICY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IMPLICATIONS</w:t>
      </w:r>
    </w:p>
    <w:p w14:paraId="2EA242BC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following reflects analytical inferences from the risk-weight structure. They are not design prescriptions.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00"/>
        <w:gridCol w:w="1300"/>
        <w:gridCol w:w="1560"/>
      </w:tblGrid>
      <w:tr w:rsidR="005B4399" w:rsidRPr="0003664A" w14:paraId="73C211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F2A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Priority</w:t>
            </w:r>
          </w:p>
        </w:tc>
        <w:tc>
          <w:tcPr>
            <w:tcW w:w="4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A7AB" w14:textId="5F95AEC5" w:rsidR="005B4399" w:rsidRPr="0003664A" w:rsidRDefault="0003664A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Program</w:t>
            </w:r>
          </w:p>
        </w:tc>
        <w:tc>
          <w:tcPr>
            <w:tcW w:w="1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0B0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Cost Estimate</w:t>
            </w:r>
          </w:p>
        </w:tc>
        <w:tc>
          <w:tcPr>
            <w:tcW w:w="15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2FC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Variance Component Addressed</w:t>
            </w:r>
          </w:p>
        </w:tc>
      </w:tr>
      <w:tr w:rsidR="005B4399" w:rsidRPr="0003664A" w14:paraId="091272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BE3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1A — ECLSS Maturation</w:t>
            </w:r>
          </w:p>
        </w:tc>
        <w:tc>
          <w:tcPr>
            <w:tcW w:w="4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6004" w14:textId="24023905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2-yr continuous closed-loop ISS analogue; MTBF documentation; water/O₂ recovery &gt;99.9%. </w:t>
            </w: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MELiSSA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</w:t>
            </w:r>
            <w:r w:rsidR="0003664A"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program</w:t>
            </w: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extension [hendrickx2006].</w:t>
            </w:r>
          </w:p>
        </w:tc>
        <w:tc>
          <w:tcPr>
            <w:tcW w:w="1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26E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USD 2–5B</w:t>
            </w:r>
          </w:p>
        </w:tc>
        <w:tc>
          <w:tcPr>
            <w:tcW w:w="15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827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~21% of LOC variance</w:t>
            </w:r>
          </w:p>
        </w:tc>
      </w:tr>
      <w:tr w:rsidR="005B4399" w:rsidRPr="0003664A" w14:paraId="12F704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FC0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1B — Engineering Heritage</w:t>
            </w:r>
          </w:p>
        </w:tc>
        <w:tc>
          <w:tcPr>
            <w:tcW w:w="4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717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3–5 uncrewed Starship deep-space flights; 270-day duration; FMEA catalogue. Analogous to Apollo uncrewed qualification.</w:t>
            </w:r>
          </w:p>
        </w:tc>
        <w:tc>
          <w:tcPr>
            <w:tcW w:w="1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6CD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USD 1–3B</w:t>
            </w:r>
          </w:p>
        </w:tc>
        <w:tc>
          <w:tcPr>
            <w:tcW w:w="15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BF4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~33% of LOC variance</w:t>
            </w:r>
          </w:p>
        </w:tc>
      </w:tr>
      <w:tr w:rsidR="005B4399" w:rsidRPr="0003664A" w14:paraId="21ED1E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DA1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1C — Radiation Shielding</w:t>
            </w:r>
          </w:p>
        </w:tc>
        <w:tc>
          <w:tcPr>
            <w:tcW w:w="4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4F4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Water-wall + polyethylene + storm shelter; mission timing to solar minimum (zero-cost, ~40% SEP reduction).</w:t>
            </w:r>
          </w:p>
        </w:tc>
        <w:tc>
          <w:tcPr>
            <w:tcW w:w="1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80B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USD 0.5–2B</w:t>
            </w:r>
          </w:p>
        </w:tc>
        <w:tc>
          <w:tcPr>
            <w:tcW w:w="15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382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~29% of LOC variance</w:t>
            </w:r>
          </w:p>
        </w:tc>
      </w:tr>
      <w:tr w:rsidR="005B4399" w:rsidRPr="0003664A" w14:paraId="1F35E0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22A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 — Pathfinder Debris Missions</w:t>
            </w:r>
          </w:p>
        </w:tc>
        <w:tc>
          <w:tcPr>
            <w:tcW w:w="4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DA8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5–10 uncrewed transits with piezoelectric arrays; multi-point gradient measurement at 1.0, 1.2, 1.4 AU.</w:t>
            </w:r>
          </w:p>
        </w:tc>
        <w:tc>
          <w:tcPr>
            <w:tcW w:w="13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4AA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USD 0.75–3B</w:t>
            </w:r>
          </w:p>
        </w:tc>
        <w:tc>
          <w:tcPr>
            <w:tcW w:w="15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FD8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~10% of LOC variance + gradient model</w:t>
            </w:r>
          </w:p>
        </w:tc>
      </w:tr>
    </w:tbl>
    <w:p w14:paraId="710530C9" w14:textId="77777777" w:rsidR="005B4399" w:rsidRPr="0003664A" w:rsidRDefault="005B4399">
      <w:pPr>
        <w:spacing w:after="120"/>
        <w:rPr>
          <w:lang w:val="en-US"/>
        </w:rPr>
      </w:pPr>
    </w:p>
    <w:p w14:paraId="6F2D77EB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7.1  Informed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Consent Framework</w:t>
      </w:r>
    </w:p>
    <w:p w14:paraId="3E5E579A" w14:textId="10CB6723" w:rsidR="005B4399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The post-Trans-Mars-Injection phase of a crewed Mars mission does not provide an Earth-return abort option. Minimum disclosure consistent with FDA 21 CFR 50.25 and the Belmont Report applied to irreversible interventions would include: (1) the full LOC distribution with tail percentiles; (2) the risk-weight decomposition; (3) clear documentation of which model inputs are empirically </w:t>
      </w:r>
      <w:r w:rsidR="00BD0086" w:rsidRPr="0003664A">
        <w:rPr>
          <w:rFonts w:ascii="Arial" w:eastAsia="Arial" w:hAnsi="Arial" w:cs="Arial"/>
          <w:color w:val="111111"/>
          <w:lang w:val="en-US"/>
        </w:rPr>
        <w:t>validated,</w:t>
      </w:r>
      <w:r w:rsidRPr="0003664A">
        <w:rPr>
          <w:rFonts w:ascii="Arial" w:eastAsia="Arial" w:hAnsi="Arial" w:cs="Arial"/>
          <w:color w:val="111111"/>
          <w:lang w:val="en-US"/>
        </w:rPr>
        <w:t xml:space="preserve"> and which remain unvalidated.</w:t>
      </w:r>
    </w:p>
    <w:p w14:paraId="24DB59D7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7226CD8B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30782EB7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0BB8DB40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56804A2D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3503C83C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50F7D4E6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3629E3D9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072CB7DE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7B4CF7A4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73F0DD0E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6C179CA0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215A644E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1BE4FCF3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40FF6D72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56FA05D3" w14:textId="77777777" w:rsidR="0003664A" w:rsidRPr="0003664A" w:rsidRDefault="0003664A">
      <w:pPr>
        <w:spacing w:before="60" w:after="60" w:line="288" w:lineRule="auto"/>
        <w:rPr>
          <w:lang w:val="en-US"/>
        </w:rPr>
      </w:pPr>
    </w:p>
    <w:p w14:paraId="445371B5" w14:textId="77777777" w:rsidR="005B4399" w:rsidRPr="0003664A" w:rsidRDefault="005B4399">
      <w:pPr>
        <w:spacing w:after="160"/>
        <w:rPr>
          <w:lang w:val="en-US"/>
        </w:rPr>
      </w:pPr>
    </w:p>
    <w:p w14:paraId="503E0086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8  EPISTEMIC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</w:t>
      </w: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STATUS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 xml:space="preserve"> OF KEY INPUTS</w:t>
      </w:r>
    </w:p>
    <w:p w14:paraId="75A6F15D" w14:textId="77777777" w:rsidR="005B4399" w:rsidRPr="0003664A" w:rsidRDefault="00000000">
      <w:pPr>
        <w:spacing w:before="120" w:after="80"/>
        <w:jc w:val="center"/>
        <w:rPr>
          <w:lang w:val="en-US"/>
        </w:rPr>
      </w:pPr>
      <w:r w:rsidRPr="0003664A">
        <w:rPr>
          <w:noProof/>
          <w:lang w:val="en-US"/>
        </w:rPr>
        <w:drawing>
          <wp:inline distT="0" distB="0" distL="0" distR="0" wp14:anchorId="685BE3F9" wp14:editId="5EB180B6">
            <wp:extent cx="6134100" cy="3345873"/>
            <wp:effectExtent l="0" t="0" r="0" b="6985"/>
            <wp:docPr id="643925489" name="Grafik 643925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252" cy="33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7113" w14:textId="4D2A3F25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Figure 9 — Epistemic status matrix. Axes: empirical basis (x) and uncertainty level (y). Bubble size = model input range span. GCR data (MARIE/CRATER) is the best-constrained input. ECLSS 270-day performance and 4–10 cm debris density </w:t>
      </w:r>
      <w:r w:rsidR="00BD0086"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is</w:t>
      </w: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 the least constrained.</w:t>
      </w:r>
    </w:p>
    <w:p w14:paraId="60ACBC25" w14:textId="77777777" w:rsidR="005B4399" w:rsidRPr="0003664A" w:rsidRDefault="005B4399">
      <w:pPr>
        <w:spacing w:after="120"/>
        <w:rPr>
          <w:lang w:val="en-US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0"/>
        <w:gridCol w:w="2760"/>
      </w:tblGrid>
      <w:tr w:rsidR="005B4399" w:rsidRPr="0003664A" w14:paraId="38107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B3E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Input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844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Empirical Basis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609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Primary Source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E91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Key Gap</w:t>
            </w:r>
          </w:p>
        </w:tc>
      </w:tr>
      <w:tr w:rsidR="005B4399" w:rsidRPr="0003664A" w14:paraId="4831B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317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GCR dose rate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75D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Good (MARIE/CRATER data)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FAF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Zeitlin (2004); Hassler (2013)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EC1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Starship shielding transport model</w:t>
            </w:r>
          </w:p>
        </w:tc>
      </w:tr>
      <w:tr w:rsidR="005B4399" w:rsidRPr="0003664A" w14:paraId="357D3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03C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SEP lethality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586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Partial (event freq. only)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792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Schwenn (2006); Cucinotta (2014)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D86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Full LET spectrum + dose-rate model</w:t>
            </w:r>
          </w:p>
        </w:tc>
      </w:tr>
      <w:tr w:rsidR="005B4399" w:rsidRPr="0003664A" w14:paraId="28CA8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01B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Engineering failure rate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52E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Partial (ISS/Shuttle analogue)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437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Fragola (1996); NASA PRA (2011)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781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Starship deep-space heritage</w:t>
            </w:r>
          </w:p>
        </w:tc>
      </w:tr>
      <w:tr w:rsidR="005B4399" w:rsidRPr="0003664A" w14:paraId="2BB44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C43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ECLSS (270-day deep-space)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B9B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None direct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4539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MELiSSA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[Hendrickx 2006]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67D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270-day closed-loop operational record</w:t>
            </w:r>
          </w:p>
        </w:tc>
      </w:tr>
      <w:tr w:rsidR="005B4399" w:rsidRPr="0003664A" w14:paraId="547EE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81C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Human factors (9-month)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923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Analogue only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A57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Mars-500; Antarctic winter-over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C3B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Comm delay + irreversibility unmodelled</w:t>
            </w:r>
          </w:p>
        </w:tc>
      </w:tr>
      <w:tr w:rsidR="005B4399" w:rsidRPr="0003664A" w14:paraId="2BC0AD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48E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Debris (4–10 cm)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D63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None (interplanetary)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692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Grün (1985) for d&lt;1mm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ECB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in-situ measurements at 1–1.5 AU</w:t>
            </w:r>
          </w:p>
        </w:tc>
      </w:tr>
      <w:tr w:rsidR="005B4399" w:rsidRPr="0003664A" w14:paraId="06855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676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Gradient r⁻¹·⁵</w:t>
            </w:r>
          </w:p>
        </w:tc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347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Partial (d&lt;1mm only)</w:t>
            </w:r>
          </w:p>
        </w:tc>
        <w:tc>
          <w:tcPr>
            <w:tcW w:w="2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5C6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Grün (1985); Fechtig (1981)</w:t>
            </w:r>
          </w:p>
        </w:tc>
        <w:tc>
          <w:tcPr>
            <w:tcW w:w="27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899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Not validated for 4–10 cm</w:t>
            </w:r>
          </w:p>
        </w:tc>
      </w:tr>
    </w:tbl>
    <w:p w14:paraId="45207702" w14:textId="7669A1AF" w:rsidR="005B4399" w:rsidRDefault="00000000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Table 8.1 — The two “None direct” entries (ECLSS 270-day, 4–10 cm debris) represent the primary structural gaps. Because no Mars-class likelihood function exists for these factors, the priors are effectively the posteriors until dedicated data </w:t>
      </w:r>
      <w:r w:rsidR="00BD0086"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programs</w:t>
      </w: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 xml:space="preserve"> are completed.</w:t>
      </w:r>
    </w:p>
    <w:p w14:paraId="31E1F83F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43631D8D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38999A5C" w14:textId="77777777" w:rsidR="0003664A" w:rsidRDefault="0003664A">
      <w:pPr>
        <w:spacing w:before="40" w:after="80" w:line="276" w:lineRule="auto"/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</w:pPr>
    </w:p>
    <w:p w14:paraId="21794899" w14:textId="77777777" w:rsidR="0003664A" w:rsidRPr="0003664A" w:rsidRDefault="0003664A">
      <w:pPr>
        <w:spacing w:before="40" w:after="80" w:line="276" w:lineRule="auto"/>
        <w:rPr>
          <w:lang w:val="en-US"/>
        </w:rPr>
      </w:pPr>
    </w:p>
    <w:p w14:paraId="09825AE7" w14:textId="77777777" w:rsidR="005B4399" w:rsidRPr="0003664A" w:rsidRDefault="005B4399">
      <w:pPr>
        <w:spacing w:after="160"/>
        <w:rPr>
          <w:lang w:val="en-US"/>
        </w:rPr>
      </w:pPr>
    </w:p>
    <w:p w14:paraId="68E5F4DB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9  CONCLUSIONS</w:t>
      </w:r>
      <w:proofErr w:type="gramEnd"/>
    </w:p>
    <w:p w14:paraId="58EF6474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•  A 130× scale gap between published probe-derived collision figures and Starship-class crewed mission parameters is not addressed in public risk communications reviewed for this analysis.</w:t>
      </w:r>
    </w:p>
    <w:p w14:paraId="72ED8962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•  Monte Carlo simulation (N=100,000) yields a median LOC of 12.6% (Scenario A) and 27.2% (Scenario B). Both substantially exceed all modern crewed spaceflight standards.</w:t>
      </w:r>
    </w:p>
    <w:p w14:paraId="1DBC6D3D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•  Copula sensitivity analysis confirms that the central estimate (p50) is robust to correlation magnitude (ρ=0.0–0.5) and copula family (Gaussian vs. t-copula, ν=4). The dominant uncertainty source is the prior distributions.</w:t>
      </w:r>
    </w:p>
    <w:p w14:paraId="60B781B8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•  Variance decomposition identifies engineering reliability (~33%) and solar/radiation (~29%) as dominant LOC variance drivers. ECLSS contributes ~21%. Debris contributes ~10%, concentrated in the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tail.</w:t>
      </w:r>
    </w:p>
    <w:p w14:paraId="7AF85166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•  Formal Bayesian posterior updating is not currently possible for the dominant risk factors. No 270-day deep-space ECLSS operational record, no Starship deep-space flight heritage, and no interplanetary 4–10 cm debris measurements exist.</w:t>
      </w:r>
    </w:p>
    <w:p w14:paraId="2357A2ED" w14:textId="77777777" w:rsidR="005B4399" w:rsidRPr="0003664A" w:rsidRDefault="00000000">
      <w:pPr>
        <w:spacing w:before="50" w:after="50" w:line="288" w:lineRule="auto"/>
        <w:ind w:left="360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•  All quantitative outputs carry substantial epistemic uncertainty. Results should be read as structured plausibility estimates for external technical discussion.</w:t>
      </w:r>
    </w:p>
    <w:p w14:paraId="74123516" w14:textId="77777777" w:rsidR="005B4399" w:rsidRPr="0003664A" w:rsidRDefault="005B4399">
      <w:pPr>
        <w:spacing w:after="12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B4399" w:rsidRPr="0003664A" w14:paraId="790AF0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C2030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D0DAEA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798B88C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9"/>
                <w:szCs w:val="19"/>
                <w:lang w:val="en-US"/>
              </w:rPr>
              <w:t>FINAL ASSESSMENT</w:t>
            </w:r>
          </w:p>
        </w:tc>
      </w:tr>
      <w:tr w:rsidR="005B4399" w:rsidRPr="0003664A" w14:paraId="31D871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33B7EBA9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The central finding — that the dominant Mars mission risks are systemic (engineering validation, life-support maturity, radiation) rather than collision-based — is robust across copula family, correlation magnitude, scenario, and the full prior uncertainty range.</w:t>
            </w:r>
          </w:p>
        </w:tc>
      </w:tr>
      <w:tr w:rsidR="005B4399" w:rsidRPr="0003664A" w14:paraId="4B3BB2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57895982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ECLSS 270-day analogue validation and Starship engineering heritage flights would both reduce dominant LOC variance components and provide the first datasets enabling formal Bayesian posterior revision.</w:t>
            </w:r>
          </w:p>
        </w:tc>
      </w:tr>
      <w:tr w:rsidR="005B4399" w:rsidRPr="0003664A" w14:paraId="005F70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single" w:sz="2" w:space="0" w:color="1C2030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C4B5096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This framework is offered as a reproducible, transparent, and externally auditable starting point for independent technical discussion. The simulation code and CSV outputs are publicly available.</w:t>
            </w:r>
          </w:p>
        </w:tc>
      </w:tr>
    </w:tbl>
    <w:p w14:paraId="6864CDDB" w14:textId="77777777" w:rsidR="005B4399" w:rsidRPr="0003664A" w:rsidRDefault="005B4399">
      <w:pPr>
        <w:spacing w:after="160"/>
        <w:rPr>
          <w:lang w:val="en-US"/>
        </w:rPr>
      </w:pPr>
    </w:p>
    <w:p w14:paraId="7E3A431E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APPENDIX A — Prior Parameter Derivation</w:t>
      </w:r>
    </w:p>
    <w:p w14:paraId="1C2DC817" w14:textId="4C61C972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This appendix documents the </w:t>
      </w:r>
      <w:r w:rsidR="0003664A" w:rsidRPr="0003664A">
        <w:rPr>
          <w:rFonts w:ascii="Arial" w:eastAsia="Arial" w:hAnsi="Arial" w:cs="Arial"/>
          <w:color w:val="111111"/>
          <w:lang w:val="en-US"/>
        </w:rPr>
        <w:t>parameterization</w:t>
      </w:r>
      <w:r w:rsidRPr="0003664A">
        <w:rPr>
          <w:rFonts w:ascii="Arial" w:eastAsia="Arial" w:hAnsi="Arial" w:cs="Arial"/>
          <w:color w:val="111111"/>
          <w:lang w:val="en-US"/>
        </w:rPr>
        <w:t xml:space="preserve"> rationale for each prior distribution. All priors are based on expert elicitation from analogue data. None are empirically calibrated against Mars-class operational records.</w:t>
      </w:r>
    </w:p>
    <w:p w14:paraId="2361ED4E" w14:textId="77777777" w:rsidR="005B4399" w:rsidRPr="0003664A" w:rsidRDefault="005B4399">
      <w:pPr>
        <w:spacing w:after="80"/>
        <w:rPr>
          <w:lang w:val="en-US"/>
        </w:rPr>
      </w:pPr>
    </w:p>
    <w:p w14:paraId="7ED97FBB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A.1  Distribution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Choice Rationale</w:t>
      </w:r>
    </w:p>
    <w:p w14:paraId="79062430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Beta distribution (bounded [lo, hi]) is used for all risk factors except debris, because: (a) probabilities are bounded in [0,1]; (b) the Beta family accommodates both symmetric and skewed shapes via the α, β parameters; (c) mode and approximate range are the natural outputs of expert elicitation for bounded quantities.</w:t>
      </w:r>
    </w:p>
    <w:p w14:paraId="7BA73DFE" w14:textId="77777777" w:rsidR="005B4399" w:rsidRPr="0003664A" w:rsidRDefault="00000000">
      <w:pPr>
        <w:spacing w:before="60" w:after="60" w:line="288" w:lineRule="auto"/>
        <w:rPr>
          <w:lang w:val="en-US"/>
        </w:rPr>
      </w:pP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distribution is used for debris collision probability because: (a) the 4–10 cm debris regime in interplanetary space has never been directly measured; the distribution tail is genuinely unknown; (b) the ratio p95/median ≈ 75 spans multiple orders of magnitude, inconsistent with the bounded support of Beta; (c)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is the standard choice for failure rates with high epistemic uncertainty in nuclear and aerospace PRA [nrc2008].</w:t>
      </w:r>
    </w:p>
    <w:p w14:paraId="5A024384" w14:textId="0A4294C5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A.2  Beta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</w:t>
      </w:r>
      <w:r w:rsidR="0003664A"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Parameterization</w:t>
      </w:r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Method</w:t>
      </w:r>
    </w:p>
    <w:p w14:paraId="23E4FDBD" w14:textId="5D4EB8B9" w:rsidR="005B4399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Given mode m, lower bound lo, and upper bound hi (all in % units), the Beta(</w:t>
      </w:r>
      <w:proofErr w:type="spellStart"/>
      <w:proofErr w:type="gramStart"/>
      <w:r w:rsidRPr="0003664A">
        <w:rPr>
          <w:rFonts w:ascii="Arial" w:eastAsia="Arial" w:hAnsi="Arial" w:cs="Arial"/>
          <w:color w:val="111111"/>
          <w:lang w:val="en-US"/>
        </w:rPr>
        <w:t>a,b</w:t>
      </w:r>
      <w:proofErr w:type="spellEnd"/>
      <w:proofErr w:type="gramEnd"/>
      <w:r w:rsidRPr="0003664A">
        <w:rPr>
          <w:rFonts w:ascii="Arial" w:eastAsia="Arial" w:hAnsi="Arial" w:cs="Arial"/>
          <w:color w:val="111111"/>
          <w:lang w:val="en-US"/>
        </w:rPr>
        <w:t xml:space="preserve">) prior on the rescaled interval [lo/100, hi/100] is </w:t>
      </w:r>
      <w:r w:rsidR="0003664A" w:rsidRPr="0003664A">
        <w:rPr>
          <w:rFonts w:ascii="Arial" w:eastAsia="Arial" w:hAnsi="Arial" w:cs="Arial"/>
          <w:color w:val="111111"/>
          <w:lang w:val="en-US"/>
        </w:rPr>
        <w:t>parameterized</w:t>
      </w:r>
      <w:r w:rsidRPr="0003664A">
        <w:rPr>
          <w:rFonts w:ascii="Arial" w:eastAsia="Arial" w:hAnsi="Arial" w:cs="Arial"/>
          <w:color w:val="111111"/>
          <w:lang w:val="en-US"/>
        </w:rPr>
        <w:t xml:space="preserve"> as:</w:t>
      </w:r>
    </w:p>
    <w:p w14:paraId="27167F1A" w14:textId="77777777" w:rsidR="0003664A" w:rsidRPr="0003664A" w:rsidRDefault="0003664A">
      <w:pPr>
        <w:spacing w:before="60" w:after="60" w:line="288" w:lineRule="auto"/>
        <w:rPr>
          <w:lang w:val="en-US"/>
        </w:rPr>
      </w:pPr>
    </w:p>
    <w:p w14:paraId="22E70CE2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mode_scaled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= (m − lo) / (hi −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lo)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(A.1)</w:t>
      </w:r>
    </w:p>
    <w:p w14:paraId="14E6100C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a =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mode_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scaled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· 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C − 2) +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1,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b = C −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a,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C = 12 (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concentration)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(A.2)</w:t>
      </w:r>
    </w:p>
    <w:p w14:paraId="59025CF2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Concentration C=12 was selected to produce 90% credible intervals approximately matching the stated [lo, hi] bounds across all five factors. Sensitivity to C is discussed in the code (mars_pra_v93.py).</w:t>
      </w:r>
    </w:p>
    <w:p w14:paraId="4AB49FC8" w14:textId="77777777" w:rsidR="005B4399" w:rsidRPr="0003664A" w:rsidRDefault="005B4399">
      <w:pPr>
        <w:spacing w:after="80"/>
        <w:rPr>
          <w:lang w:val="en-US"/>
        </w:rPr>
      </w:pPr>
    </w:p>
    <w:p w14:paraId="0E629CC4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A.3  Factor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-by-Factor Derivation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871"/>
        <w:gridCol w:w="999"/>
        <w:gridCol w:w="996"/>
        <w:gridCol w:w="2770"/>
        <w:gridCol w:w="2930"/>
      </w:tblGrid>
      <w:tr w:rsidR="005B4399" w:rsidRPr="0003664A" w14:paraId="08DAD6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CE4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Factor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CFF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Mode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C2E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Lo (p≈5)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CEE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Hi (p≈95)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CD4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Primary Analogue Sources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410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Key Assumption</w:t>
            </w:r>
          </w:p>
        </w:tc>
      </w:tr>
      <w:tr w:rsidR="005B4399" w:rsidRPr="0003664A" w14:paraId="1901ED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897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Solar / radiation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B61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3.5%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3C5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1.0%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C71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15.0%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177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MARIE [Zeitlin 2004]; CRATER [Hassler 2013]; Cucinotta (2014) LD50 thresholds; Schwenn (2006) solar cycle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275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Basic shielding + solar min. Full GEANT4 model not available.</w:t>
            </w:r>
          </w:p>
        </w:tc>
      </w:tr>
      <w:tr w:rsidR="005B4399" w:rsidRPr="0003664A" w14:paraId="1E5F85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F5B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Engineering / propulsion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E24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4.5%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5B1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5C0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13.0%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FD6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Space Shuttle PRA (~1.5% mature); Apollo novel system (~5–8%); Fragola (1996); NASA PRA (2011)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9DE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Novel system, no deep-space Starship heritage.</w:t>
            </w:r>
          </w:p>
        </w:tc>
      </w:tr>
      <w:tr w:rsidR="005B4399" w:rsidRPr="0003664A" w14:paraId="7DC1FB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219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ECLSS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FA4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2.0%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D1D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0.5%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84A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9.0%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2EA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ISS ECLSS 90-day uptime &gt;95%; </w:t>
            </w: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MELiSSA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Phase IV [Hendrickx 2006]; Biosphere 2 O₂ closure failure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555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No 270-day closed-loop deep-space record. Upper bound is epistemic, not statistical.</w:t>
            </w:r>
          </w:p>
        </w:tc>
      </w:tr>
      <w:tr w:rsidR="005B4399" w:rsidRPr="0003664A" w14:paraId="21CAD8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B60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Human factors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759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0.8%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2BC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0.2%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F438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8.0%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BF0A" w14:textId="7844AF96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Mars-500 analogue (520-day isolation); Antarctic winter-over cohort; </w:t>
            </w:r>
            <w:r w:rsidR="0003664A"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optimized</w:t>
            </w: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selection lower bound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D36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Full 20-min comm delay and irreversibility not directly modelled in analogue data.</w:t>
            </w:r>
          </w:p>
        </w:tc>
      </w:tr>
      <w:tr w:rsidR="005B4399" w:rsidRPr="0003664A" w14:paraId="27C195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6F6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Debris (</w:t>
            </w: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LogNormal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500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median 0.024%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4B8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p5 ≈0.001%</w:t>
            </w:r>
          </w:p>
        </w:tc>
        <w:tc>
          <w:tcPr>
            <w:tcW w:w="10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062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p95 1.8%</w:t>
            </w:r>
          </w:p>
        </w:tc>
        <w:tc>
          <w:tcPr>
            <w:tcW w:w="2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434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Phase-space model central [v9.x Eq. 3.1–3.2]; Grün (1985) power-law for d&lt;1mm; Harris (2015) asteroid pop.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0CF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Gradient r⁻¹·⁵ validated d&lt;1mm only. Tail reflects genuine unknown.</w:t>
            </w:r>
          </w:p>
        </w:tc>
      </w:tr>
    </w:tbl>
    <w:p w14:paraId="4884C374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A.1 — Full prior derivation. All intervals are approximate 90% credible bounds based on analogue data, not statistical confidence intervals.</w:t>
      </w:r>
    </w:p>
    <w:p w14:paraId="284B11E5" w14:textId="77777777" w:rsidR="005B4399" w:rsidRPr="0003664A" w:rsidRDefault="005B4399">
      <w:pPr>
        <w:spacing w:after="160"/>
        <w:rPr>
          <w:lang w:val="en-US"/>
        </w:rPr>
      </w:pPr>
    </w:p>
    <w:p w14:paraId="62FA4AC4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APPENDIX B — Copula Structure and Sensitivity</w:t>
      </w:r>
    </w:p>
    <w:p w14:paraId="37133378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B.1  Why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a Copula?</w:t>
      </w:r>
    </w:p>
    <w:p w14:paraId="76AA5C81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The naive independent-failure assumption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P_total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= 1 − ∏(1−p_i) underestimates risk when failure modes share a common cause. Engineering reliability and ECLSS performance share a proximate common cause in this framework: both depend on systems that have not been validated for deep-space 270-day operation. A copula separates the marginal distributions (which are well-specified) from the dependence structure (which is uncertain), allowing transparent sensitivity analysis.</w:t>
      </w:r>
    </w:p>
    <w:p w14:paraId="00ABBFDF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B.2  Gaussian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Copula Construction</w:t>
      </w:r>
    </w:p>
    <w:p w14:paraId="57EC7CFE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Gaussian copula C_Σ with correlation matrix Σ is implemented via:</w:t>
      </w:r>
    </w:p>
    <w:p w14:paraId="2683F1D8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u_i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=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F_i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(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x_i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) →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z_i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= Φ⁻¹(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u_i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) → Z ∼ 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N(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0, Σ) → 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u_i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’ = Φ(</w:t>
      </w: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z_i</w:t>
      </w:r>
      <w:proofErr w:type="spellEnd"/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’)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(B.1)</w:t>
      </w:r>
    </w:p>
    <w:p w14:paraId="2EE1BB0B" w14:textId="77777777" w:rsidR="005B4399" w:rsidRDefault="00000000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In this framework, Σ is a 5×5 identity matrix with 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Σ[</w:t>
      </w:r>
      <w:proofErr w:type="spellStart"/>
      <w:proofErr w:type="gramEnd"/>
      <w:r w:rsidRPr="0003664A">
        <w:rPr>
          <w:rFonts w:ascii="Arial" w:eastAsia="Arial" w:hAnsi="Arial" w:cs="Arial"/>
          <w:color w:val="111111"/>
          <w:lang w:val="en-US"/>
        </w:rPr>
        <w:t>eng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,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eclss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] = 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Σ[</w:t>
      </w:r>
      <w:proofErr w:type="spellStart"/>
      <w:proofErr w:type="gramEnd"/>
      <w:r w:rsidRPr="0003664A">
        <w:rPr>
          <w:rFonts w:ascii="Arial" w:eastAsia="Arial" w:hAnsi="Arial" w:cs="Arial"/>
          <w:color w:val="111111"/>
          <w:lang w:val="en-US"/>
        </w:rPr>
        <w:t>eclss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,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eng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] = ρ = 0.30 (Scenario A). All other off-diagonal elements are zero (independence assumed). The rank correlation is implemented via an empirical CDF approach (see mars_pra_v93.py: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apply_gaussian_</w:t>
      </w:r>
      <w:proofErr w:type="gramStart"/>
      <w:r w:rsidRPr="0003664A">
        <w:rPr>
          <w:rFonts w:ascii="Arial" w:eastAsia="Arial" w:hAnsi="Arial" w:cs="Arial"/>
          <w:color w:val="111111"/>
          <w:lang w:val="en-US"/>
        </w:rPr>
        <w:t>copula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>(</w:t>
      </w:r>
      <w:proofErr w:type="gramEnd"/>
      <w:r w:rsidRPr="0003664A">
        <w:rPr>
          <w:rFonts w:ascii="Arial" w:eastAsia="Arial" w:hAnsi="Arial" w:cs="Arial"/>
          <w:color w:val="111111"/>
          <w:lang w:val="en-US"/>
        </w:rPr>
        <w:t>)).</w:t>
      </w:r>
    </w:p>
    <w:p w14:paraId="6FDCB0AF" w14:textId="77777777" w:rsidR="0003664A" w:rsidRDefault="0003664A">
      <w:pPr>
        <w:spacing w:before="60" w:after="60" w:line="288" w:lineRule="auto"/>
        <w:rPr>
          <w:rFonts w:ascii="Arial" w:eastAsia="Arial" w:hAnsi="Arial" w:cs="Arial"/>
          <w:color w:val="111111"/>
          <w:lang w:val="en-US"/>
        </w:rPr>
      </w:pPr>
    </w:p>
    <w:p w14:paraId="5AB52475" w14:textId="77777777" w:rsidR="0003664A" w:rsidRPr="0003664A" w:rsidRDefault="0003664A">
      <w:pPr>
        <w:spacing w:before="60" w:after="60" w:line="288" w:lineRule="auto"/>
        <w:rPr>
          <w:lang w:val="en-US"/>
        </w:rPr>
      </w:pPr>
    </w:p>
    <w:p w14:paraId="24D16B17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B.3  t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-Copula and Tail Dependence</w:t>
      </w:r>
    </w:p>
    <w:p w14:paraId="11061FE2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>The t-copula with ν degrees of freedom has non-zero upper-tail dependence coefficient:</w:t>
      </w:r>
    </w:p>
    <w:p w14:paraId="3301E25D" w14:textId="77777777" w:rsidR="005B4399" w:rsidRPr="0003664A" w:rsidRDefault="00000000">
      <w:pPr>
        <w:spacing w:before="100" w:after="100" w:line="276" w:lineRule="auto"/>
        <w:jc w:val="center"/>
        <w:rPr>
          <w:lang w:val="en-US"/>
        </w:rPr>
      </w:pPr>
      <w:proofErr w:type="spell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λ_U</w:t>
      </w:r>
      <w:proofErr w:type="spell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= 2 · t_{ν+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1}(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−√((ν+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1)(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>1−ρ)/(1+ρ)</w:t>
      </w:r>
      <w:proofErr w:type="gramStart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))   </w:t>
      </w:r>
      <w:proofErr w:type="gramEnd"/>
      <w:r w:rsidRPr="0003664A">
        <w:rPr>
          <w:rFonts w:ascii="Arial" w:eastAsia="Arial" w:hAnsi="Arial" w:cs="Arial"/>
          <w:i/>
          <w:iCs/>
          <w:color w:val="1C2030"/>
          <w:sz w:val="19"/>
          <w:szCs w:val="19"/>
          <w:lang w:val="en-US"/>
        </w:rPr>
        <w:t xml:space="preserve">  (B.2)</w:t>
      </w:r>
    </w:p>
    <w:p w14:paraId="6A55EBA4" w14:textId="77777777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For ρ=0.30, ν=4: </w:t>
      </w:r>
      <w:proofErr w:type="spellStart"/>
      <w:r w:rsidRPr="0003664A">
        <w:rPr>
          <w:rFonts w:ascii="Arial" w:eastAsia="Arial" w:hAnsi="Arial" w:cs="Arial"/>
          <w:color w:val="111111"/>
          <w:lang w:val="en-US"/>
        </w:rPr>
        <w:t>λ_U</w:t>
      </w:r>
      <w:proofErr w:type="spellEnd"/>
      <w:r w:rsidRPr="0003664A">
        <w:rPr>
          <w:rFonts w:ascii="Arial" w:eastAsia="Arial" w:hAnsi="Arial" w:cs="Arial"/>
          <w:color w:val="111111"/>
          <w:lang w:val="en-US"/>
        </w:rPr>
        <w:t xml:space="preserve"> ≈ 0.24. This means that in the joint tail, simultaneous extreme engineering and ECLSS failures are more likely under the t-copula than under the Gaussian. The sensitivity analysis in Section 5 shows this has negligible impact on p50 and less than 0.2 pp impact on p95, confirming robustness.</w:t>
      </w:r>
    </w:p>
    <w:p w14:paraId="7D3DD4F5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B.4  Sensitivity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Results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60"/>
        <w:gridCol w:w="1160"/>
        <w:gridCol w:w="1160"/>
        <w:gridCol w:w="1360"/>
        <w:gridCol w:w="1160"/>
        <w:gridCol w:w="1160"/>
      </w:tblGrid>
      <w:tr w:rsidR="005B4399" w:rsidRPr="0003664A" w14:paraId="27593C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A7C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Copula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336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0.0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88C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0.1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271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0.2</w:t>
            </w:r>
          </w:p>
        </w:tc>
        <w:tc>
          <w:tcPr>
            <w:tcW w:w="1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9EE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0.3 (base)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BC7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0.4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E69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ρ = 0.5</w:t>
            </w:r>
          </w:p>
        </w:tc>
      </w:tr>
      <w:tr w:rsidR="005B4399" w:rsidRPr="0003664A" w14:paraId="2D1F0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065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Gaussian — p50 LOC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E04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AF2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12.4%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0B9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12.3%</w:t>
            </w:r>
          </w:p>
        </w:tc>
        <w:tc>
          <w:tcPr>
            <w:tcW w:w="1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527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12.2%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5D3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12.1%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295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12.1%</w:t>
            </w:r>
          </w:p>
        </w:tc>
      </w:tr>
      <w:tr w:rsidR="005B4399" w:rsidRPr="0003664A" w14:paraId="0360B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D8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Gaussian — p95 LOC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6F2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097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418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627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2BF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17.2%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019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17.2%</w:t>
            </w:r>
          </w:p>
        </w:tc>
      </w:tr>
      <w:tr w:rsidR="005B4399" w:rsidRPr="0003664A" w14:paraId="6BFC1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5EE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t-copula ν=4 — p50 LOC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9DB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336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12.6%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9EB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150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FC9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420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12.5%</w:t>
            </w:r>
          </w:p>
        </w:tc>
      </w:tr>
      <w:tr w:rsidR="005B4399" w:rsidRPr="0003664A" w14:paraId="47020A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6DB7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t-copula ν=4 — p95 LOC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E8C3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4E2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8C7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3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21C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17.3%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9F24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17.4%</w:t>
            </w:r>
          </w:p>
        </w:tc>
        <w:tc>
          <w:tcPr>
            <w:tcW w:w="11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DA2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17.4%</w:t>
            </w:r>
          </w:p>
        </w:tc>
      </w:tr>
    </w:tbl>
    <w:p w14:paraId="3461E972" w14:textId="77777777" w:rsidR="005B4399" w:rsidRPr="0003664A" w:rsidRDefault="00000000">
      <w:pPr>
        <w:spacing w:before="40" w:after="80" w:line="276" w:lineRule="auto"/>
        <w:rPr>
          <w:lang w:val="en-US"/>
        </w:rPr>
      </w:pPr>
      <w:r w:rsidRPr="0003664A">
        <w:rPr>
          <w:rFonts w:ascii="Arial" w:eastAsia="Arial" w:hAnsi="Arial" w:cs="Arial"/>
          <w:i/>
          <w:iCs/>
          <w:color w:val="666666"/>
          <w:sz w:val="18"/>
          <w:szCs w:val="18"/>
          <w:lang w:val="en-US"/>
        </w:rPr>
        <w:t>Table B.1 — Copula sensitivity across ρ and copula family. Maximum variation in p50: 0.5 pp. Maximum variation in p95: 0.2 pp. The central estimate and policy implications are robust to the correlation assumption.</w:t>
      </w:r>
    </w:p>
    <w:p w14:paraId="2B458186" w14:textId="77777777" w:rsidR="005B4399" w:rsidRPr="0003664A" w:rsidRDefault="005B4399">
      <w:pPr>
        <w:spacing w:after="160"/>
        <w:rPr>
          <w:lang w:val="en-US"/>
        </w:rPr>
      </w:pPr>
    </w:p>
    <w:p w14:paraId="2486B39E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APPENDIX C — Simulation Pseudocode and Assumptions</w:t>
      </w:r>
    </w:p>
    <w:p w14:paraId="5EA5883E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C.1  Full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Pseudocode</w:t>
      </w:r>
    </w:p>
    <w:p w14:paraId="0F68962E" w14:textId="47298EDB" w:rsidR="005B4399" w:rsidRPr="0003664A" w:rsidRDefault="00000000">
      <w:pPr>
        <w:spacing w:before="60" w:after="60" w:line="288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lang w:val="en-US"/>
        </w:rPr>
        <w:t xml:space="preserve">The following pseudocode </w:t>
      </w:r>
      <w:r w:rsidR="0003664A" w:rsidRPr="0003664A">
        <w:rPr>
          <w:rFonts w:ascii="Arial" w:eastAsia="Arial" w:hAnsi="Arial" w:cs="Arial"/>
          <w:color w:val="111111"/>
          <w:lang w:val="en-US"/>
        </w:rPr>
        <w:t>summarizes</w:t>
      </w:r>
      <w:r w:rsidRPr="0003664A">
        <w:rPr>
          <w:rFonts w:ascii="Arial" w:eastAsia="Arial" w:hAnsi="Arial" w:cs="Arial"/>
          <w:color w:val="111111"/>
          <w:lang w:val="en-US"/>
        </w:rPr>
        <w:t xml:space="preserve"> the simulation. Full Python implementation available at the repository listed on the cover page.</w:t>
      </w:r>
    </w:p>
    <w:p w14:paraId="3A562C84" w14:textId="77777777" w:rsidR="005B4399" w:rsidRPr="0003664A" w:rsidRDefault="005B4399">
      <w:pPr>
        <w:spacing w:after="80"/>
        <w:rPr>
          <w:lang w:val="en-US"/>
        </w:rPr>
      </w:pPr>
    </w:p>
    <w:p w14:paraId="16F69A93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INPUTS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:  N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100,000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;  seed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42</w:t>
      </w:r>
    </w:p>
    <w:p w14:paraId="0D94ABFB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      Prior specifications (Appendix A)</w:t>
      </w:r>
    </w:p>
    <w:p w14:paraId="1B9686F7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      Copula: Gaussian,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rho_A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0.30,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rho_B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0.35</w:t>
      </w:r>
    </w:p>
    <w:p w14:paraId="78C46FD8" w14:textId="77777777" w:rsidR="005B4399" w:rsidRPr="0003664A" w:rsidRDefault="005B4399">
      <w:pPr>
        <w:spacing w:before="30" w:after="30"/>
        <w:ind w:left="360"/>
        <w:rPr>
          <w:lang w:val="en-US"/>
        </w:rPr>
      </w:pPr>
    </w:p>
    <w:p w14:paraId="2303A190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STEP 1 — Draw independent marginal samples</w:t>
      </w:r>
    </w:p>
    <w:p w14:paraId="5D59E0F6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solar   ~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Beta(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mode=3.5%, lo=1.0%, hi=15.0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%)  *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100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[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% units]</w:t>
      </w:r>
    </w:p>
    <w:p w14:paraId="5C181A6D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  ~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Beta(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mode=4.5%, lo=1.5%, hi=13.0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%)  *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100</w:t>
      </w:r>
    </w:p>
    <w:p w14:paraId="23BAB85E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eclss_0 ~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Beta(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mode=2.0%, lo=0.5%, hi=9.0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%)   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* 100</w:t>
      </w:r>
    </w:p>
    <w:p w14:paraId="4D3FAFC9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hf      ~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Beta(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mode=0.8%, lo=0.2%, hi=8.0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%)   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* 100</w:t>
      </w:r>
    </w:p>
    <w:p w14:paraId="1F47905B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debris  ~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</w:t>
      </w:r>
      <w:proofErr w:type="spellStart"/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LogNormal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median=0.024%, p95=1.8%)</w:t>
      </w:r>
    </w:p>
    <w:p w14:paraId="1779C0D6" w14:textId="77777777" w:rsidR="005B4399" w:rsidRPr="0003664A" w:rsidRDefault="005B4399">
      <w:pPr>
        <w:spacing w:before="30" w:after="30"/>
        <w:ind w:left="360"/>
        <w:rPr>
          <w:lang w:val="en-US"/>
        </w:rPr>
      </w:pPr>
    </w:p>
    <w:p w14:paraId="34E79A0D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STEP 2 — Apply Gaussian copula (Eng-ECLSS)</w:t>
      </w:r>
    </w:p>
    <w:p w14:paraId="340DA310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=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empirical_cdf_ranks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)</w:t>
      </w:r>
    </w:p>
    <w:p w14:paraId="0A357B73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u_ecl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=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empirical_cdf_ranks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(eclss_0)</w:t>
      </w:r>
    </w:p>
    <w:p w14:paraId="40CDAE10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=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Phi_inv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)</w:t>
      </w:r>
    </w:p>
    <w:p w14:paraId="2D9B7A00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z_ecl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=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Phi_inv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u_ecl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)</w:t>
      </w:r>
    </w:p>
    <w:p w14:paraId="40A411D7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z_ecl_c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rho*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z_eng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+ sqrt(1-rho^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2)*</w:t>
      </w:r>
      <w:proofErr w:type="spellStart"/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z_ecl</w:t>
      </w:r>
      <w:proofErr w:type="spellEnd"/>
    </w:p>
    <w:p w14:paraId="714D35A7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u_ecl_c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= Phi(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z_ecl_c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)</w:t>
      </w:r>
    </w:p>
    <w:p w14:paraId="3A102B9F" w14:textId="77777777" w:rsidR="005B4399" w:rsidRDefault="00000000">
      <w:pPr>
        <w:spacing w:before="30" w:after="30"/>
        <w:ind w:left="360"/>
        <w:rPr>
          <w:rFonts w:ascii="Arial" w:eastAsia="Arial" w:hAnsi="Arial" w:cs="Arial"/>
          <w:color w:val="334455"/>
          <w:sz w:val="18"/>
          <w:szCs w:val="18"/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eclss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=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quantile_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map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spellStart"/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u_ecl_c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, sorted(eclss_0))</w:t>
      </w:r>
    </w:p>
    <w:p w14:paraId="40F63E74" w14:textId="77777777" w:rsidR="0003664A" w:rsidRDefault="0003664A">
      <w:pPr>
        <w:spacing w:before="30" w:after="30"/>
        <w:ind w:left="360"/>
        <w:rPr>
          <w:rFonts w:ascii="Arial" w:eastAsia="Arial" w:hAnsi="Arial" w:cs="Arial"/>
          <w:color w:val="334455"/>
          <w:sz w:val="18"/>
          <w:szCs w:val="18"/>
          <w:lang w:val="en-US"/>
        </w:rPr>
      </w:pPr>
    </w:p>
    <w:p w14:paraId="7E99E80C" w14:textId="77777777" w:rsidR="0003664A" w:rsidRDefault="0003664A">
      <w:pPr>
        <w:spacing w:before="30" w:after="30"/>
        <w:ind w:left="360"/>
        <w:rPr>
          <w:rFonts w:ascii="Arial" w:eastAsia="Arial" w:hAnsi="Arial" w:cs="Arial"/>
          <w:color w:val="334455"/>
          <w:sz w:val="18"/>
          <w:szCs w:val="18"/>
          <w:lang w:val="en-US"/>
        </w:rPr>
      </w:pPr>
    </w:p>
    <w:p w14:paraId="3D7FD160" w14:textId="77777777" w:rsidR="0003664A" w:rsidRPr="0003664A" w:rsidRDefault="0003664A">
      <w:pPr>
        <w:spacing w:before="30" w:after="30"/>
        <w:ind w:left="360"/>
        <w:rPr>
          <w:lang w:val="en-US"/>
        </w:rPr>
      </w:pPr>
    </w:p>
    <w:p w14:paraId="19665898" w14:textId="77777777" w:rsidR="005B4399" w:rsidRPr="0003664A" w:rsidRDefault="005B4399">
      <w:pPr>
        <w:spacing w:before="30" w:after="30"/>
        <w:ind w:left="360"/>
        <w:rPr>
          <w:lang w:val="en-US"/>
        </w:rPr>
      </w:pPr>
    </w:p>
    <w:p w14:paraId="06616CEE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STEP 3 — Total LOC</w:t>
      </w:r>
    </w:p>
    <w:p w14:paraId="629C924B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loc[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 = 1 - (1-solar[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]/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100)*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(1-eng[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]/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100)*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(1-eclss[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]/100)</w:t>
      </w:r>
    </w:p>
    <w:p w14:paraId="2BA52B0D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           *(1-hf[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]/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100)*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(1-debris[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i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]/100)</w:t>
      </w:r>
    </w:p>
    <w:p w14:paraId="7A716976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loc = loc * 100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[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% units]</w:t>
      </w:r>
    </w:p>
    <w:p w14:paraId="6BE7C89A" w14:textId="77777777" w:rsidR="005B4399" w:rsidRPr="0003664A" w:rsidRDefault="005B4399">
      <w:pPr>
        <w:spacing w:before="30" w:after="30"/>
        <w:ind w:left="360"/>
        <w:rPr>
          <w:lang w:val="en-US"/>
        </w:rPr>
      </w:pPr>
    </w:p>
    <w:p w14:paraId="3607BC26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STEP 4 — Outputs</w:t>
      </w:r>
    </w:p>
    <w:p w14:paraId="61C9CF8D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percentiles(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loc, [5,25,50,75,95])</w:t>
      </w:r>
    </w:p>
    <w:p w14:paraId="162C3495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</w:t>
      </w:r>
      <w:proofErr w:type="spell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variance_share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[k] = </w:t>
      </w:r>
      <w:proofErr w:type="spellStart"/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corr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(</w:t>
      </w:r>
      <w:proofErr w:type="spellStart"/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factor_k</w:t>
      </w:r>
      <w:proofErr w:type="spell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, </w:t>
      </w:r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loc)^</w:t>
      </w:r>
      <w:proofErr w:type="gramEnd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2 / sum(corr^2)</w:t>
      </w:r>
    </w:p>
    <w:p w14:paraId="38EA023C" w14:textId="77777777" w:rsidR="005B4399" w:rsidRPr="0003664A" w:rsidRDefault="00000000">
      <w:pPr>
        <w:spacing w:before="30" w:after="30"/>
        <w:ind w:left="360"/>
        <w:rPr>
          <w:lang w:val="en-US"/>
        </w:rPr>
      </w:pPr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 xml:space="preserve">   export: samples.csv, </w:t>
      </w:r>
      <w:proofErr w:type="spellStart"/>
      <w:proofErr w:type="gramStart"/>
      <w:r w:rsidRPr="0003664A">
        <w:rPr>
          <w:rFonts w:ascii="Arial" w:eastAsia="Arial" w:hAnsi="Arial" w:cs="Arial"/>
          <w:color w:val="334455"/>
          <w:sz w:val="18"/>
          <w:szCs w:val="18"/>
          <w:lang w:val="en-US"/>
        </w:rPr>
        <w:t>summary.json</w:t>
      </w:r>
      <w:proofErr w:type="spellEnd"/>
      <w:proofErr w:type="gramEnd"/>
    </w:p>
    <w:p w14:paraId="046483EE" w14:textId="77777777" w:rsidR="005B4399" w:rsidRPr="0003664A" w:rsidRDefault="005B4399">
      <w:pPr>
        <w:spacing w:after="120"/>
        <w:rPr>
          <w:lang w:val="en-US"/>
        </w:rPr>
      </w:pPr>
    </w:p>
    <w:p w14:paraId="1F25E38E" w14:textId="77777777" w:rsidR="005B4399" w:rsidRPr="0003664A" w:rsidRDefault="00000000">
      <w:pPr>
        <w:spacing w:before="280" w:after="80" w:line="276" w:lineRule="auto"/>
        <w:rPr>
          <w:lang w:val="en-US"/>
        </w:rPr>
      </w:pPr>
      <w:proofErr w:type="gramStart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>C.2  Key</w:t>
      </w:r>
      <w:proofErr w:type="gramEnd"/>
      <w:r w:rsidRPr="0003664A">
        <w:rPr>
          <w:rFonts w:ascii="Arial" w:eastAsia="Arial" w:hAnsi="Arial" w:cs="Arial"/>
          <w:b/>
          <w:bCs/>
          <w:color w:val="1C2030"/>
          <w:sz w:val="23"/>
          <w:szCs w:val="23"/>
          <w:lang w:val="en-US"/>
        </w:rPr>
        <w:t xml:space="preserve"> Assumptions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2960"/>
      </w:tblGrid>
      <w:tr w:rsidR="005B4399" w:rsidRPr="0003664A" w14:paraId="681AA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8ADE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Assumption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16A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Value / Rationale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1C20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D53F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Sensitivity</w:t>
            </w:r>
          </w:p>
        </w:tc>
      </w:tr>
      <w:tr w:rsidR="005B4399" w:rsidRPr="0003664A" w14:paraId="2ED40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54E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Independence structure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CFD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All pairs independent except Eng–ECLSS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9EF0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Tested: ρ=0.0–0.5, Gaussian and t-copula; robust</w:t>
            </w:r>
          </w:p>
        </w:tc>
      </w:tr>
      <w:tr w:rsidR="005B4399" w:rsidRPr="0003664A" w14:paraId="5387E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1F92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Beta concentration C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F35A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12.0 (all Beta priors)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949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Higher C → narrower prior; lower C → wider. C=8–16 changes p95 by ~1–2pp.</w:t>
            </w:r>
          </w:p>
        </w:tc>
      </w:tr>
      <w:tr w:rsidR="005B4399" w:rsidRPr="0003664A" w14:paraId="338D5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48C" w14:textId="77777777" w:rsidR="005B4399" w:rsidRPr="0003664A" w:rsidRDefault="00000000">
            <w:pPr>
              <w:rPr>
                <w:lang w:val="en-US"/>
              </w:rPr>
            </w:pPr>
            <w:proofErr w:type="spell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LogNormal</w:t>
            </w:r>
            <w:proofErr w:type="spell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 xml:space="preserve"> tail (debris)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56FB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p95 = 1.8% (phase-space upper bound)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B6E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If p95 = 0.5%, debris variance share ~3%. Central estimate unchanged.</w:t>
            </w:r>
          </w:p>
        </w:tc>
      </w:tr>
      <w:tr w:rsidR="005B4399" w:rsidRPr="0003664A" w14:paraId="50E8C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73ED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LOC formula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29A9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Independent product P=1−∏(1−p_i)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F4B6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Conservative: no interaction effects between failure modes (no cascades).</w:t>
            </w:r>
          </w:p>
        </w:tc>
      </w:tr>
      <w:tr w:rsidR="005B4399" w:rsidRPr="0003664A" w14:paraId="3352ED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311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N samples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06E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100,000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DE4C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Monte Carlo error on p95: ~±0.1pp at N=100k. Stable.</w:t>
            </w:r>
          </w:p>
        </w:tc>
      </w:tr>
      <w:tr w:rsidR="005B4399" w:rsidRPr="0003664A" w14:paraId="41F32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D34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Correlation (Eng–ECLSS)</w:t>
            </w:r>
          </w:p>
        </w:tc>
        <w:tc>
          <w:tcPr>
            <w:tcW w:w="380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0CA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0.30 (Sc A), 0.35 (Sc B)</w:t>
            </w:r>
          </w:p>
        </w:tc>
        <w:tc>
          <w:tcPr>
            <w:tcW w:w="2960" w:type="dxa"/>
            <w:tcBorders>
              <w:top w:val="single" w:sz="2" w:space="0" w:color="CDD4E0"/>
              <w:left w:val="single" w:sz="2" w:space="0" w:color="CDD4E0"/>
              <w:bottom w:val="single" w:sz="2" w:space="0" w:color="CDD4E0"/>
              <w:right w:val="single" w:sz="2" w:space="0" w:color="CDD4E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2FD1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p50 varies &lt;0.5pp across ρ</w:t>
            </w:r>
            <w:proofErr w:type="gramStart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∈[</w:t>
            </w:r>
            <w:proofErr w:type="gramEnd"/>
            <w:r w:rsidRPr="0003664A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  <w:lang w:val="en-US"/>
              </w:rPr>
              <w:t>0,0.5]. See Appendix B.</w:t>
            </w:r>
          </w:p>
        </w:tc>
      </w:tr>
    </w:tbl>
    <w:p w14:paraId="286BBD07" w14:textId="77777777" w:rsidR="005B4399" w:rsidRPr="0003664A" w:rsidRDefault="005B4399">
      <w:pPr>
        <w:spacing w:after="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B4399" w:rsidRPr="0003664A" w14:paraId="479229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C2030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D0DAEA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483F8305" w14:textId="77777777" w:rsidR="005B4399" w:rsidRPr="0003664A" w:rsidRDefault="00000000">
            <w:pPr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9"/>
                <w:szCs w:val="19"/>
                <w:lang w:val="en-US"/>
              </w:rPr>
              <w:t>REPRODUCIBILITY</w:t>
            </w:r>
          </w:p>
        </w:tc>
      </w:tr>
      <w:tr w:rsidR="005B4399" w:rsidRPr="0003664A" w14:paraId="0D05E7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D533ADC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Full simulation code: mars_pra_v93.py (Python 3.10+, dependencies: </w:t>
            </w:r>
            <w:proofErr w:type="spell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numpy</w:t>
            </w:r>
            <w:proofErr w:type="spell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scipy</w:t>
            </w:r>
            <w:proofErr w:type="spell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, matplotlib).</w:t>
            </w:r>
          </w:p>
        </w:tc>
      </w:tr>
      <w:tr w:rsidR="005B4399" w:rsidRPr="0003664A" w14:paraId="1A328B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367DFBD2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Run: python mars_pra_v93.py --seed 42 --n 100000 --</w:t>
            </w:r>
            <w:proofErr w:type="gram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out .</w:t>
            </w:r>
            <w:proofErr w:type="gram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/output/</w:t>
            </w:r>
          </w:p>
        </w:tc>
      </w:tr>
      <w:tr w:rsidR="005B4399" w:rsidRPr="0003664A" w14:paraId="664BBA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none" w:sz="0" w:space="0" w:color="FFFFFF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2011CF55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Outputs: mars_pra_v93_samples.csv (100k rows × 12 columns), mars_pra_v93_</w:t>
            </w:r>
            <w:proofErr w:type="gram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summary.json</w:t>
            </w:r>
            <w:proofErr w:type="gram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copula_</w:t>
            </w:r>
            <w:proofErr w:type="gramStart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sensitivity.json</w:t>
            </w:r>
            <w:proofErr w:type="spellEnd"/>
            <w:proofErr w:type="gramEnd"/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.</w:t>
            </w:r>
          </w:p>
        </w:tc>
      </w:tr>
      <w:tr w:rsidR="005B4399" w:rsidRPr="0003664A" w14:paraId="1A54BD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8" w:space="0" w:color="1C2030"/>
              <w:bottom w:val="single" w:sz="2" w:space="0" w:color="1C2030"/>
              <w:right w:val="single" w:sz="2" w:space="0" w:color="CDD4E0"/>
            </w:tcBorders>
            <w:shd w:val="clear" w:color="auto" w:fill="EEF2FA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0230846B" w14:textId="77777777" w:rsidR="005B4399" w:rsidRPr="0003664A" w:rsidRDefault="00000000">
            <w:pPr>
              <w:spacing w:line="260" w:lineRule="auto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color w:val="111111"/>
                <w:sz w:val="18"/>
                <w:szCs w:val="18"/>
                <w:lang w:val="en-US"/>
              </w:rPr>
              <w:t>All figures in this memorandum are reproducible from the CSV outputs using the plotting functions in the same script.</w:t>
            </w:r>
          </w:p>
        </w:tc>
      </w:tr>
    </w:tbl>
    <w:p w14:paraId="3FE6C205" w14:textId="77777777" w:rsidR="005B4399" w:rsidRPr="0003664A" w:rsidRDefault="005B4399">
      <w:pPr>
        <w:spacing w:after="160"/>
        <w:rPr>
          <w:lang w:val="en-US"/>
        </w:rPr>
      </w:pPr>
    </w:p>
    <w:p w14:paraId="12AE202C" w14:textId="77777777" w:rsidR="005B4399" w:rsidRPr="0003664A" w:rsidRDefault="00000000">
      <w:pPr>
        <w:pBdr>
          <w:bottom w:val="single" w:sz="14" w:space="4" w:color="C8A86C"/>
        </w:pBdr>
        <w:spacing w:before="400" w:after="140" w:line="276" w:lineRule="auto"/>
        <w:rPr>
          <w:lang w:val="en-US"/>
        </w:rPr>
      </w:pPr>
      <w:r w:rsidRPr="0003664A">
        <w:rPr>
          <w:rFonts w:ascii="Arial" w:eastAsia="Arial" w:hAnsi="Arial" w:cs="Arial"/>
          <w:b/>
          <w:bCs/>
          <w:color w:val="1C2030"/>
          <w:sz w:val="28"/>
          <w:szCs w:val="28"/>
          <w:lang w:val="en-US"/>
        </w:rPr>
        <w:t>REFERENCES</w:t>
      </w:r>
    </w:p>
    <w:p w14:paraId="3D14F01B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[christiansen2009] Christiansen, E.L. (2009). Meteoroid/Debris Shielding. NASA/TP-2009-214785. Johnson Space Center.</w:t>
      </w:r>
    </w:p>
    <w:p w14:paraId="674C1785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[cucinotta2014] Cucinotta, F.A. (2014). Space radiation risks for astronauts on multiple ISS missions. PLOS ONE, 9(4), e93832.</w:t>
      </w:r>
    </w:p>
    <w:p w14:paraId="6D2F2FBE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[drolshagen2008] Drolshagen, G., et al. (2008). Hypervelocity impact database from ESA’s DEBIE sensor on the ISS. Advances in Space Research, 41(7), 1123–1129.</w:t>
      </w:r>
    </w:p>
    <w:p w14:paraId="4647717A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[fechtig1981] Fechtig, H., et al. (1981). Historical perspectives on meteoroids, meteors, and interplanetary dust. In: Cosmic Dust (ed. McDonnell). Wiley, pp. 607–669.</w:t>
      </w:r>
    </w:p>
    <w:p w14:paraId="3DD92D10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[fragola1996] Fragola, J.R., Maggio, G., &amp; Collins, E.P. (1996). Reliability and safety analysis of the International Space Station. Probabilistic Safety Assessment and Management. Springer, pp. 285–290.</w:t>
      </w:r>
    </w:p>
    <w:p w14:paraId="4FA28D30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[grun1985] Grün, E., et al. (1985). Collisional balance of the meteoritic complex. Icarus, 62(2), 244–272.</w:t>
      </w:r>
    </w:p>
    <w:p w14:paraId="2A0F4421" w14:textId="77777777" w:rsidR="005B4399" w:rsidRDefault="00000000">
      <w:pPr>
        <w:spacing w:before="40" w:after="40" w:line="260" w:lineRule="auto"/>
        <w:rPr>
          <w:rFonts w:ascii="Arial" w:eastAsia="Arial" w:hAnsi="Arial" w:cs="Arial"/>
          <w:color w:val="111111"/>
          <w:sz w:val="18"/>
          <w:szCs w:val="18"/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 xml:space="preserve">[harris2015] Harris, A.W. &amp; </w:t>
      </w:r>
      <w:proofErr w:type="spellStart"/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D’Abramo</w:t>
      </w:r>
      <w:proofErr w:type="spellEnd"/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, G. (2015). The population of near-Earth asteroids. Icarus, 257, 56–67.</w:t>
      </w:r>
    </w:p>
    <w:p w14:paraId="03C05F94" w14:textId="77777777" w:rsidR="00ED1B6E" w:rsidRDefault="00ED1B6E">
      <w:pPr>
        <w:spacing w:before="40" w:after="40" w:line="260" w:lineRule="auto"/>
        <w:rPr>
          <w:rFonts w:ascii="Arial" w:eastAsia="Arial" w:hAnsi="Arial" w:cs="Arial"/>
          <w:color w:val="111111"/>
          <w:sz w:val="18"/>
          <w:szCs w:val="18"/>
          <w:lang w:val="en-US"/>
        </w:rPr>
      </w:pPr>
    </w:p>
    <w:p w14:paraId="7E1047C9" w14:textId="77777777" w:rsidR="00ED1B6E" w:rsidRPr="0003664A" w:rsidRDefault="00ED1B6E">
      <w:pPr>
        <w:spacing w:before="40" w:after="40" w:line="260" w:lineRule="auto"/>
        <w:rPr>
          <w:lang w:val="en-US"/>
        </w:rPr>
      </w:pPr>
    </w:p>
    <w:p w14:paraId="26B569BA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[hassler2013] Hassler, D.M., et al. (2013). Mars’ surface radiation environment measured with the MSL Curiosity rover. Science, 343(6169), 1244797.</w:t>
      </w:r>
    </w:p>
    <w:p w14:paraId="18A5BFD7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 xml:space="preserve">[hendrickx2006] Hendrickx, L., et al. (2006). Microbial ecology of the closed artificial ecosystem </w:t>
      </w:r>
      <w:proofErr w:type="spellStart"/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MELiSSA</w:t>
      </w:r>
      <w:proofErr w:type="spellEnd"/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. Research in Microbiology, 157(1), 77–86.</w:t>
      </w:r>
    </w:p>
    <w:p w14:paraId="29BD6895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[knight1921] Knight, F.H. (1921). Risk, Uncertainty, and Profit. Houghton Mifflin.</w:t>
      </w:r>
    </w:p>
    <w:p w14:paraId="6261EEEC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[nasa2023debris] NASA (2023). Orbital Debris Quarterly News, 27(3). Johnson Space Center.</w:t>
      </w:r>
    </w:p>
    <w:p w14:paraId="6217C8EC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[nasa_pra2011] NASA (2011). ISS Probabilistic Risk Assessment Overview. NASA/TM-2011-216468. JSC Houston.</w:t>
      </w:r>
    </w:p>
    <w:p w14:paraId="4583E2DF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[nelsen2006] Nelsen, R.B. (2006). An Introduction to Copulas (2nd ed.). Springer. ISBN 978-0-387-28659-4.</w:t>
      </w:r>
    </w:p>
    <w:p w14:paraId="6FA35662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[nrc2008] National Research Council (2008). Managing Space Radiation Risk in the New Era of Space Exploration. National Academies Press. doi:10.17226/12045.</w:t>
      </w:r>
    </w:p>
    <w:p w14:paraId="6835D17B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[opik1951] Öpik, E.J. (1951). Collision probabilities with the planets. Proc. Royal Irish Academy, 54A, 165–199.</w:t>
      </w:r>
    </w:p>
    <w:p w14:paraId="73B23A77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[schwenn2006] Schwenn, R. (2006). Space Weather: The Solar Perspective. Living Reviews in Solar Physics, 3(1).</w:t>
      </w:r>
    </w:p>
    <w:p w14:paraId="1779DED2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[taleb2007] Taleb, N.N. (2007). The Black Swan: The Impact of the Highly Improbable. Random House.</w:t>
      </w:r>
    </w:p>
    <w:p w14:paraId="3965CDDF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[wetherill1967] Wetherill, G.W. (1967). Collisions in the asteroid belt. Journal of Geophysical Research, 72(9), 2429–2444.</w:t>
      </w:r>
    </w:p>
    <w:p w14:paraId="1197A49A" w14:textId="77777777" w:rsidR="005B4399" w:rsidRPr="0003664A" w:rsidRDefault="00000000">
      <w:pPr>
        <w:spacing w:before="40" w:after="40" w:line="260" w:lineRule="auto"/>
        <w:rPr>
          <w:lang w:val="en-US"/>
        </w:rPr>
      </w:pPr>
      <w:r w:rsidRPr="0003664A">
        <w:rPr>
          <w:rFonts w:ascii="Arial" w:eastAsia="Arial" w:hAnsi="Arial" w:cs="Arial"/>
          <w:color w:val="111111"/>
          <w:sz w:val="18"/>
          <w:szCs w:val="18"/>
          <w:lang w:val="en-US"/>
        </w:rPr>
        <w:t>[zeitlin2004] Zeitlin, C., et al. (2004). Energetic particle radiation in deep space: results from MARIE. Science, 305, 1080–1083.</w:t>
      </w:r>
    </w:p>
    <w:p w14:paraId="01927174" w14:textId="77777777" w:rsidR="005B4399" w:rsidRPr="0003664A" w:rsidRDefault="005B4399">
      <w:pPr>
        <w:spacing w:after="2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399" w:rsidRPr="0003664A" w14:paraId="691D8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2" w:color="C8A86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6A1729E2" w14:textId="77777777" w:rsidR="005B4399" w:rsidRPr="0003664A" w:rsidRDefault="00000000">
            <w:pPr>
              <w:spacing w:after="40"/>
              <w:jc w:val="center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b/>
                <w:bCs/>
                <w:color w:val="1C2030"/>
                <w:sz w:val="18"/>
                <w:szCs w:val="18"/>
                <w:lang w:val="en-US"/>
              </w:rPr>
              <w:t xml:space="preserve">Quantix Analytics </w:t>
            </w:r>
            <w:proofErr w:type="gramStart"/>
            <w:r w:rsidRPr="0003664A">
              <w:rPr>
                <w:rFonts w:ascii="Arial" w:eastAsia="Arial" w:hAnsi="Arial" w:cs="Arial"/>
                <w:b/>
                <w:bCs/>
                <w:color w:val="1C2030"/>
                <w:sz w:val="18"/>
                <w:szCs w:val="18"/>
                <w:lang w:val="en-US"/>
              </w:rPr>
              <w:t>Consulting  ·</w:t>
            </w:r>
            <w:proofErr w:type="gramEnd"/>
            <w:r w:rsidRPr="0003664A">
              <w:rPr>
                <w:rFonts w:ascii="Arial" w:eastAsia="Arial" w:hAnsi="Arial" w:cs="Arial"/>
                <w:b/>
                <w:bCs/>
                <w:color w:val="1C2030"/>
                <w:sz w:val="18"/>
                <w:szCs w:val="18"/>
                <w:lang w:val="en-US"/>
              </w:rPr>
              <w:t xml:space="preserve">  quantixac.com</w:t>
            </w:r>
          </w:p>
          <w:p w14:paraId="15AEAC88" w14:textId="77777777" w:rsidR="005B4399" w:rsidRPr="0003664A" w:rsidRDefault="00000000">
            <w:pPr>
              <w:jc w:val="center"/>
              <w:rPr>
                <w:lang w:val="en-US"/>
              </w:rPr>
            </w:pPr>
            <w:r w:rsidRPr="0003664A">
              <w:rPr>
                <w:rFonts w:ascii="Arial" w:eastAsia="Arial" w:hAnsi="Arial" w:cs="Arial"/>
                <w:i/>
                <w:iCs/>
                <w:color w:val="A07840"/>
                <w:sz w:val="16"/>
                <w:szCs w:val="16"/>
                <w:lang w:val="en-US"/>
              </w:rPr>
              <w:t xml:space="preserve">Mars Mission Risk </w:t>
            </w:r>
            <w:proofErr w:type="gramStart"/>
            <w:r w:rsidRPr="0003664A">
              <w:rPr>
                <w:rFonts w:ascii="Arial" w:eastAsia="Arial" w:hAnsi="Arial" w:cs="Arial"/>
                <w:i/>
                <w:iCs/>
                <w:color w:val="A07840"/>
                <w:sz w:val="16"/>
                <w:szCs w:val="16"/>
                <w:lang w:val="en-US"/>
              </w:rPr>
              <w:t>Assessment  ·</w:t>
            </w:r>
            <w:proofErr w:type="gramEnd"/>
            <w:r w:rsidRPr="0003664A">
              <w:rPr>
                <w:rFonts w:ascii="Arial" w:eastAsia="Arial" w:hAnsi="Arial" w:cs="Arial"/>
                <w:i/>
                <w:iCs/>
                <w:color w:val="A07840"/>
                <w:sz w:val="16"/>
                <w:szCs w:val="16"/>
                <w:lang w:val="en-US"/>
              </w:rPr>
              <w:t xml:space="preserve">  </w:t>
            </w:r>
            <w:proofErr w:type="gramStart"/>
            <w:r w:rsidRPr="0003664A">
              <w:rPr>
                <w:rFonts w:ascii="Arial" w:eastAsia="Arial" w:hAnsi="Arial" w:cs="Arial"/>
                <w:i/>
                <w:iCs/>
                <w:color w:val="A07840"/>
                <w:sz w:val="16"/>
                <w:szCs w:val="16"/>
                <w:lang w:val="en-US"/>
              </w:rPr>
              <w:t>v9.3  ·</w:t>
            </w:r>
            <w:proofErr w:type="gramEnd"/>
            <w:r w:rsidRPr="0003664A">
              <w:rPr>
                <w:rFonts w:ascii="Arial" w:eastAsia="Arial" w:hAnsi="Arial" w:cs="Arial"/>
                <w:i/>
                <w:iCs/>
                <w:color w:val="A07840"/>
                <w:sz w:val="16"/>
                <w:szCs w:val="16"/>
                <w:lang w:val="en-US"/>
              </w:rPr>
              <w:t xml:space="preserve">  May 2026</w:t>
            </w:r>
          </w:p>
        </w:tc>
      </w:tr>
    </w:tbl>
    <w:p w14:paraId="2D888892" w14:textId="77777777" w:rsidR="004E1ED2" w:rsidRPr="0003664A" w:rsidRDefault="004E1ED2">
      <w:pPr>
        <w:rPr>
          <w:lang w:val="en-US"/>
        </w:rPr>
      </w:pPr>
    </w:p>
    <w:sectPr w:rsidR="004E1ED2" w:rsidRPr="0003664A">
      <w:headerReference w:type="default" r:id="rId16"/>
      <w:footerReference w:type="default" r:id="rId1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FF2B" w14:textId="77777777" w:rsidR="004E1ED2" w:rsidRDefault="004E1ED2">
      <w:r>
        <w:separator/>
      </w:r>
    </w:p>
  </w:endnote>
  <w:endnote w:type="continuationSeparator" w:id="0">
    <w:p w14:paraId="0E8F6A88" w14:textId="77777777" w:rsidR="004E1ED2" w:rsidRDefault="004E1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160"/>
    </w:tblGrid>
    <w:tr w:rsidR="005B4399" w14:paraId="0819E16D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single" w:sz="2" w:space="0" w:color="CDD4E0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0" w:type="dxa"/>
            <w:right w:w="0" w:type="dxa"/>
          </w:tcMar>
        </w:tcPr>
        <w:p w14:paraId="32507438" w14:textId="77777777" w:rsidR="005B4399" w:rsidRPr="00EC5566" w:rsidRDefault="00000000">
          <w:pPr>
            <w:rPr>
              <w:lang w:val="en-US"/>
            </w:rPr>
          </w:pPr>
          <w:r w:rsidRPr="00EC5566">
            <w:rPr>
              <w:rFonts w:ascii="Arial" w:eastAsia="Arial" w:hAnsi="Arial" w:cs="Arial"/>
              <w:color w:val="666666"/>
              <w:sz w:val="14"/>
              <w:szCs w:val="14"/>
              <w:lang w:val="en-US"/>
            </w:rPr>
            <w:t>quantixac.com  ·  Patrick Jauslin  ·  May 2026</w:t>
          </w:r>
        </w:p>
      </w:tc>
      <w:tc>
        <w:tcPr>
          <w:tcW w:w="2160" w:type="dxa"/>
          <w:tcBorders>
            <w:top w:val="single" w:sz="2" w:space="0" w:color="CDD4E0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0" w:type="dxa"/>
            <w:right w:w="0" w:type="dxa"/>
          </w:tcMar>
        </w:tcPr>
        <w:p w14:paraId="53874975" w14:textId="77777777" w:rsidR="005B4399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4"/>
              <w:szCs w:val="14"/>
            </w:rPr>
            <w:t xml:space="preserve">Page </w:t>
          </w:r>
          <w:r>
            <w:rPr>
              <w:rFonts w:ascii="Arial" w:eastAsia="Arial" w:hAnsi="Arial" w:cs="Arial"/>
              <w:color w:val="1C203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1C203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1C2030"/>
              <w:sz w:val="14"/>
              <w:szCs w:val="14"/>
            </w:rPr>
            <w:fldChar w:fldCharType="separate"/>
          </w:r>
          <w:r w:rsidR="00EC5566">
            <w:rPr>
              <w:rFonts w:ascii="Arial" w:eastAsia="Arial" w:hAnsi="Arial" w:cs="Arial"/>
              <w:noProof/>
              <w:color w:val="1C203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1C2030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D70F" w14:textId="77777777" w:rsidR="004E1ED2" w:rsidRDefault="004E1ED2">
      <w:r>
        <w:separator/>
      </w:r>
    </w:p>
  </w:footnote>
  <w:footnote w:type="continuationSeparator" w:id="0">
    <w:p w14:paraId="29A4AC5F" w14:textId="77777777" w:rsidR="004E1ED2" w:rsidRDefault="004E1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0"/>
      <w:gridCol w:w="3160"/>
    </w:tblGrid>
    <w:tr w:rsidR="005B4399" w14:paraId="2AB7C4C5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single" w:sz="8" w:space="0" w:color="1C2030"/>
            <w:right w:val="none" w:sz="0" w:space="0" w:color="FFFFFF"/>
          </w:tcBorders>
          <w:shd w:val="clear" w:color="auto" w:fill="FFFFFF"/>
          <w:tcMar>
            <w:top w:w="0" w:type="dxa"/>
            <w:left w:w="0" w:type="dxa"/>
            <w:bottom w:w="80" w:type="dxa"/>
            <w:right w:w="0" w:type="dxa"/>
          </w:tcMar>
        </w:tcPr>
        <w:p w14:paraId="39E7D2F7" w14:textId="77777777" w:rsidR="005B4399" w:rsidRDefault="00000000">
          <w:r>
            <w:rPr>
              <w:rFonts w:ascii="Arial" w:eastAsia="Arial" w:hAnsi="Arial" w:cs="Arial"/>
              <w:color w:val="1C2030"/>
              <w:sz w:val="16"/>
              <w:szCs w:val="16"/>
            </w:rPr>
            <w:t>Mars Mission Risk Assessment — v9.3</w:t>
          </w:r>
        </w:p>
      </w:tc>
      <w:tc>
        <w:tcPr>
          <w:tcW w:w="3160" w:type="dxa"/>
          <w:tcBorders>
            <w:top w:val="none" w:sz="0" w:space="0" w:color="FFFFFF"/>
            <w:left w:val="none" w:sz="0" w:space="0" w:color="FFFFFF"/>
            <w:bottom w:val="single" w:sz="8" w:space="0" w:color="C8A86C"/>
            <w:right w:val="none" w:sz="0" w:space="0" w:color="FFFFFF"/>
          </w:tcBorders>
          <w:shd w:val="clear" w:color="auto" w:fill="FFFFFF"/>
          <w:tcMar>
            <w:top w:w="0" w:type="dxa"/>
            <w:left w:w="0" w:type="dxa"/>
            <w:bottom w:w="80" w:type="dxa"/>
            <w:right w:w="0" w:type="dxa"/>
          </w:tcMar>
        </w:tcPr>
        <w:p w14:paraId="0D9510F2" w14:textId="77777777" w:rsidR="005B4399" w:rsidRDefault="00000000">
          <w:pPr>
            <w:jc w:val="right"/>
          </w:pPr>
          <w:r>
            <w:rPr>
              <w:rFonts w:ascii="Arial" w:eastAsia="Arial" w:hAnsi="Arial" w:cs="Arial"/>
              <w:b/>
              <w:bCs/>
              <w:color w:val="A07840"/>
              <w:sz w:val="16"/>
              <w:szCs w:val="16"/>
            </w:rPr>
            <w:t>Quantix Analytics Consulting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F68"/>
    <w:multiLevelType w:val="hybridMultilevel"/>
    <w:tmpl w:val="5DACF8A6"/>
    <w:lvl w:ilvl="0" w:tplc="C0D07534">
      <w:start w:val="1"/>
      <w:numFmt w:val="bullet"/>
      <w:lvlText w:val="●"/>
      <w:lvlJc w:val="left"/>
      <w:pPr>
        <w:ind w:left="720" w:hanging="360"/>
      </w:pPr>
    </w:lvl>
    <w:lvl w:ilvl="1" w:tplc="AE9C1CA6">
      <w:start w:val="1"/>
      <w:numFmt w:val="bullet"/>
      <w:lvlText w:val="○"/>
      <w:lvlJc w:val="left"/>
      <w:pPr>
        <w:ind w:left="1440" w:hanging="360"/>
      </w:pPr>
    </w:lvl>
    <w:lvl w:ilvl="2" w:tplc="7E60A6E8">
      <w:start w:val="1"/>
      <w:numFmt w:val="bullet"/>
      <w:lvlText w:val="■"/>
      <w:lvlJc w:val="left"/>
      <w:pPr>
        <w:ind w:left="2160" w:hanging="360"/>
      </w:pPr>
    </w:lvl>
    <w:lvl w:ilvl="3" w:tplc="9F0AE604">
      <w:start w:val="1"/>
      <w:numFmt w:val="bullet"/>
      <w:lvlText w:val="●"/>
      <w:lvlJc w:val="left"/>
      <w:pPr>
        <w:ind w:left="2880" w:hanging="360"/>
      </w:pPr>
    </w:lvl>
    <w:lvl w:ilvl="4" w:tplc="AD4A8D4A">
      <w:start w:val="1"/>
      <w:numFmt w:val="bullet"/>
      <w:lvlText w:val="○"/>
      <w:lvlJc w:val="left"/>
      <w:pPr>
        <w:ind w:left="3600" w:hanging="360"/>
      </w:pPr>
    </w:lvl>
    <w:lvl w:ilvl="5" w:tplc="DEA4D20E">
      <w:start w:val="1"/>
      <w:numFmt w:val="bullet"/>
      <w:lvlText w:val="■"/>
      <w:lvlJc w:val="left"/>
      <w:pPr>
        <w:ind w:left="4320" w:hanging="360"/>
      </w:pPr>
    </w:lvl>
    <w:lvl w:ilvl="6" w:tplc="E0861FCC">
      <w:start w:val="1"/>
      <w:numFmt w:val="bullet"/>
      <w:lvlText w:val="●"/>
      <w:lvlJc w:val="left"/>
      <w:pPr>
        <w:ind w:left="5040" w:hanging="360"/>
      </w:pPr>
    </w:lvl>
    <w:lvl w:ilvl="7" w:tplc="3E66488C">
      <w:start w:val="1"/>
      <w:numFmt w:val="bullet"/>
      <w:lvlText w:val="●"/>
      <w:lvlJc w:val="left"/>
      <w:pPr>
        <w:ind w:left="5760" w:hanging="360"/>
      </w:pPr>
    </w:lvl>
    <w:lvl w:ilvl="8" w:tplc="9C20EA6E">
      <w:start w:val="1"/>
      <w:numFmt w:val="bullet"/>
      <w:lvlText w:val="●"/>
      <w:lvlJc w:val="left"/>
      <w:pPr>
        <w:ind w:left="6480" w:hanging="360"/>
      </w:pPr>
    </w:lvl>
  </w:abstractNum>
  <w:num w:numId="1" w16cid:durableId="1845048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99"/>
    <w:rsid w:val="0003664A"/>
    <w:rsid w:val="004E1ED2"/>
    <w:rsid w:val="005B4399"/>
    <w:rsid w:val="008B63C3"/>
    <w:rsid w:val="00913780"/>
    <w:rsid w:val="00BD0086"/>
    <w:rsid w:val="00EC5566"/>
    <w:rsid w:val="00ED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C1F63"/>
  <w15:docId w15:val="{4F884098-D758-45B7-9064-22D69CFE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3774</Words>
  <Characters>22682</Characters>
  <Application>Microsoft Office Word</Application>
  <DocSecurity>0</DocSecurity>
  <Lines>872</Lines>
  <Paragraphs>615</Paragraphs>
  <ScaleCrop>false</ScaleCrop>
  <Company/>
  <LinksUpToDate>false</LinksUpToDate>
  <CharactersWithSpaces>25841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Jauslin</cp:lastModifiedBy>
  <cp:revision>6</cp:revision>
  <dcterms:created xsi:type="dcterms:W3CDTF">2026-05-27T20:29:00Z</dcterms:created>
  <dcterms:modified xsi:type="dcterms:W3CDTF">2026-05-28T03:42:00Z</dcterms:modified>
</cp:coreProperties>
</file>