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EEB6B" w14:textId="0F87BFB2" w:rsidR="000F18CC" w:rsidRPr="000F18CC" w:rsidRDefault="000F18CC" w:rsidP="000F18CC">
      <w:pPr>
        <w:pBdr>
          <w:bottom w:val="single" w:sz="6" w:space="4" w:color="E8E8E8"/>
        </w:pBdr>
        <w:shd w:val="clear" w:color="auto" w:fill="EEEEEE"/>
        <w:spacing w:line="240" w:lineRule="atLeast"/>
        <w:textAlignment w:val="baseline"/>
        <w:outlineLvl w:val="0"/>
        <w:rPr>
          <w:rFonts w:ascii="Arial" w:eastAsia="Times New Roman" w:hAnsi="Arial" w:cs="Arial"/>
          <w:b/>
          <w:bCs/>
          <w:kern w:val="36"/>
          <w:sz w:val="21"/>
          <w:szCs w:val="21"/>
        </w:rPr>
      </w:pPr>
      <w:r w:rsidRPr="000F18CC">
        <w:rPr>
          <w:rFonts w:ascii="Arial" w:eastAsia="Times New Roman" w:hAnsi="Arial" w:cs="Arial"/>
          <w:b/>
          <w:bCs/>
          <w:kern w:val="36"/>
          <w:sz w:val="21"/>
          <w:szCs w:val="21"/>
        </w:rPr>
        <w:t xml:space="preserve">Source:  </w:t>
      </w:r>
      <w:hyperlink r:id="rId4" w:history="1">
        <w:r w:rsidRPr="000F18CC">
          <w:rPr>
            <w:rStyle w:val="Hyperlink"/>
            <w:rFonts w:ascii="Arial" w:eastAsia="Times New Roman" w:hAnsi="Arial" w:cs="Arial"/>
            <w:b/>
            <w:bCs/>
            <w:kern w:val="36"/>
            <w:sz w:val="21"/>
            <w:szCs w:val="21"/>
          </w:rPr>
          <w:t>https://www.portlandoregon.gov/police/article/627228</w:t>
        </w:r>
      </w:hyperlink>
    </w:p>
    <w:p w14:paraId="02557269" w14:textId="39BF7EB1" w:rsidR="000F18CC" w:rsidRDefault="000F18CC" w:rsidP="000F18CC">
      <w:pPr>
        <w:pBdr>
          <w:bottom w:val="single" w:sz="6" w:space="4" w:color="E8E8E8"/>
        </w:pBdr>
        <w:shd w:val="clear" w:color="auto" w:fill="EEEEEE"/>
        <w:spacing w:line="240" w:lineRule="atLeast"/>
        <w:textAlignment w:val="baseline"/>
        <w:outlineLvl w:val="0"/>
        <w:rPr>
          <w:rFonts w:ascii="Arial" w:eastAsia="Times New Roman" w:hAnsi="Arial" w:cs="Arial"/>
          <w:b/>
          <w:bCs/>
          <w:kern w:val="36"/>
          <w:sz w:val="21"/>
          <w:szCs w:val="21"/>
        </w:rPr>
      </w:pPr>
      <w:r w:rsidRPr="000F18CC">
        <w:rPr>
          <w:rFonts w:ascii="Arial" w:eastAsia="Times New Roman" w:hAnsi="Arial" w:cs="Arial"/>
          <w:b/>
          <w:bCs/>
          <w:kern w:val="36"/>
          <w:sz w:val="21"/>
          <w:szCs w:val="21"/>
        </w:rPr>
        <w:t>Date: 11 January 2021</w:t>
      </w:r>
    </w:p>
    <w:p w14:paraId="026C2877" w14:textId="77777777" w:rsidR="000F18CC" w:rsidRPr="000F18CC" w:rsidRDefault="000F18CC" w:rsidP="000F18CC">
      <w:pPr>
        <w:pBdr>
          <w:bottom w:val="single" w:sz="6" w:space="4" w:color="E8E8E8"/>
        </w:pBdr>
        <w:shd w:val="clear" w:color="auto" w:fill="EEEEEE"/>
        <w:spacing w:line="240" w:lineRule="atLeast"/>
        <w:textAlignment w:val="baseline"/>
        <w:outlineLvl w:val="0"/>
        <w:rPr>
          <w:rFonts w:ascii="Arial" w:eastAsia="Times New Roman" w:hAnsi="Arial" w:cs="Arial"/>
          <w:b/>
          <w:bCs/>
          <w:kern w:val="36"/>
          <w:sz w:val="21"/>
          <w:szCs w:val="21"/>
        </w:rPr>
      </w:pPr>
    </w:p>
    <w:p w14:paraId="1F082130" w14:textId="1BEA308E" w:rsidR="000F18CC" w:rsidRPr="000F18CC" w:rsidRDefault="000F18CC" w:rsidP="000F18CC">
      <w:pPr>
        <w:pBdr>
          <w:bottom w:val="single" w:sz="6" w:space="4" w:color="E8E8E8"/>
        </w:pBdr>
        <w:shd w:val="clear" w:color="auto" w:fill="EEEEEE"/>
        <w:spacing w:line="240" w:lineRule="atLeast"/>
        <w:textAlignment w:val="baseline"/>
        <w:outlineLvl w:val="0"/>
        <w:rPr>
          <w:rFonts w:ascii="Arial" w:eastAsia="Times New Roman" w:hAnsi="Arial" w:cs="Arial"/>
          <w:b/>
          <w:bCs/>
          <w:kern w:val="36"/>
          <w:sz w:val="41"/>
          <w:szCs w:val="41"/>
        </w:rPr>
      </w:pPr>
      <w:r w:rsidRPr="000F18CC">
        <w:rPr>
          <w:rFonts w:ascii="Arial" w:eastAsia="Times New Roman" w:hAnsi="Arial" w:cs="Arial"/>
          <w:b/>
          <w:bCs/>
          <w:kern w:val="36"/>
          <w:sz w:val="41"/>
          <w:szCs w:val="41"/>
        </w:rPr>
        <w:t>Metadata for Offense Open Data</w:t>
      </w:r>
    </w:p>
    <w:p w14:paraId="15EDF459" w14:textId="77777777" w:rsidR="000F18CC" w:rsidRPr="000F18CC" w:rsidRDefault="000F18CC" w:rsidP="000F18CC">
      <w:pPr>
        <w:spacing w:before="384" w:line="324" w:lineRule="atLeast"/>
        <w:textAlignment w:val="baseline"/>
        <w:outlineLvl w:val="1"/>
        <w:rPr>
          <w:rFonts w:ascii="Arial" w:eastAsia="Times New Roman" w:hAnsi="Arial" w:cs="Arial"/>
          <w:b/>
          <w:bCs/>
          <w:sz w:val="31"/>
          <w:szCs w:val="31"/>
        </w:rPr>
      </w:pPr>
      <w:r w:rsidRPr="000F18CC">
        <w:rPr>
          <w:rFonts w:ascii="Arial" w:eastAsia="Times New Roman" w:hAnsi="Arial" w:cs="Arial"/>
          <w:b/>
          <w:bCs/>
          <w:sz w:val="31"/>
          <w:szCs w:val="31"/>
        </w:rPr>
        <w:t>Metadata for Reported Crime Open Data Download</w:t>
      </w:r>
    </w:p>
    <w:p w14:paraId="64C3BFDD" w14:textId="77777777" w:rsidR="000F18CC" w:rsidRPr="000F18CC" w:rsidRDefault="000F18CC" w:rsidP="000F18CC">
      <w:pPr>
        <w:spacing w:before="240" w:after="240" w:line="336" w:lineRule="atLeast"/>
        <w:textAlignment w:val="baseline"/>
        <w:rPr>
          <w:rFonts w:ascii="inherit" w:eastAsia="Times New Roman" w:hAnsi="inherit" w:cs="Times New Roman"/>
          <w:sz w:val="29"/>
          <w:szCs w:val="29"/>
        </w:rPr>
      </w:pPr>
      <w:r w:rsidRPr="000F18CC">
        <w:rPr>
          <w:rFonts w:ascii="inherit" w:eastAsia="Times New Roman" w:hAnsi="inherit" w:cs="Times New Roman"/>
          <w:sz w:val="29"/>
          <w:szCs w:val="29"/>
        </w:rPr>
        <w:t>Cases deemed sensitive due to the nature of the crime, victim, victim/offender relationship, or investigation status may contain data that cannot be shared openly at this time. Case numbers and specific location information for sensitive cases are not included in the open data.</w:t>
      </w:r>
    </w:p>
    <w:tbl>
      <w:tblPr>
        <w:tblW w:w="10035" w:type="dxa"/>
        <w:tblCellSpacing w:w="0" w:type="dxa"/>
        <w:tblBorders>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96"/>
        <w:gridCol w:w="8639"/>
      </w:tblGrid>
      <w:tr w:rsidR="000F18CC" w:rsidRPr="000F18CC" w14:paraId="3E3DD983" w14:textId="77777777" w:rsidTr="000F18CC">
        <w:trPr>
          <w:tblCellSpacing w:w="0" w:type="dxa"/>
        </w:trPr>
        <w:tc>
          <w:tcPr>
            <w:tcW w:w="0" w:type="auto"/>
            <w:tcBorders>
              <w:top w:val="single" w:sz="6" w:space="0" w:color="CCCCCC"/>
              <w:left w:val="single" w:sz="6" w:space="0" w:color="CCCCCC"/>
            </w:tcBorders>
            <w:shd w:val="clear" w:color="auto" w:fill="666666"/>
            <w:tcMar>
              <w:top w:w="75" w:type="dxa"/>
              <w:left w:w="75" w:type="dxa"/>
              <w:bottom w:w="75" w:type="dxa"/>
              <w:right w:w="75" w:type="dxa"/>
            </w:tcMar>
            <w:vAlign w:val="center"/>
            <w:hideMark/>
          </w:tcPr>
          <w:p w14:paraId="44A470B4" w14:textId="77777777" w:rsidR="000F18CC" w:rsidRPr="000F18CC" w:rsidRDefault="000F18CC" w:rsidP="000F18CC">
            <w:pPr>
              <w:spacing w:after="450"/>
              <w:rPr>
                <w:rFonts w:ascii="Helvetica Neue" w:eastAsia="Times New Roman" w:hAnsi="Helvetica Neue" w:cs="Times New Roman"/>
                <w:color w:val="FFFFFF"/>
                <w:sz w:val="18"/>
                <w:szCs w:val="18"/>
              </w:rPr>
            </w:pPr>
            <w:r w:rsidRPr="000F18CC">
              <w:rPr>
                <w:rFonts w:ascii="Helvetica Neue" w:eastAsia="Times New Roman" w:hAnsi="Helvetica Neue" w:cs="Times New Roman"/>
                <w:color w:val="FFFFFF"/>
                <w:sz w:val="18"/>
                <w:szCs w:val="18"/>
              </w:rPr>
              <w:t> </w:t>
            </w:r>
          </w:p>
        </w:tc>
        <w:tc>
          <w:tcPr>
            <w:tcW w:w="0" w:type="auto"/>
            <w:tcBorders>
              <w:top w:val="single" w:sz="6" w:space="0" w:color="CCCCCC"/>
              <w:left w:val="single" w:sz="6" w:space="0" w:color="CCCCCC"/>
            </w:tcBorders>
            <w:shd w:val="clear" w:color="auto" w:fill="666666"/>
            <w:tcMar>
              <w:top w:w="75" w:type="dxa"/>
              <w:left w:w="75" w:type="dxa"/>
              <w:bottom w:w="75" w:type="dxa"/>
              <w:right w:w="75" w:type="dxa"/>
            </w:tcMar>
            <w:vAlign w:val="center"/>
            <w:hideMark/>
          </w:tcPr>
          <w:p w14:paraId="7384870C" w14:textId="77777777" w:rsidR="000F18CC" w:rsidRPr="000F18CC" w:rsidRDefault="000F18CC" w:rsidP="000F18CC">
            <w:pPr>
              <w:spacing w:after="450"/>
              <w:rPr>
                <w:rFonts w:ascii="Helvetica Neue" w:eastAsia="Times New Roman" w:hAnsi="Helvetica Neue" w:cs="Times New Roman"/>
                <w:color w:val="FFFFFF"/>
                <w:sz w:val="18"/>
                <w:szCs w:val="18"/>
              </w:rPr>
            </w:pPr>
            <w:r w:rsidRPr="000F18CC">
              <w:rPr>
                <w:rFonts w:ascii="Helvetica Neue" w:eastAsia="Times New Roman" w:hAnsi="Helvetica Neue" w:cs="Times New Roman"/>
                <w:color w:val="FFFFFF"/>
                <w:sz w:val="18"/>
                <w:szCs w:val="18"/>
              </w:rPr>
              <w:t> </w:t>
            </w:r>
          </w:p>
        </w:tc>
      </w:tr>
      <w:tr w:rsidR="000F18CC" w:rsidRPr="000F18CC" w14:paraId="0D818094" w14:textId="77777777" w:rsidTr="000F18CC">
        <w:trPr>
          <w:tblCellSpacing w:w="0" w:type="dxa"/>
        </w:trPr>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65CE3DB2" w14:textId="77777777" w:rsidR="000F18CC" w:rsidRPr="000F18CC" w:rsidRDefault="000F18CC" w:rsidP="000F18CC">
            <w:pPr>
              <w:spacing w:after="450"/>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Case Number</w:t>
            </w:r>
          </w:p>
        </w:tc>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3421BDF7" w14:textId="77777777" w:rsidR="000F18CC" w:rsidRPr="000F18CC" w:rsidRDefault="000F18CC" w:rsidP="000F18CC">
            <w:pPr>
              <w:spacing w:after="450"/>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The case year and number for the reported incident (YY-######).</w:t>
            </w:r>
            <w:r w:rsidRPr="000F18CC">
              <w:rPr>
                <w:rFonts w:ascii="Helvetica Neue" w:eastAsia="Times New Roman" w:hAnsi="Helvetica Neue" w:cs="Times New Roman"/>
                <w:sz w:val="18"/>
                <w:szCs w:val="18"/>
              </w:rPr>
              <w:br/>
              <w:t>Sensitive cases have been randomly assigned a case number and are denoted by an X following the case year (YY-X######).</w:t>
            </w:r>
          </w:p>
        </w:tc>
      </w:tr>
      <w:tr w:rsidR="000F18CC" w:rsidRPr="000F18CC" w14:paraId="0553DC3C" w14:textId="77777777" w:rsidTr="000F18CC">
        <w:trPr>
          <w:tblCellSpacing w:w="0" w:type="dxa"/>
        </w:trPr>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3C2E6B0F" w14:textId="77777777" w:rsidR="000F18CC" w:rsidRPr="000F18CC" w:rsidRDefault="000F18CC" w:rsidP="000F18CC">
            <w:pPr>
              <w:spacing w:after="450"/>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Occur Month Year</w:t>
            </w:r>
          </w:p>
        </w:tc>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5BCDE841" w14:textId="77777777" w:rsidR="000F18CC" w:rsidRPr="000F18CC" w:rsidRDefault="000F18CC" w:rsidP="000F18CC">
            <w:pPr>
              <w:spacing w:after="450"/>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 xml:space="preserve">The Month and Year that the incident </w:t>
            </w:r>
            <w:proofErr w:type="spellStart"/>
            <w:r w:rsidRPr="000F18CC">
              <w:rPr>
                <w:rFonts w:ascii="Helvetica Neue" w:eastAsia="Times New Roman" w:hAnsi="Helvetica Neue" w:cs="Times New Roman"/>
                <w:sz w:val="18"/>
                <w:szCs w:val="18"/>
              </w:rPr>
              <w:t>occured</w:t>
            </w:r>
            <w:proofErr w:type="spellEnd"/>
            <w:r w:rsidRPr="000F18CC">
              <w:rPr>
                <w:rFonts w:ascii="Helvetica Neue" w:eastAsia="Times New Roman" w:hAnsi="Helvetica Neue" w:cs="Times New Roman"/>
                <w:sz w:val="18"/>
                <w:szCs w:val="18"/>
              </w:rPr>
              <w:t>.</w:t>
            </w:r>
          </w:p>
        </w:tc>
      </w:tr>
      <w:tr w:rsidR="000F18CC" w:rsidRPr="000F18CC" w14:paraId="062DC04D" w14:textId="77777777" w:rsidTr="000F18CC">
        <w:trPr>
          <w:tblCellSpacing w:w="0" w:type="dxa"/>
        </w:trPr>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7D349C5F" w14:textId="77777777" w:rsidR="000F18CC" w:rsidRPr="000F18CC" w:rsidRDefault="000F18CC" w:rsidP="000F18CC">
            <w:pPr>
              <w:spacing w:after="450"/>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Occur Date</w:t>
            </w:r>
          </w:p>
        </w:tc>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665FD9A7" w14:textId="77777777" w:rsidR="000F18CC" w:rsidRPr="000F18CC" w:rsidRDefault="000F18CC" w:rsidP="000F18CC">
            <w:pPr>
              <w:spacing w:after="450"/>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Date the incident occurred. The exact occur date is sometimes unknown. In most situations, the first possible date the crime could have occurred is used as the occur date. (For example, victims return home from a week-long vacation to find their home burglarized. The burglary could have occurred at any point during the week. The first date of their vacation would be listed as the occur date.)</w:t>
            </w:r>
          </w:p>
        </w:tc>
      </w:tr>
      <w:tr w:rsidR="000F18CC" w:rsidRPr="000F18CC" w14:paraId="37F27457" w14:textId="77777777" w:rsidTr="000F18CC">
        <w:trPr>
          <w:tblCellSpacing w:w="0" w:type="dxa"/>
        </w:trPr>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2436FB47" w14:textId="77777777" w:rsidR="000F18CC" w:rsidRPr="000F18CC" w:rsidRDefault="000F18CC" w:rsidP="000F18CC">
            <w:pPr>
              <w:spacing w:after="450"/>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Occur Time</w:t>
            </w:r>
          </w:p>
        </w:tc>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6C529A32"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 xml:space="preserve">Time the incident </w:t>
            </w:r>
            <w:proofErr w:type="spellStart"/>
            <w:r w:rsidRPr="000F18CC">
              <w:rPr>
                <w:rFonts w:ascii="Helvetica Neue" w:eastAsia="Times New Roman" w:hAnsi="Helvetica Neue" w:cs="Times New Roman"/>
                <w:sz w:val="18"/>
                <w:szCs w:val="18"/>
              </w:rPr>
              <w:t>occured</w:t>
            </w:r>
            <w:proofErr w:type="spellEnd"/>
            <w:r w:rsidRPr="000F18CC">
              <w:rPr>
                <w:rFonts w:ascii="Helvetica Neue" w:eastAsia="Times New Roman" w:hAnsi="Helvetica Neue" w:cs="Times New Roman"/>
                <w:sz w:val="18"/>
                <w:szCs w:val="18"/>
              </w:rPr>
              <w:t xml:space="preserve">. The exact occur time is sometimes unknown. In most situations, the first possible time the crime could have </w:t>
            </w:r>
            <w:proofErr w:type="spellStart"/>
            <w:r w:rsidRPr="000F18CC">
              <w:rPr>
                <w:rFonts w:ascii="Helvetica Neue" w:eastAsia="Times New Roman" w:hAnsi="Helvetica Neue" w:cs="Times New Roman"/>
                <w:sz w:val="18"/>
                <w:szCs w:val="18"/>
              </w:rPr>
              <w:t>occured</w:t>
            </w:r>
            <w:proofErr w:type="spellEnd"/>
            <w:r w:rsidRPr="000F18CC">
              <w:rPr>
                <w:rFonts w:ascii="Helvetica Neue" w:eastAsia="Times New Roman" w:hAnsi="Helvetica Neue" w:cs="Times New Roman"/>
                <w:sz w:val="18"/>
                <w:szCs w:val="18"/>
              </w:rPr>
              <w:t xml:space="preserve"> is used as the occur time.</w:t>
            </w:r>
            <w:r w:rsidRPr="000F18CC">
              <w:rPr>
                <w:rFonts w:ascii="Helvetica Neue" w:eastAsia="Times New Roman" w:hAnsi="Helvetica Neue" w:cs="Times New Roman"/>
                <w:sz w:val="18"/>
                <w:szCs w:val="18"/>
              </w:rPr>
              <w:br/>
              <w:t>The time is reported in the 24-hour clock format, with the first two digits representing hour (ranges from 00 to 23) and the second two digits representing minutes (ranges from 00 to 59).</w:t>
            </w:r>
            <w:r w:rsidRPr="000F18CC">
              <w:rPr>
                <w:rFonts w:ascii="Helvetica Neue" w:eastAsia="Times New Roman" w:hAnsi="Helvetica Neue" w:cs="Times New Roman"/>
                <w:sz w:val="18"/>
                <w:szCs w:val="18"/>
              </w:rPr>
              <w:br/>
              <w:t>Note: By default, Microsoft Excel removes leading zeroes when importing data. For more help with this issue, refer to </w:t>
            </w:r>
            <w:hyperlink r:id="rId5" w:history="1">
              <w:r w:rsidRPr="000F18CC">
                <w:rPr>
                  <w:rFonts w:ascii="inherit" w:eastAsia="Times New Roman" w:hAnsi="inherit" w:cs="Times New Roman"/>
                  <w:color w:val="65508C"/>
                  <w:sz w:val="18"/>
                  <w:szCs w:val="18"/>
                  <w:u w:val="single"/>
                  <w:bdr w:val="none" w:sz="0" w:space="0" w:color="auto" w:frame="1"/>
                </w:rPr>
                <w:t>Microsoft's help page.</w:t>
              </w:r>
            </w:hyperlink>
          </w:p>
        </w:tc>
      </w:tr>
      <w:tr w:rsidR="000F18CC" w:rsidRPr="000F18CC" w14:paraId="09F97856" w14:textId="77777777" w:rsidTr="000F18CC">
        <w:trPr>
          <w:tblCellSpacing w:w="0" w:type="dxa"/>
        </w:trPr>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6B65F0F7"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Address</w:t>
            </w:r>
          </w:p>
        </w:tc>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40DA18E2"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 xml:space="preserve">Address of reported incident at the </w:t>
            </w:r>
            <w:proofErr w:type="gramStart"/>
            <w:r w:rsidRPr="000F18CC">
              <w:rPr>
                <w:rFonts w:ascii="Helvetica Neue" w:eastAsia="Times New Roman" w:hAnsi="Helvetica Neue" w:cs="Times New Roman"/>
                <w:sz w:val="18"/>
                <w:szCs w:val="18"/>
              </w:rPr>
              <w:t>100 block</w:t>
            </w:r>
            <w:proofErr w:type="gramEnd"/>
            <w:r w:rsidRPr="000F18CC">
              <w:rPr>
                <w:rFonts w:ascii="Helvetica Neue" w:eastAsia="Times New Roman" w:hAnsi="Helvetica Neue" w:cs="Times New Roman"/>
                <w:sz w:val="18"/>
                <w:szCs w:val="18"/>
              </w:rPr>
              <w:t xml:space="preserve"> level (e.g.: 1111 SW 2nd Ave would be 1100 Block SW 2nd Ave).</w:t>
            </w:r>
            <w:r w:rsidRPr="000F18CC">
              <w:rPr>
                <w:rFonts w:ascii="Helvetica Neue" w:eastAsia="Times New Roman" w:hAnsi="Helvetica Neue" w:cs="Times New Roman"/>
                <w:sz w:val="18"/>
                <w:szCs w:val="18"/>
              </w:rPr>
              <w:br/>
              <w:t>To protect the identity of victims and other privacy concerns, the address location of certain case types are not released.</w:t>
            </w:r>
          </w:p>
        </w:tc>
      </w:tr>
      <w:tr w:rsidR="000F18CC" w:rsidRPr="000F18CC" w14:paraId="6886CA04" w14:textId="77777777" w:rsidTr="000F18CC">
        <w:trPr>
          <w:tblCellSpacing w:w="0" w:type="dxa"/>
        </w:trPr>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428A33BD"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Open Data </w:t>
            </w:r>
            <w:r w:rsidRPr="000F18CC">
              <w:rPr>
                <w:rFonts w:ascii="Helvetica Neue" w:eastAsia="Times New Roman" w:hAnsi="Helvetica Neue" w:cs="Times New Roman"/>
                <w:sz w:val="18"/>
                <w:szCs w:val="18"/>
              </w:rPr>
              <w:br/>
              <w:t>X / Y</w:t>
            </w:r>
          </w:p>
        </w:tc>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4AEFB1DA"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Generalized XY point of the reported incident. For offenses that occurred at a specific address, the point is mapped to the block's midpoint. Offenses that occurred at an intersection is mapped to the intersection centroid. To protect the identity of victims and other privacy concerns, the points of certain case types are not released.</w:t>
            </w:r>
            <w:r w:rsidRPr="000F18CC">
              <w:rPr>
                <w:rFonts w:ascii="Helvetica Neue" w:eastAsia="Times New Roman" w:hAnsi="Helvetica Neue" w:cs="Times New Roman"/>
                <w:sz w:val="18"/>
                <w:szCs w:val="18"/>
              </w:rPr>
              <w:br/>
              <w:t>XY points use the Oregon State Plane North (3601), NAD83 HARN, US International Feet coordinate system.</w:t>
            </w:r>
          </w:p>
        </w:tc>
      </w:tr>
      <w:tr w:rsidR="000F18CC" w:rsidRPr="000F18CC" w14:paraId="5D6BD814" w14:textId="77777777" w:rsidTr="000F18CC">
        <w:trPr>
          <w:tblCellSpacing w:w="0" w:type="dxa"/>
        </w:trPr>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1600E2C8"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lastRenderedPageBreak/>
              <w:t>Open Data </w:t>
            </w:r>
            <w:r w:rsidRPr="000F18CC">
              <w:rPr>
                <w:rFonts w:ascii="Helvetica Neue" w:eastAsia="Times New Roman" w:hAnsi="Helvetica Neue" w:cs="Times New Roman"/>
                <w:sz w:val="18"/>
                <w:szCs w:val="18"/>
              </w:rPr>
              <w:br/>
              <w:t>Lat / Lon</w:t>
            </w:r>
          </w:p>
        </w:tc>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3B08D8A4"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Generalized Latitude / Longitude of the reported incident. For offenses that occurred at a specific address, the point is mapped to the block's midpoint. Offenses that occurred at an intersection is mapped to the intersection centroid. To protect the identity of victims and other privacy concerns, the points of certain case types are not released.</w:t>
            </w:r>
          </w:p>
        </w:tc>
      </w:tr>
      <w:tr w:rsidR="000F18CC" w:rsidRPr="000F18CC" w14:paraId="44A58A99" w14:textId="77777777" w:rsidTr="000F18CC">
        <w:trPr>
          <w:tblCellSpacing w:w="0" w:type="dxa"/>
        </w:trPr>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0D4D6291"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Neighborhood</w:t>
            </w:r>
          </w:p>
        </w:tc>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6CCB0C58"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Neighborhood where incident occurred.</w:t>
            </w:r>
            <w:r w:rsidRPr="000F18CC">
              <w:rPr>
                <w:rFonts w:ascii="Helvetica Neue" w:eastAsia="Times New Roman" w:hAnsi="Helvetica Neue" w:cs="Times New Roman"/>
                <w:sz w:val="18"/>
                <w:szCs w:val="18"/>
              </w:rPr>
              <w:br/>
              <w:t>If the neighborhood name is missing, the incident occurred outside of the boundaries of the Portland neighborhoods or at a location that could not be assigned to a specific address in the system (e.g., Portland, near Washington Park, on the streetcar, etc.). Note: Neighborhood boundaries and designations vary slightly from those found on the Office of Community &amp; Civic Life website.</w:t>
            </w:r>
          </w:p>
        </w:tc>
      </w:tr>
      <w:tr w:rsidR="000F18CC" w:rsidRPr="000F18CC" w14:paraId="327997FC" w14:textId="77777777" w:rsidTr="000F18CC">
        <w:trPr>
          <w:tblCellSpacing w:w="0" w:type="dxa"/>
        </w:trPr>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1DC2E886"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Crime Against</w:t>
            </w:r>
          </w:p>
        </w:tc>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595F2775"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Crime against category (Person, Property, or Society)</w:t>
            </w:r>
          </w:p>
        </w:tc>
      </w:tr>
      <w:tr w:rsidR="000F18CC" w:rsidRPr="000F18CC" w14:paraId="3CD63B30" w14:textId="77777777" w:rsidTr="000F18CC">
        <w:trPr>
          <w:tblCellSpacing w:w="0" w:type="dxa"/>
        </w:trPr>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7DC86846"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Offense Category</w:t>
            </w:r>
          </w:p>
        </w:tc>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0C553B72"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Category of offense (for example, Assault Offenses)</w:t>
            </w:r>
          </w:p>
        </w:tc>
      </w:tr>
      <w:tr w:rsidR="000F18CC" w:rsidRPr="000F18CC" w14:paraId="34103BFA" w14:textId="77777777" w:rsidTr="000F18CC">
        <w:trPr>
          <w:tblCellSpacing w:w="0" w:type="dxa"/>
        </w:trPr>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01A971D0"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Offense Type</w:t>
            </w:r>
          </w:p>
        </w:tc>
        <w:tc>
          <w:tcPr>
            <w:tcW w:w="0" w:type="auto"/>
            <w:tcBorders>
              <w:top w:val="single" w:sz="6" w:space="0" w:color="CCCCCC"/>
              <w:left w:val="single" w:sz="6" w:space="0" w:color="CCCCCC"/>
            </w:tcBorders>
            <w:tcMar>
              <w:top w:w="75" w:type="dxa"/>
              <w:left w:w="75" w:type="dxa"/>
              <w:bottom w:w="75" w:type="dxa"/>
              <w:right w:w="75" w:type="dxa"/>
            </w:tcMar>
            <w:vAlign w:val="center"/>
            <w:hideMark/>
          </w:tcPr>
          <w:p w14:paraId="5C7FF614"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Type of offense (for example, Aggravated Assault)</w:t>
            </w:r>
            <w:r w:rsidRPr="000F18CC">
              <w:rPr>
                <w:rFonts w:ascii="Helvetica Neue" w:eastAsia="Times New Roman" w:hAnsi="Helvetica Neue" w:cs="Times New Roman"/>
                <w:sz w:val="18"/>
                <w:szCs w:val="18"/>
              </w:rPr>
              <w:br/>
            </w:r>
            <w:r w:rsidRPr="000F18CC">
              <w:rPr>
                <w:rFonts w:ascii="Helvetica Neue" w:eastAsia="Times New Roman" w:hAnsi="Helvetica Neue" w:cs="Times New Roman"/>
                <w:sz w:val="18"/>
                <w:szCs w:val="18"/>
              </w:rPr>
              <w:br/>
              <w:t>Note: The statistic for Homicide Offenses has been updated in the Group A Crimes report to align with the 2019 FBI NIBRS definitions. The statistic for Homicide Offenses includes (09A) Murder &amp; Non-negligent Manslaughter and (09B) Negligent Manslaughter. As of January 1, 2019, the FBI expanded the definition of negligent manslaughter to include traffic fatalities that result in an arrest for driving under the influence, distracted driving, or reckless driving. The change in definition impacts the 2019 homicide offenses statistic and the comparability of 2019 homicide statistics to prior year.</w:t>
            </w:r>
          </w:p>
        </w:tc>
      </w:tr>
      <w:tr w:rsidR="000F18CC" w:rsidRPr="000F18CC" w14:paraId="73420DA7" w14:textId="77777777" w:rsidTr="000F18CC">
        <w:trPr>
          <w:tblCellSpacing w:w="0" w:type="dxa"/>
        </w:trPr>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6DD9BB89"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Offense Count</w:t>
            </w:r>
          </w:p>
        </w:tc>
        <w:tc>
          <w:tcPr>
            <w:tcW w:w="0" w:type="auto"/>
            <w:tcBorders>
              <w:top w:val="single" w:sz="6" w:space="0" w:color="CCCCCC"/>
              <w:left w:val="single" w:sz="6" w:space="0" w:color="CCCCCC"/>
            </w:tcBorders>
            <w:shd w:val="clear" w:color="auto" w:fill="EFEFEF"/>
            <w:tcMar>
              <w:top w:w="75" w:type="dxa"/>
              <w:left w:w="75" w:type="dxa"/>
              <w:bottom w:w="75" w:type="dxa"/>
              <w:right w:w="75" w:type="dxa"/>
            </w:tcMar>
            <w:vAlign w:val="center"/>
            <w:hideMark/>
          </w:tcPr>
          <w:p w14:paraId="54FC6F2E" w14:textId="77777777" w:rsidR="000F18CC" w:rsidRPr="000F18CC" w:rsidRDefault="000F18CC" w:rsidP="000F18CC">
            <w:pPr>
              <w:rPr>
                <w:rFonts w:ascii="Helvetica Neue" w:eastAsia="Times New Roman" w:hAnsi="Helvetica Neue" w:cs="Times New Roman"/>
                <w:sz w:val="18"/>
                <w:szCs w:val="18"/>
              </w:rPr>
            </w:pPr>
            <w:r w:rsidRPr="000F18CC">
              <w:rPr>
                <w:rFonts w:ascii="Helvetica Neue" w:eastAsia="Times New Roman" w:hAnsi="Helvetica Neue" w:cs="Times New Roman"/>
                <w:sz w:val="18"/>
                <w:szCs w:val="18"/>
              </w:rPr>
              <w:t>Number of offenses per incident. Offenses (</w:t>
            </w:r>
            <w:proofErr w:type="gramStart"/>
            <w:r w:rsidRPr="000F18CC">
              <w:rPr>
                <w:rFonts w:ascii="Helvetica Neue" w:eastAsia="Times New Roman" w:hAnsi="Helvetica Neue" w:cs="Times New Roman"/>
                <w:sz w:val="18"/>
                <w:szCs w:val="18"/>
              </w:rPr>
              <w:t>i.e.</w:t>
            </w:r>
            <w:proofErr w:type="gramEnd"/>
            <w:r w:rsidRPr="000F18CC">
              <w:rPr>
                <w:rFonts w:ascii="Helvetica Neue" w:eastAsia="Times New Roman" w:hAnsi="Helvetica Neue" w:cs="Times New Roman"/>
                <w:sz w:val="18"/>
                <w:szCs w:val="18"/>
              </w:rPr>
              <w:t xml:space="preserve"> this field) are summed for counting purposes.</w:t>
            </w:r>
          </w:p>
        </w:tc>
      </w:tr>
    </w:tbl>
    <w:p w14:paraId="7F02F98B" w14:textId="77777777" w:rsidR="00341E37" w:rsidRDefault="000F18CC"/>
    <w:sectPr w:rsidR="00341E37" w:rsidSect="00EB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CC"/>
    <w:rsid w:val="000F18CC"/>
    <w:rsid w:val="00435987"/>
    <w:rsid w:val="00EB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F83E6"/>
  <w14:defaultImageDpi w14:val="32767"/>
  <w15:chartTrackingRefBased/>
  <w15:docId w15:val="{A993C8D5-545A-6441-ADAA-8C2CE8C1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F18C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8C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8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8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18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18CC"/>
    <w:rPr>
      <w:color w:val="0000FF"/>
      <w:u w:val="single"/>
    </w:rPr>
  </w:style>
  <w:style w:type="character" w:customStyle="1" w:styleId="apple-converted-space">
    <w:name w:val="apple-converted-space"/>
    <w:basedOn w:val="DefaultParagraphFont"/>
    <w:rsid w:val="000F18CC"/>
  </w:style>
  <w:style w:type="character" w:styleId="UnresolvedMention">
    <w:name w:val="Unresolved Mention"/>
    <w:basedOn w:val="DefaultParagraphFont"/>
    <w:uiPriority w:val="99"/>
    <w:rsid w:val="000F1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2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port.office.com/en-us/article/Keep-leading-zeros-1bf7b935-36e1-4985-842f-5dfa51f85fe7" TargetMode="External"/><Relationship Id="rId4" Type="http://schemas.openxmlformats.org/officeDocument/2006/relationships/hyperlink" Target="https://www.portlandoregon.gov/police/article/627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Mansolilli</dc:creator>
  <cp:keywords/>
  <dc:description/>
  <cp:lastModifiedBy>Ronald Mansolilli</cp:lastModifiedBy>
  <cp:revision>1</cp:revision>
  <dcterms:created xsi:type="dcterms:W3CDTF">2021-01-12T19:49:00Z</dcterms:created>
  <dcterms:modified xsi:type="dcterms:W3CDTF">2021-01-12T19:54:00Z</dcterms:modified>
</cp:coreProperties>
</file>