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8650AD" w:rsidRDefault="008650AD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7" type="#_x0000_t202" style="position:absolute;left:0;text-align:left;margin-left:-12.5pt;margin-top:33.8pt;width:419.45pt;height:422.55pt;flip:x;z-index:2516567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תיבת טקסט 2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A566F2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A566F2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שערי מדע ומשפט 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A566F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A566F2">
                    <w:rPr>
                      <w:rFonts w:cs="David" w:hint="cs"/>
                      <w:sz w:val="26"/>
                      <w:szCs w:val="26"/>
                      <w:rtl/>
                    </w:rPr>
                    <w:t>2018</w:t>
                  </w:r>
                </w:p>
                <w:p w:rsidR="00B050AF" w:rsidRDefault="00B050AF" w:rsidP="00A566F2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="00A566F2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תשע"ח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A566F2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="00A566F2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1724 סטודנטים 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A566F2" w:rsidRDefault="00B050AF" w:rsidP="00A566F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A566F2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ממונה 1 </w:t>
                  </w:r>
                </w:p>
                <w:p w:rsidR="00BF4D96" w:rsidRDefault="00A566F2" w:rsidP="00A566F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ניצה טבנקין- מנהלת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דקאנט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סטודנטים</w:t>
                  </w:r>
                  <w:r w:rsidR="00B050AF"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האחראים עברו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בסמוך למינוים השתלמות בהיקף של 18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A566F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proofErr w:type="spellStart"/>
                  <w:r w:rsidR="00A566F2">
                    <w:rPr>
                      <w:rFonts w:cs="David"/>
                      <w:sz w:val="26"/>
                      <w:szCs w:val="26"/>
                    </w:rPr>
                    <w:t>bsafe</w:t>
                  </w:r>
                  <w:proofErr w:type="spellEnd"/>
                  <w:r w:rsidR="00A566F2"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  <w:r w:rsidR="00A566F2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אוניברסיטת תל אביב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BF4D96" w:rsidP="00A566F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השתלמות</w:t>
                  </w:r>
                  <w:r w:rsidR="00A566F2">
                    <w:rPr>
                      <w:rFonts w:cs="David" w:hint="cs"/>
                      <w:sz w:val="26"/>
                      <w:szCs w:val="26"/>
                      <w:rtl/>
                    </w:rPr>
                    <w:t>: החוק למניעת הטרדה מינית הממונה ומה שביניהם</w:t>
                  </w:r>
                </w:p>
                <w:p w:rsidR="00A566F2" w:rsidRDefault="00A566F2" w:rsidP="00A566F2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*הביטים חברתיים, פס</w:t>
                  </w:r>
                  <w:r w:rsidR="00F05CDE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כולוגיים ומשפטיים של הטרדות מיניות</w:t>
                  </w:r>
                </w:p>
                <w:p w:rsidR="00A566F2" w:rsidRDefault="00A566F2" w:rsidP="00A566F2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*תהליך ברור התלונות-קבלת החלטות אתיות ופרקטיות 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/>
          <w:sz w:val="26"/>
          <w:szCs w:val="26"/>
          <w:rtl/>
        </w:rPr>
      </w:pPr>
    </w:p>
    <w:p w:rsidR="00042ACC" w:rsidRDefault="00042ACC" w:rsidP="00B050AF">
      <w:pPr>
        <w:rPr>
          <w:rFonts w:cs="David"/>
          <w:sz w:val="26"/>
          <w:szCs w:val="26"/>
          <w:rtl/>
        </w:rPr>
      </w:pPr>
    </w:p>
    <w:p w:rsidR="00042ACC" w:rsidRDefault="00042ACC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7728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32F3B" w:rsidRDefault="00C17833" w:rsidP="00732F3B">
                  <w:pPr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</w:t>
                  </w:r>
                  <w:r w:rsidR="00732F3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ולסטודנטים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511D3B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1998:</w:t>
                  </w: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732F3B" w:rsidRDefault="00732F3B" w:rsidP="00732F3B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732F3B">
                    <w:rPr>
                      <w:rFonts w:cs="David"/>
                      <w:sz w:val="26"/>
                      <w:szCs w:val="26"/>
                      <w:rtl/>
                    </w:rPr>
                    <w:t>פרסום קבוע על גבי לוחות המודעות בקמפוס הכולל נוהל וזהות של הנציב תלונות לענייני הטרדה מינית ודרכי הפניה .</w:t>
                  </w:r>
                </w:p>
                <w:p w:rsidR="00511D3B" w:rsidRPr="00732F3B" w:rsidRDefault="00511D3B" w:rsidP="00732F3B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1C7A6F" w:rsidRPr="001C7A6F" w:rsidRDefault="00732F3B" w:rsidP="00732F3B">
                  <w:pPr>
                    <w:jc w:val="both"/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  <w:r w:rsidRPr="001C7A6F"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  <w:t>סטודנטים:</w:t>
                  </w:r>
                </w:p>
                <w:p w:rsidR="00732F3B" w:rsidRPr="00732F3B" w:rsidRDefault="00732F3B" w:rsidP="00732F3B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732F3B">
                    <w:rPr>
                      <w:rFonts w:cs="David"/>
                      <w:sz w:val="26"/>
                      <w:szCs w:val="26"/>
                      <w:rtl/>
                    </w:rPr>
                    <w:t xml:space="preserve"> כל סטודנט/</w:t>
                  </w:r>
                  <w:proofErr w:type="spellStart"/>
                  <w:r w:rsidRPr="00732F3B">
                    <w:rPr>
                      <w:rFonts w:cs="David"/>
                      <w:sz w:val="26"/>
                      <w:szCs w:val="26"/>
                      <w:rtl/>
                    </w:rPr>
                    <w:t>ית</w:t>
                  </w:r>
                  <w:proofErr w:type="spellEnd"/>
                  <w:r w:rsidRPr="00732F3B">
                    <w:rPr>
                      <w:rFonts w:cs="David"/>
                      <w:sz w:val="26"/>
                      <w:szCs w:val="26"/>
                      <w:rtl/>
                    </w:rPr>
                    <w:t xml:space="preserve"> חייב לצפות במצגת המורכבת מתכנים רלוונטיים בנושא, המצגת נשלחת לתחנת המידע האישית של כל סטודנט בתחילת שנת הלימודים.</w:t>
                  </w:r>
                </w:p>
                <w:p w:rsidR="00732F3B" w:rsidRDefault="00732F3B" w:rsidP="00732F3B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732F3B">
                    <w:rPr>
                      <w:rFonts w:cs="David"/>
                      <w:sz w:val="26"/>
                      <w:szCs w:val="26"/>
                      <w:rtl/>
                    </w:rPr>
                    <w:t xml:space="preserve">פעמיים בשנה בכל תחילת </w:t>
                  </w:r>
                  <w:proofErr w:type="spellStart"/>
                  <w:r w:rsidRPr="00732F3B">
                    <w:rPr>
                      <w:rFonts w:cs="David"/>
                      <w:sz w:val="26"/>
                      <w:szCs w:val="26"/>
                      <w:rtl/>
                    </w:rPr>
                    <w:t>סמ</w:t>
                  </w:r>
                  <w:proofErr w:type="spellEnd"/>
                  <w:r w:rsidRPr="00732F3B">
                    <w:rPr>
                      <w:rFonts w:cs="David"/>
                      <w:sz w:val="26"/>
                      <w:szCs w:val="26"/>
                      <w:rtl/>
                    </w:rPr>
                    <w:t>'</w:t>
                  </w:r>
                </w:p>
                <w:p w:rsidR="00732F3B" w:rsidRDefault="00732F3B" w:rsidP="00732F3B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32F3B" w:rsidRPr="00732F3B" w:rsidRDefault="00732F3B" w:rsidP="00732F3B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32F3B" w:rsidRPr="001C7A6F" w:rsidRDefault="00732F3B" w:rsidP="00732F3B">
                  <w:pPr>
                    <w:jc w:val="both"/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  <w:r w:rsidRPr="001C7A6F"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  <w:t xml:space="preserve">סגל </w:t>
                  </w:r>
                </w:p>
                <w:p w:rsidR="00732F3B" w:rsidRDefault="00732F3B" w:rsidP="00732F3B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732F3B">
                    <w:rPr>
                      <w:rFonts w:cs="David"/>
                      <w:sz w:val="26"/>
                      <w:szCs w:val="26"/>
                      <w:rtl/>
                    </w:rPr>
                    <w:t xml:space="preserve">*כל אנשי הסגל האקדמי והמנהלי קבל ולדואר האלקטרוני דף מידע הכולל: את הנוהל העוסק  בנושא את  עיקרי החוק ודרכי הפניה לנציבה. בנוסף צפייה במצגת המפרטת ומפרשת  את החוק. </w:t>
                  </w:r>
                </w:p>
                <w:p w:rsidR="001C7A6F" w:rsidRPr="00732F3B" w:rsidRDefault="001C7A6F" w:rsidP="00732F3B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32F3B" w:rsidRPr="00732F3B" w:rsidRDefault="00732F3B" w:rsidP="00732F3B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1C7A6F">
                    <w:rPr>
                      <w:rFonts w:cs="David"/>
                      <w:b/>
                      <w:bCs/>
                      <w:sz w:val="26"/>
                      <w:szCs w:val="26"/>
                      <w:u w:val="single"/>
                      <w:rtl/>
                    </w:rPr>
                    <w:t>אתר המרכז האקדמי</w:t>
                  </w:r>
                  <w:r w:rsidRPr="00732F3B">
                    <w:rPr>
                      <w:rFonts w:cs="David"/>
                      <w:sz w:val="26"/>
                      <w:szCs w:val="26"/>
                      <w:rtl/>
                    </w:rPr>
                    <w:t xml:space="preserve">:  </w:t>
                  </w:r>
                </w:p>
                <w:p w:rsidR="00732F3B" w:rsidRPr="00732F3B" w:rsidRDefault="00732F3B" w:rsidP="001C7A6F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732F3B">
                    <w:rPr>
                      <w:rFonts w:cs="David"/>
                      <w:sz w:val="26"/>
                      <w:szCs w:val="26"/>
                      <w:rtl/>
                    </w:rPr>
                    <w:t>1.פרסום תקנון למניעת הטרדה בשפות על פי הנדרש בחוק.</w:t>
                  </w:r>
                </w:p>
                <w:p w:rsidR="00732F3B" w:rsidRDefault="00732F3B" w:rsidP="001C7A6F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732F3B">
                    <w:rPr>
                      <w:rFonts w:cs="David"/>
                      <w:sz w:val="26"/>
                      <w:szCs w:val="26"/>
                      <w:rtl/>
                    </w:rPr>
                    <w:t>2.פרסום  נהלים ופרטי התקשרות של הנציבה.</w:t>
                  </w:r>
                </w:p>
                <w:p w:rsidR="00511D3B" w:rsidRPr="00732F3B" w:rsidRDefault="00511D3B" w:rsidP="001C7A6F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3. </w:t>
                  </w:r>
                  <w:r w:rsidRPr="00511D3B">
                    <w:rPr>
                      <w:rFonts w:cs="David"/>
                      <w:sz w:val="26"/>
                      <w:szCs w:val="26"/>
                      <w:rtl/>
                    </w:rPr>
                    <w:t>מצגת הכוללת את עיקרי החוק</w:t>
                  </w:r>
                </w:p>
                <w:p w:rsidR="00732F3B" w:rsidRPr="00732F3B" w:rsidRDefault="00732F3B" w:rsidP="00511D3B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32F3B" w:rsidRDefault="00732F3B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lastRenderedPageBreak/>
        <w:pict>
          <v:shape id="_x0000_s1030" type="#_x0000_t202" style="position:absolute;left:0;text-align:left;margin-left:-16.9pt;margin-top:21.35pt;width:420.55pt;height:136.3pt;flip:x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A54B3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A54B37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</w:p>
                <w:p w:rsidR="00BC362C" w:rsidRDefault="00BC362C" w:rsidP="00A54B3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A54B37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</w:p>
                <w:p w:rsidR="00BC362C" w:rsidRDefault="00BC362C" w:rsidP="00A54B3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A54B37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042ACC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042ACC">
        <w:rPr>
          <w:rFonts w:cs="David" w:hint="cs"/>
          <w:b/>
          <w:bCs/>
          <w:sz w:val="26"/>
          <w:szCs w:val="26"/>
          <w:u w:val="single"/>
          <w:rtl/>
        </w:rPr>
        <w:t>פרוט לגבי אופן ה</w:t>
      </w:r>
      <w:r>
        <w:rPr>
          <w:rFonts w:cs="David" w:hint="cs"/>
          <w:b/>
          <w:bCs/>
          <w:sz w:val="26"/>
          <w:szCs w:val="26"/>
          <w:u w:val="single"/>
          <w:rtl/>
        </w:rPr>
        <w:t>ט</w:t>
      </w:r>
      <w:r w:rsidRPr="00042ACC">
        <w:rPr>
          <w:rFonts w:cs="David" w:hint="cs"/>
          <w:b/>
          <w:bCs/>
          <w:sz w:val="26"/>
          <w:szCs w:val="26"/>
          <w:u w:val="single"/>
          <w:rtl/>
        </w:rPr>
        <w:t xml:space="preserve">פול בתלונות </w:t>
      </w:r>
      <w:r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042ACC" w:rsidRPr="00042ACC" w:rsidRDefault="00042ACC" w:rsidP="00B050AF">
      <w:pPr>
        <w:rPr>
          <w:rFonts w:cs="David"/>
          <w:b/>
          <w:bCs/>
          <w:sz w:val="26"/>
          <w:szCs w:val="26"/>
          <w:u w:val="single"/>
          <w:rtl/>
        </w:rPr>
      </w:pPr>
    </w:p>
    <w:p w:rsidR="00042ACC" w:rsidRDefault="00042ACC" w:rsidP="00042ACC">
      <w:pPr>
        <w:framePr w:hSpace="180" w:wrap="around" w:vAnchor="text" w:hAnchor="margin" w:y="153"/>
        <w:rPr>
          <w:rFonts w:cs="David"/>
          <w:sz w:val="26"/>
          <w:szCs w:val="26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7570D" w:rsidRPr="00D45F01" w:rsidTr="00D45F01">
        <w:tc>
          <w:tcPr>
            <w:tcW w:w="4148" w:type="dxa"/>
            <w:shd w:val="clear" w:color="auto" w:fill="auto"/>
          </w:tcPr>
          <w:p w:rsidR="00E7570D" w:rsidRPr="00D45F01" w:rsidRDefault="00E7570D" w:rsidP="00D45F01">
            <w:pPr>
              <w:jc w:val="both"/>
              <w:rPr>
                <w:rFonts w:cs="David"/>
                <w:sz w:val="26"/>
                <w:szCs w:val="26"/>
                <w:rtl/>
              </w:rPr>
            </w:pPr>
            <w:r w:rsidRPr="00D45F01">
              <w:rPr>
                <w:rFonts w:cs="David"/>
                <w:rtl/>
              </w:rPr>
              <w:t>המעורבים במקרה נשוא התלונה – שיוך (סטודנט, איש סגל וכו'</w:t>
            </w:r>
            <w:r w:rsidRPr="00D45F01">
              <w:rPr>
                <w:rFonts w:cs="David"/>
                <w:sz w:val="26"/>
                <w:szCs w:val="26"/>
                <w:rtl/>
              </w:rPr>
              <w:t>) ללא פרטים מזהים</w:t>
            </w:r>
          </w:p>
        </w:tc>
        <w:tc>
          <w:tcPr>
            <w:tcW w:w="4148" w:type="dxa"/>
            <w:shd w:val="clear" w:color="auto" w:fill="auto"/>
          </w:tcPr>
          <w:p w:rsidR="00E7570D" w:rsidRPr="00D45F01" w:rsidRDefault="00E7570D" w:rsidP="00D45F01">
            <w:pPr>
              <w:rPr>
                <w:rFonts w:cs="David"/>
                <w:color w:val="2E74B5"/>
                <w:sz w:val="26"/>
                <w:szCs w:val="26"/>
                <w:rtl/>
              </w:rPr>
            </w:pPr>
            <w:r w:rsidRPr="00D45F01">
              <w:rPr>
                <w:rFonts w:cs="David" w:hint="cs"/>
                <w:color w:val="2E74B5"/>
                <w:sz w:val="26"/>
                <w:szCs w:val="26"/>
                <w:rtl/>
              </w:rPr>
              <w:t>סטודנטים</w:t>
            </w:r>
          </w:p>
        </w:tc>
      </w:tr>
      <w:tr w:rsidR="00E7570D" w:rsidRPr="00D45F01" w:rsidTr="00D45F01">
        <w:tc>
          <w:tcPr>
            <w:tcW w:w="4148" w:type="dxa"/>
            <w:shd w:val="clear" w:color="auto" w:fill="auto"/>
          </w:tcPr>
          <w:p w:rsidR="00E7570D" w:rsidRPr="00D45F01" w:rsidRDefault="00E7570D" w:rsidP="00D45F01">
            <w:pPr>
              <w:jc w:val="center"/>
              <w:rPr>
                <w:rFonts w:cs="David"/>
                <w:sz w:val="26"/>
                <w:szCs w:val="26"/>
                <w:rtl/>
              </w:rPr>
            </w:pPr>
            <w:r w:rsidRPr="00D45F01">
              <w:rPr>
                <w:rFonts w:cs="David"/>
                <w:sz w:val="26"/>
                <w:szCs w:val="26"/>
                <w:rtl/>
              </w:rPr>
              <w:t>מהות התלונה ופירוט המקרה – ללא פרטים מזהים</w:t>
            </w:r>
          </w:p>
        </w:tc>
        <w:tc>
          <w:tcPr>
            <w:tcW w:w="4148" w:type="dxa"/>
            <w:shd w:val="clear" w:color="auto" w:fill="auto"/>
          </w:tcPr>
          <w:p w:rsidR="00E7570D" w:rsidRPr="00D45F01" w:rsidRDefault="001C7A6F" w:rsidP="00D45F01">
            <w:pPr>
              <w:rPr>
                <w:rFonts w:cs="David"/>
                <w:color w:val="2E74B5"/>
                <w:sz w:val="26"/>
                <w:szCs w:val="26"/>
                <w:rtl/>
              </w:rPr>
            </w:pPr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>תלונה על התנהגות פוגענית על אי כבוד המרחב האישי(סטודנטית דתיה</w:t>
            </w:r>
            <w:r w:rsidRPr="00D45F01">
              <w:rPr>
                <w:rFonts w:cs="David" w:hint="cs"/>
                <w:color w:val="2E74B5"/>
                <w:sz w:val="26"/>
                <w:szCs w:val="26"/>
                <w:rtl/>
              </w:rPr>
              <w:t>)</w:t>
            </w:r>
          </w:p>
        </w:tc>
      </w:tr>
      <w:tr w:rsidR="00E7570D" w:rsidRPr="00D45F01" w:rsidTr="00D45F01">
        <w:tc>
          <w:tcPr>
            <w:tcW w:w="4148" w:type="dxa"/>
            <w:shd w:val="clear" w:color="auto" w:fill="auto"/>
          </w:tcPr>
          <w:p w:rsidR="00E7570D" w:rsidRPr="00D45F01" w:rsidRDefault="00E7570D" w:rsidP="00D45F01">
            <w:pPr>
              <w:jc w:val="both"/>
              <w:rPr>
                <w:rFonts w:cs="David"/>
                <w:sz w:val="26"/>
                <w:szCs w:val="26"/>
                <w:rtl/>
              </w:rPr>
            </w:pPr>
            <w:r w:rsidRPr="00D45F01">
              <w:rPr>
                <w:rFonts w:cs="David"/>
                <w:sz w:val="26"/>
                <w:szCs w:val="26"/>
                <w:rtl/>
              </w:rPr>
              <w:tab/>
              <w:t>מועד הגשת התלונה</w:t>
            </w:r>
          </w:p>
        </w:tc>
        <w:tc>
          <w:tcPr>
            <w:tcW w:w="4148" w:type="dxa"/>
            <w:shd w:val="clear" w:color="auto" w:fill="auto"/>
          </w:tcPr>
          <w:p w:rsidR="00E7570D" w:rsidRPr="00D45F01" w:rsidRDefault="001C7A6F" w:rsidP="00D45F01">
            <w:pPr>
              <w:rPr>
                <w:rFonts w:cs="David"/>
                <w:color w:val="2E74B5"/>
                <w:sz w:val="26"/>
                <w:szCs w:val="26"/>
                <w:rtl/>
              </w:rPr>
            </w:pPr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>7/6/18</w:t>
            </w:r>
          </w:p>
        </w:tc>
      </w:tr>
      <w:tr w:rsidR="00E7570D" w:rsidRPr="00D45F01" w:rsidTr="00D45F01">
        <w:tc>
          <w:tcPr>
            <w:tcW w:w="4148" w:type="dxa"/>
            <w:shd w:val="clear" w:color="auto" w:fill="auto"/>
          </w:tcPr>
          <w:p w:rsidR="00E7570D" w:rsidRPr="00D45F01" w:rsidRDefault="00E7570D" w:rsidP="00D45F01">
            <w:pPr>
              <w:jc w:val="both"/>
              <w:rPr>
                <w:rFonts w:cs="David"/>
                <w:sz w:val="26"/>
                <w:szCs w:val="26"/>
                <w:rtl/>
              </w:rPr>
            </w:pPr>
            <w:r w:rsidRPr="00D45F01">
              <w:rPr>
                <w:rFonts w:cs="David"/>
                <w:sz w:val="26"/>
                <w:szCs w:val="26"/>
                <w:rtl/>
              </w:rPr>
              <w:tab/>
              <w:t>מועד סיום הטיפול</w:t>
            </w:r>
          </w:p>
        </w:tc>
        <w:tc>
          <w:tcPr>
            <w:tcW w:w="4148" w:type="dxa"/>
            <w:shd w:val="clear" w:color="auto" w:fill="auto"/>
          </w:tcPr>
          <w:p w:rsidR="00E7570D" w:rsidRPr="00B83CA3" w:rsidRDefault="001C7A6F" w:rsidP="00D45F01">
            <w:pPr>
              <w:rPr>
                <w:rFonts w:cs="David"/>
                <w:color w:val="2E74B5"/>
                <w:sz w:val="26"/>
                <w:szCs w:val="26"/>
                <w:rtl/>
              </w:rPr>
            </w:pPr>
            <w:r w:rsidRPr="00B83CA3">
              <w:rPr>
                <w:rFonts w:cs="David" w:hint="cs"/>
                <w:color w:val="2E74B5"/>
                <w:sz w:val="26"/>
                <w:szCs w:val="26"/>
                <w:rtl/>
              </w:rPr>
              <w:t>26/6/18</w:t>
            </w:r>
          </w:p>
        </w:tc>
      </w:tr>
      <w:tr w:rsidR="00E7570D" w:rsidRPr="00D45F01" w:rsidTr="00D45F01">
        <w:tc>
          <w:tcPr>
            <w:tcW w:w="4148" w:type="dxa"/>
            <w:shd w:val="clear" w:color="auto" w:fill="auto"/>
          </w:tcPr>
          <w:p w:rsidR="00E7570D" w:rsidRPr="00D45F01" w:rsidRDefault="00E7570D" w:rsidP="00D45F01">
            <w:pPr>
              <w:jc w:val="center"/>
              <w:rPr>
                <w:rFonts w:cs="David"/>
                <w:sz w:val="26"/>
                <w:szCs w:val="26"/>
                <w:rtl/>
              </w:rPr>
            </w:pPr>
            <w:r w:rsidRPr="00D45F01">
              <w:rPr>
                <w:rFonts w:cs="David"/>
                <w:sz w:val="26"/>
                <w:szCs w:val="26"/>
                <w:rtl/>
              </w:rPr>
              <w:t>אופן הטיפול לרבות פירוט צעדי הביניים שננקטו וכן אמצעים נוספים שננקטו – כגון הגנה על המתלונן, ככל שננקטו</w:t>
            </w:r>
          </w:p>
        </w:tc>
        <w:tc>
          <w:tcPr>
            <w:tcW w:w="4148" w:type="dxa"/>
            <w:shd w:val="clear" w:color="auto" w:fill="auto"/>
          </w:tcPr>
          <w:p w:rsidR="00E7570D" w:rsidRPr="00D45F01" w:rsidRDefault="001C7A6F" w:rsidP="00D45F01">
            <w:pPr>
              <w:rPr>
                <w:rFonts w:cs="David"/>
                <w:color w:val="2E74B5"/>
                <w:sz w:val="26"/>
                <w:szCs w:val="26"/>
                <w:rtl/>
              </w:rPr>
            </w:pPr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 xml:space="preserve">התקיימה פגישה עם </w:t>
            </w:r>
            <w:proofErr w:type="spellStart"/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>הנילון</w:t>
            </w:r>
            <w:proofErr w:type="spellEnd"/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>,</w:t>
            </w:r>
            <w:r w:rsidRPr="00D45F01">
              <w:rPr>
                <w:rFonts w:cs="David" w:hint="cs"/>
                <w:color w:val="2E74B5"/>
                <w:sz w:val="26"/>
                <w:szCs w:val="26"/>
                <w:rtl/>
              </w:rPr>
              <w:t xml:space="preserve"> </w:t>
            </w:r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>מדבריו הובן כי לא מדובר בהטרדה על רקע מיני,</w:t>
            </w:r>
            <w:r w:rsidRPr="00D45F01">
              <w:rPr>
                <w:rFonts w:cs="David" w:hint="cs"/>
                <w:color w:val="2E74B5"/>
                <w:sz w:val="26"/>
                <w:szCs w:val="26"/>
                <w:rtl/>
              </w:rPr>
              <w:t xml:space="preserve"> </w:t>
            </w:r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>אלא בהתנהלות רגילה בחברה החילונ</w:t>
            </w:r>
            <w:r w:rsidRPr="00D45F01">
              <w:rPr>
                <w:rFonts w:cs="David" w:hint="cs"/>
                <w:color w:val="2E74B5"/>
                <w:sz w:val="26"/>
                <w:szCs w:val="26"/>
                <w:rtl/>
              </w:rPr>
              <w:t>י</w:t>
            </w:r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>ת שאינה מקובלת בחברה הדתית(טפיחה על שכם,</w:t>
            </w:r>
            <w:r w:rsidRPr="00D45F01">
              <w:rPr>
                <w:rFonts w:cs="David" w:hint="cs"/>
                <w:color w:val="2E74B5"/>
                <w:sz w:val="26"/>
                <w:szCs w:val="26"/>
                <w:rtl/>
              </w:rPr>
              <w:t xml:space="preserve"> </w:t>
            </w:r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>הושטת יד וקרבה פיזית ).</w:t>
            </w:r>
            <w:proofErr w:type="spellStart"/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>הנילון</w:t>
            </w:r>
            <w:proofErr w:type="spellEnd"/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 xml:space="preserve"> לא היה מודע לפגיעה והיא מצידה לא הסבה את תשומת לבו לכך. </w:t>
            </w:r>
            <w:proofErr w:type="spellStart"/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>הנילון</w:t>
            </w:r>
            <w:proofErr w:type="spellEnd"/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 xml:space="preserve"> הבטיח לכבד את המרחב האישי של המלינה ושל חברותיה לכיתה ושים לב להבדלי תרבות אפשריים בשיח ובהתנהגו</w:t>
            </w:r>
            <w:r w:rsidRPr="00D45F01">
              <w:rPr>
                <w:rFonts w:cs="David" w:hint="cs"/>
                <w:color w:val="2E74B5"/>
                <w:sz w:val="26"/>
                <w:szCs w:val="26"/>
                <w:rtl/>
              </w:rPr>
              <w:t>ת</w:t>
            </w:r>
          </w:p>
        </w:tc>
      </w:tr>
      <w:tr w:rsidR="00E7570D" w:rsidRPr="00D45F01" w:rsidTr="00D45F01">
        <w:tc>
          <w:tcPr>
            <w:tcW w:w="4148" w:type="dxa"/>
            <w:shd w:val="clear" w:color="auto" w:fill="auto"/>
          </w:tcPr>
          <w:p w:rsidR="00E7570D" w:rsidRPr="00D45F01" w:rsidRDefault="00E7570D" w:rsidP="00D45F01">
            <w:pPr>
              <w:jc w:val="both"/>
              <w:rPr>
                <w:rFonts w:cs="David"/>
                <w:sz w:val="26"/>
                <w:szCs w:val="26"/>
                <w:rtl/>
              </w:rPr>
            </w:pPr>
            <w:r w:rsidRPr="00D45F01">
              <w:rPr>
                <w:rFonts w:cs="David"/>
                <w:sz w:val="26"/>
                <w:szCs w:val="26"/>
                <w:rtl/>
              </w:rPr>
              <w:tab/>
              <w:t>המלצת האחראי</w:t>
            </w:r>
          </w:p>
        </w:tc>
        <w:tc>
          <w:tcPr>
            <w:tcW w:w="4148" w:type="dxa"/>
            <w:shd w:val="clear" w:color="auto" w:fill="auto"/>
          </w:tcPr>
          <w:p w:rsidR="00E7570D" w:rsidRPr="00D45F01" w:rsidRDefault="001C7A6F" w:rsidP="001C7A6F">
            <w:pPr>
              <w:rPr>
                <w:rFonts w:cs="David"/>
                <w:color w:val="2E74B5"/>
                <w:sz w:val="26"/>
                <w:szCs w:val="26"/>
                <w:rtl/>
              </w:rPr>
            </w:pPr>
            <w:r w:rsidRPr="00D45F01">
              <w:rPr>
                <w:rFonts w:cs="David" w:hint="cs"/>
                <w:color w:val="2E74B5"/>
                <w:sz w:val="26"/>
                <w:szCs w:val="26"/>
                <w:rtl/>
              </w:rPr>
              <w:t xml:space="preserve">אין מקום על  לדיון משמעתית על הטרדה מינית </w:t>
            </w:r>
          </w:p>
        </w:tc>
      </w:tr>
      <w:tr w:rsidR="00E7570D" w:rsidRPr="00D45F01" w:rsidTr="00D45F01">
        <w:tc>
          <w:tcPr>
            <w:tcW w:w="4148" w:type="dxa"/>
            <w:shd w:val="clear" w:color="auto" w:fill="auto"/>
          </w:tcPr>
          <w:p w:rsidR="00E7570D" w:rsidRPr="00D45F01" w:rsidRDefault="00E7570D" w:rsidP="00D45F01">
            <w:pPr>
              <w:jc w:val="center"/>
              <w:rPr>
                <w:rFonts w:cs="David"/>
                <w:sz w:val="26"/>
                <w:szCs w:val="26"/>
                <w:rtl/>
              </w:rPr>
            </w:pPr>
            <w:r w:rsidRPr="00D45F01">
              <w:rPr>
                <w:rFonts w:cs="David"/>
                <w:sz w:val="26"/>
                <w:szCs w:val="26"/>
                <w:rtl/>
              </w:rPr>
              <w:t>החלטת המוסד</w:t>
            </w:r>
            <w:r w:rsidRPr="00D45F01">
              <w:rPr>
                <w:rFonts w:cs="David"/>
                <w:sz w:val="26"/>
                <w:szCs w:val="26"/>
                <w:rtl/>
              </w:rPr>
              <w:tab/>
            </w:r>
          </w:p>
        </w:tc>
        <w:tc>
          <w:tcPr>
            <w:tcW w:w="4148" w:type="dxa"/>
            <w:shd w:val="clear" w:color="auto" w:fill="auto"/>
          </w:tcPr>
          <w:p w:rsidR="001C7A6F" w:rsidRPr="00D45F01" w:rsidRDefault="001C7A6F" w:rsidP="00D45F01">
            <w:pPr>
              <w:bidi w:val="0"/>
              <w:jc w:val="right"/>
              <w:rPr>
                <w:rFonts w:cs="David"/>
                <w:color w:val="2E74B5"/>
                <w:sz w:val="26"/>
                <w:szCs w:val="26"/>
              </w:rPr>
            </w:pPr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 xml:space="preserve">התנהגותו של הסטודנט כפי שתוארה בתלונה </w:t>
            </w:r>
            <w:r w:rsidRPr="00D45F01">
              <w:rPr>
                <w:rFonts w:cs="David" w:hint="cs"/>
                <w:color w:val="2E74B5"/>
                <w:sz w:val="26"/>
                <w:szCs w:val="26"/>
                <w:rtl/>
              </w:rPr>
              <w:t>אינה</w:t>
            </w:r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 xml:space="preserve"> בגדר הטרדה מינית על פי </w:t>
            </w:r>
            <w:proofErr w:type="spellStart"/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>חוק.עם</w:t>
            </w:r>
            <w:proofErr w:type="spellEnd"/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 xml:space="preserve"> זאת להטרדה מכל סוג שהוא אין מקום במוסדנו</w:t>
            </w:r>
            <w:r w:rsidRPr="00D45F01">
              <w:rPr>
                <w:rFonts w:cs="David" w:hint="cs"/>
                <w:color w:val="2E74B5"/>
                <w:sz w:val="26"/>
                <w:szCs w:val="26"/>
                <w:rtl/>
              </w:rPr>
              <w:t xml:space="preserve"> </w:t>
            </w:r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>.הובהרו כללי ההתנהגות וכי הטרדה מכל סוג שהוא או פגיעה בב</w:t>
            </w:r>
            <w:r w:rsidRPr="00D45F01">
              <w:rPr>
                <w:rFonts w:cs="David" w:hint="cs"/>
                <w:color w:val="2E74B5"/>
                <w:sz w:val="26"/>
                <w:szCs w:val="26"/>
                <w:rtl/>
              </w:rPr>
              <w:t>י</w:t>
            </w:r>
            <w:r w:rsidRPr="00D45F01">
              <w:rPr>
                <w:rFonts w:cs="David"/>
                <w:color w:val="2E74B5"/>
                <w:sz w:val="26"/>
                <w:szCs w:val="26"/>
                <w:rtl/>
              </w:rPr>
              <w:t>טחון האישי ותחושת הרווחה של הסטודנטים אינה מקובל בממרכז האקדמי</w:t>
            </w:r>
          </w:p>
          <w:p w:rsidR="00E7570D" w:rsidRPr="00D45F01" w:rsidRDefault="00E7570D" w:rsidP="00D45F01">
            <w:pPr>
              <w:rPr>
                <w:rFonts w:cs="David"/>
                <w:sz w:val="26"/>
                <w:szCs w:val="26"/>
                <w:rtl/>
              </w:rPr>
            </w:pPr>
          </w:p>
        </w:tc>
      </w:tr>
    </w:tbl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3CA3" w:rsidRDefault="00B83CA3" w:rsidP="00F122BE">
      <w:r>
        <w:separator/>
      </w:r>
    </w:p>
  </w:endnote>
  <w:endnote w:type="continuationSeparator" w:id="0">
    <w:p w:rsidR="00B83CA3" w:rsidRDefault="00B83CA3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3CA3" w:rsidRDefault="00B83CA3" w:rsidP="00F122BE">
      <w:r>
        <w:separator/>
      </w:r>
    </w:p>
  </w:footnote>
  <w:footnote w:type="continuationSeparator" w:id="0">
    <w:p w:rsidR="00B83CA3" w:rsidRDefault="00B83CA3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0E60" w:rsidRDefault="00950E60" w:rsidP="00B5340C">
    <w:pPr>
      <w:ind w:left="-1062" w:right="-1199"/>
      <w:jc w:val="center"/>
      <w:rPr>
        <w:rFonts w:ascii="Arial" w:hAnsi="Arial" w:cs="David"/>
        <w:sz w:val="26"/>
        <w:szCs w:val="26"/>
        <w:rtl/>
      </w:rPr>
    </w:pPr>
  </w:p>
  <w:p w:rsidR="00950E60" w:rsidRDefault="00950E60" w:rsidP="00B5340C">
    <w:pPr>
      <w:ind w:left="-1062" w:right="-1199"/>
      <w:jc w:val="center"/>
      <w:rPr>
        <w:rFonts w:ascii="Arial" w:hAnsi="Arial" w:cs="David"/>
        <w:sz w:val="26"/>
        <w:szCs w:val="26"/>
        <w:rtl/>
      </w:rPr>
    </w:pPr>
  </w:p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A4D38" w:rsidRDefault="00B5340C" w:rsidP="00042ACC">
    <w:pPr>
      <w:jc w:val="center"/>
      <w:rPr>
        <w:rFonts w:cs="David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042ACC" w:rsidRDefault="00042ACC" w:rsidP="00042ACC">
    <w:pPr>
      <w:jc w:val="center"/>
      <w:rPr>
        <w:rFonts w:cs="David"/>
        <w:sz w:val="26"/>
        <w:szCs w:val="26"/>
        <w:rtl/>
      </w:rPr>
    </w:pPr>
  </w:p>
  <w:p w:rsidR="00042ACC" w:rsidRDefault="00042ACC" w:rsidP="00042ACC">
    <w:pPr>
      <w:jc w:val="center"/>
      <w:rPr>
        <w:rFonts w:cs="David"/>
        <w:sz w:val="26"/>
        <w:szCs w:val="26"/>
        <w:rtl/>
      </w:rPr>
    </w:pPr>
  </w:p>
  <w:p w:rsidR="00042ACC" w:rsidRDefault="00042ACC" w:rsidP="00042ACC">
    <w:pPr>
      <w:jc w:val="center"/>
      <w:rPr>
        <w:rFonts w:cs="David"/>
        <w:sz w:val="26"/>
        <w:szCs w:val="26"/>
        <w:rtl/>
      </w:rPr>
    </w:pPr>
  </w:p>
  <w:p w:rsidR="00042ACC" w:rsidRPr="0070031C" w:rsidRDefault="00042ACC" w:rsidP="00042ACC">
    <w:pPr>
      <w:jc w:val="center"/>
      <w:rPr>
        <w:rFonts w:cs="David" w:hint="cs"/>
        <w:sz w:val="26"/>
        <w:szCs w:val="26"/>
        <w:rtl/>
      </w:rPr>
    </w:pP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457648">
    <w:abstractNumId w:val="0"/>
  </w:num>
  <w:num w:numId="2" w16cid:durableId="1272669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04F1E"/>
    <w:rsid w:val="00042ACC"/>
    <w:rsid w:val="00071CA6"/>
    <w:rsid w:val="00074E0C"/>
    <w:rsid w:val="000D0D94"/>
    <w:rsid w:val="0018031E"/>
    <w:rsid w:val="001B247C"/>
    <w:rsid w:val="001C09D3"/>
    <w:rsid w:val="001C7A6F"/>
    <w:rsid w:val="001D36AD"/>
    <w:rsid w:val="00212A96"/>
    <w:rsid w:val="002161BC"/>
    <w:rsid w:val="0022562C"/>
    <w:rsid w:val="00251BD2"/>
    <w:rsid w:val="002A20DC"/>
    <w:rsid w:val="00324BAD"/>
    <w:rsid w:val="00455F7C"/>
    <w:rsid w:val="004644EF"/>
    <w:rsid w:val="004B45BC"/>
    <w:rsid w:val="004C04E2"/>
    <w:rsid w:val="00511D3B"/>
    <w:rsid w:val="005356D2"/>
    <w:rsid w:val="0062546A"/>
    <w:rsid w:val="006513E6"/>
    <w:rsid w:val="006549C9"/>
    <w:rsid w:val="006B049D"/>
    <w:rsid w:val="0070031C"/>
    <w:rsid w:val="00732F3B"/>
    <w:rsid w:val="0074396D"/>
    <w:rsid w:val="00747DFB"/>
    <w:rsid w:val="007E7048"/>
    <w:rsid w:val="008524A1"/>
    <w:rsid w:val="0086140A"/>
    <w:rsid w:val="008650AD"/>
    <w:rsid w:val="00871544"/>
    <w:rsid w:val="008D2DF3"/>
    <w:rsid w:val="009213DD"/>
    <w:rsid w:val="00943B94"/>
    <w:rsid w:val="00945E88"/>
    <w:rsid w:val="00950E60"/>
    <w:rsid w:val="0096624F"/>
    <w:rsid w:val="009D75B0"/>
    <w:rsid w:val="009E54AB"/>
    <w:rsid w:val="009E75E8"/>
    <w:rsid w:val="00A54B37"/>
    <w:rsid w:val="00A566F2"/>
    <w:rsid w:val="00B050AF"/>
    <w:rsid w:val="00B441CA"/>
    <w:rsid w:val="00B5340C"/>
    <w:rsid w:val="00B83CA3"/>
    <w:rsid w:val="00B93C6F"/>
    <w:rsid w:val="00BA4D38"/>
    <w:rsid w:val="00BB04C0"/>
    <w:rsid w:val="00BC138A"/>
    <w:rsid w:val="00BC362C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15485"/>
    <w:rsid w:val="00D201D4"/>
    <w:rsid w:val="00D45F01"/>
    <w:rsid w:val="00DA41CA"/>
    <w:rsid w:val="00E25590"/>
    <w:rsid w:val="00E57081"/>
    <w:rsid w:val="00E7570D"/>
    <w:rsid w:val="00EA3BB4"/>
    <w:rsid w:val="00EB4B96"/>
    <w:rsid w:val="00EC1610"/>
    <w:rsid w:val="00EC2C0E"/>
    <w:rsid w:val="00EF79C7"/>
    <w:rsid w:val="00F05CDE"/>
    <w:rsid w:val="00F122B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31B6EC6-4A41-4ADC-B11A-5F99C65B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F05CDE"/>
    <w:rPr>
      <w:rFonts w:ascii="Tahoma" w:hAnsi="Tahoma" w:cs="Tahoma"/>
      <w:sz w:val="18"/>
      <w:szCs w:val="18"/>
    </w:rPr>
  </w:style>
  <w:style w:type="character" w:customStyle="1" w:styleId="a9">
    <w:name w:val="טקסט בלונים תו"/>
    <w:link w:val="a8"/>
    <w:rsid w:val="00F05CDE"/>
    <w:rPr>
      <w:rFonts w:ascii="Tahoma" w:hAnsi="Tahoma" w:cs="Tahoma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63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2496CF7D-8B1A-449B-BC3E-05F9F6345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0CF41-AF6A-410E-BD67-3ADF339D065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71B595E-1BBA-4649-BB6D-AAB796D48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2C128A-1263-4135-94FA-0A0B88DB25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D46A13-7EA2-491D-AA81-8C0BB91FAE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המרכז האקדמי שערי מדע ומשפט</dc:title>
  <dc:subject/>
  <dc:creator>Knesset</dc:creator>
  <cp:keywords/>
  <dc:description/>
  <cp:lastModifiedBy>רון טורצקי</cp:lastModifiedBy>
  <cp:revision>2</cp:revision>
  <cp:lastPrinted>2018-10-15T10:25:00Z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