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570C11" w:rsidRDefault="00570C11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570C11" w:rsidRDefault="00570C11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570C11" w:rsidRDefault="00570C11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</w:p>
                <w:p w:rsidR="00570C11" w:rsidRPr="00B050AF" w:rsidRDefault="00570C11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570C11" w:rsidRDefault="00570C11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F27107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עזריאלי מכללה אקדמית להנדסה ירושלים</w:t>
                  </w:r>
                </w:p>
                <w:p w:rsidR="00570C11" w:rsidRPr="002A20DC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D138DB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חודש נובמבר 2018</w:t>
                  </w:r>
                </w:p>
                <w:p w:rsidR="00570C11" w:rsidRPr="00D138DB" w:rsidRDefault="00570C11" w:rsidP="00570C11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</w:t>
                  </w:r>
                  <w:r w:rsidRPr="00D138DB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הדיווח מתייחס לשנת הלימודים תשע"ח</w:t>
                  </w: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 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כ-1500 סטודנטים</w:t>
                  </w:r>
                </w:p>
                <w:p w:rsidR="00570C11" w:rsidRDefault="00570C11" w:rsidP="00570C1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ענת חן, מנהלת משאבי אנוש</w:t>
                  </w:r>
                </w:p>
                <w:p w:rsidR="00570C11" w:rsidRDefault="00570C11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בהיקף של 18 שעות אקדמיות, 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על ידי המכללה למשאבי אנוש, רמת גן.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בנוסף לכך, השתתפות בפורום הממונות למניעת הטרדה מינית במוסדות להשכלה גבוהה </w:t>
                  </w:r>
                  <w:proofErr w:type="spellStart"/>
                  <w:r w:rsidRPr="00570C11">
                    <w:rPr>
                      <w:rFonts w:cs="David"/>
                      <w:sz w:val="26"/>
                      <w:szCs w:val="26"/>
                      <w:u w:val="single"/>
                    </w:rPr>
                    <w:t>bsafe</w:t>
                  </w:r>
                  <w:proofErr w:type="spellEnd"/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 -  קמפוסים ללא הטרדות מיניות.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570C11">
                    <w:rPr>
                      <w:rFonts w:cs="David" w:hint="cs"/>
                      <w:sz w:val="26"/>
                      <w:szCs w:val="26"/>
                      <w:rtl/>
                    </w:rPr>
                    <w:t>פירוט עיקרי ההשתלמות: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סקירת החוק למניעת הטרדה מינית, שינויים בחקיקה, סקירת ה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היבטים 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חברתיים, 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פסיכולוגיים ו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משפטיים של הטרדות מיניות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- הסבר ודוגמאות.</w:t>
                  </w: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מהות "יחסי המרות", תפקיד הממונה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במניעה ובטיפול</w:t>
                  </w:r>
                  <w:r w:rsidRPr="00570C1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  <w:r w:rsidRPr="00570C11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תהליך בירור התלונות –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ארגז כלים, </w:t>
                  </w:r>
                  <w:r w:rsidRPr="00570C11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קבלת החלטות אתיות ופרקטיות.</w:t>
                  </w:r>
                </w:p>
                <w:p w:rsidR="00570C11" w:rsidRP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570C11" w:rsidRDefault="00570C11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ידי_____________________________________________________ </w:t>
                  </w:r>
                </w:p>
                <w:p w:rsidR="00570C11" w:rsidRDefault="00570C11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עיקרי ההשתלמות________________________________________</w:t>
                  </w:r>
                </w:p>
                <w:p w:rsidR="00570C11" w:rsidRDefault="00570C11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570C11" w:rsidRDefault="00570C11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570C11" w:rsidRDefault="00570C11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70C11" w:rsidRDefault="00570C11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8pt;width:410.6pt;height:317.2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570C11" w:rsidRDefault="00570C11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570C11" w:rsidRDefault="00570C11" w:rsidP="00570C11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570C11" w:rsidRPr="00320C59" w:rsidRDefault="00570C11" w:rsidP="00570C11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sz w:val="24"/>
                      <w:szCs w:val="24"/>
                    </w:rPr>
                  </w:pPr>
                  <w:r w:rsidRPr="00DA274C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לומדה ייעודית בתחום מניעת הטרדה מינית </w:t>
                  </w:r>
                  <w:r w:rsidRPr="00320C59">
                    <w:rPr>
                      <w:rFonts w:hint="cs"/>
                      <w:sz w:val="24"/>
                      <w:szCs w:val="24"/>
                      <w:rtl/>
                    </w:rPr>
                    <w:t>המיועדת לשלוש אוכלוסיות: לציבור הסטודנטים, לסגל האקדמי ולחברי הסגל המנהלי.</w:t>
                  </w:r>
                </w:p>
                <w:p w:rsidR="00570C11" w:rsidRDefault="00570C11" w:rsidP="00570C11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תקנון-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נוסח ואושר תקנון למניעת הטרדה מינית.</w:t>
                  </w:r>
                </w:p>
                <w:p w:rsidR="00570C11" w:rsidRPr="002940F5" w:rsidRDefault="00570C11" w:rsidP="00570C11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נגישות ה</w:t>
                  </w: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מידע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בתחום מניעת הטרדה מינית </w:t>
                  </w: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באתר המכללה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ובאתר משאבי אנוש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כך שגם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חברי הסגל האקדמי, חברי הסגל המנהלי 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ו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ה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סטודנטים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חשופים למידע. </w:t>
                  </w:r>
                </w:p>
                <w:p w:rsidR="00570C11" w:rsidRDefault="00570C11" w:rsidP="00D3640B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sz w:val="24"/>
                      <w:szCs w:val="24"/>
                    </w:rPr>
                  </w:pPr>
                  <w:r w:rsidRPr="00320C5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תליית שילוט במכללה</w:t>
                  </w:r>
                  <w:r w:rsidRPr="00320C59">
                    <w:rPr>
                      <w:rFonts w:hint="cs"/>
                      <w:sz w:val="24"/>
                      <w:szCs w:val="24"/>
                      <w:rtl/>
                    </w:rPr>
                    <w:t xml:space="preserve"> (עיקרי תקנון)- כרזות עדכניות ב</w:t>
                  </w:r>
                  <w:r w:rsidR="00D3640B">
                    <w:rPr>
                      <w:rFonts w:hint="cs"/>
                      <w:sz w:val="24"/>
                      <w:szCs w:val="24"/>
                      <w:rtl/>
                    </w:rPr>
                    <w:t>ארבע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שפות, כולל פרטי קשר של הממונה </w:t>
                  </w:r>
                  <w:r w:rsidR="00D3640B">
                    <w:rPr>
                      <w:rFonts w:hint="cs"/>
                      <w:sz w:val="24"/>
                      <w:szCs w:val="24"/>
                      <w:rtl/>
                    </w:rPr>
                    <w:t xml:space="preserve">למניעת הטרדה מינית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מטעם המכללה.</w:t>
                  </w:r>
                </w:p>
                <w:p w:rsidR="00570C11" w:rsidRPr="002940F5" w:rsidRDefault="00570C11" w:rsidP="00570C11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קליטת עובדים חדשים-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כל עובד מנהלי או אקדמי שנקלט במכללה חותם על קריאת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תקציר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תקנות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חוק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מניעת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הטרדה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מינית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. המסמך מתויק בתיקו האישי. </w:t>
                  </w:r>
                </w:p>
                <w:p w:rsidR="00570C11" w:rsidRPr="002940F5" w:rsidRDefault="00570C11" w:rsidP="00570C11">
                  <w:pPr>
                    <w:pStyle w:val="a8"/>
                    <w:numPr>
                      <w:ilvl w:val="3"/>
                      <w:numId w:val="3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סטודנטים חדשים-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כל סטודנט חדש (גבר/</w:t>
                  </w:r>
                  <w:proofErr w:type="spellStart"/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אשה</w:t>
                  </w:r>
                  <w:proofErr w:type="spellEnd"/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) חותם בעת ההרשמה למכללה על ייפוי כוח המתיר למכללה לבקש אישור מהמשטרה, </w:t>
                  </w:r>
                  <w:r w:rsidRPr="002940F5">
                    <w:rPr>
                      <w:sz w:val="24"/>
                      <w:szCs w:val="24"/>
                      <w:rtl/>
                    </w:rPr>
                    <w:t xml:space="preserve">בהתאם לחוק למניעת העסקה של עברייני מין במוסדות מסוימים, 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Pr="002940F5">
                    <w:rPr>
                      <w:sz w:val="24"/>
                      <w:szCs w:val="24"/>
                      <w:rtl/>
                    </w:rPr>
                    <w:t>לצורך לימודי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ו</w:t>
                  </w:r>
                  <w:r w:rsidRPr="002940F5">
                    <w:rPr>
                      <w:sz w:val="24"/>
                      <w:szCs w:val="24"/>
                      <w:rtl/>
                    </w:rPr>
                    <w:t xml:space="preserve"> ולצורך ההתנסות המעשית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.</w:t>
                  </w:r>
                </w:p>
                <w:p w:rsidR="00570C11" w:rsidRDefault="00570C11" w:rsidP="00570C1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570C11" w:rsidRDefault="00570C11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1</w:t>
                  </w: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1</w:t>
                  </w:r>
                </w:p>
                <w:p w:rsidR="00570C11" w:rsidRDefault="00570C11" w:rsidP="00570C1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1 </w:t>
                  </w:r>
                </w:p>
                <w:p w:rsidR="00570C11" w:rsidRDefault="00570C11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70C11" w:rsidRDefault="00570C11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70C11" w:rsidRDefault="00570C11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E25B3" w:rsidRDefault="00CE25B3" w:rsidP="00B050AF">
      <w:pPr>
        <w:rPr>
          <w:rFonts w:cs="David"/>
          <w:sz w:val="26"/>
          <w:szCs w:val="26"/>
          <w:rtl/>
        </w:rPr>
      </w:pPr>
    </w:p>
    <w:p w:rsidR="00CE25B3" w:rsidRDefault="00CE25B3" w:rsidP="00B050AF">
      <w:pPr>
        <w:rPr>
          <w:rFonts w:cs="David"/>
          <w:sz w:val="26"/>
          <w:szCs w:val="26"/>
          <w:rtl/>
        </w:rPr>
      </w:pPr>
    </w:p>
    <w:p w:rsidR="00EE6E5D" w:rsidRDefault="00EE6E5D" w:rsidP="00EE6E5D">
      <w:pPr>
        <w:rPr>
          <w:rFonts w:cs="David"/>
          <w:b/>
          <w:bCs/>
          <w:sz w:val="26"/>
          <w:szCs w:val="26"/>
          <w:u w:val="single"/>
          <w:rtl/>
        </w:rPr>
      </w:pPr>
    </w:p>
    <w:p w:rsidR="00EE6E5D" w:rsidRDefault="00EE6E5D" w:rsidP="00EE6E5D">
      <w:pPr>
        <w:rPr>
          <w:rFonts w:cs="David"/>
          <w:b/>
          <w:bCs/>
          <w:sz w:val="26"/>
          <w:szCs w:val="26"/>
          <w:u w:val="single"/>
          <w:rtl/>
        </w:rPr>
      </w:pPr>
    </w:p>
    <w:p w:rsidR="00EE6E5D" w:rsidRDefault="00EE6E5D" w:rsidP="00EE6E5D">
      <w:pPr>
        <w:rPr>
          <w:rFonts w:cs="David"/>
          <w:b/>
          <w:bCs/>
          <w:sz w:val="26"/>
          <w:szCs w:val="26"/>
          <w:u w:val="single"/>
          <w:rtl/>
        </w:rPr>
      </w:pPr>
    </w:p>
    <w:p w:rsidR="00EE6E5D" w:rsidRPr="0029478D" w:rsidRDefault="00EE6E5D" w:rsidP="00EE6E5D">
      <w:pPr>
        <w:rPr>
          <w:rFonts w:cs="David"/>
          <w:b/>
          <w:bCs/>
          <w:sz w:val="26"/>
          <w:szCs w:val="26"/>
          <w:u w:val="single"/>
          <w:rtl/>
        </w:rPr>
      </w:pPr>
      <w:r w:rsidRPr="0029478D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EE6E5D" w:rsidRPr="00D7665C" w:rsidRDefault="00EE6E5D" w:rsidP="00EE6E5D">
      <w:pPr>
        <w:rPr>
          <w:rFonts w:cs="David"/>
          <w:sz w:val="26"/>
          <w:szCs w:val="26"/>
          <w:highlight w:val="yellow"/>
          <w:rtl/>
        </w:rPr>
      </w:pPr>
    </w:p>
    <w:p w:rsidR="00EE6E5D" w:rsidRDefault="00EE6E5D" w:rsidP="00EE6E5D">
      <w:pPr>
        <w:tabs>
          <w:tab w:val="left" w:pos="3445"/>
        </w:tabs>
        <w:rPr>
          <w:rFonts w:cs="David"/>
          <w:sz w:val="26"/>
          <w:szCs w:val="26"/>
          <w:rtl/>
        </w:rPr>
      </w:pPr>
    </w:p>
    <w:tbl>
      <w:tblPr>
        <w:bidiVisual/>
        <w:tblW w:w="10627" w:type="dxa"/>
        <w:tblInd w:w="-1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842"/>
        <w:gridCol w:w="993"/>
        <w:gridCol w:w="981"/>
        <w:gridCol w:w="1559"/>
        <w:gridCol w:w="1559"/>
        <w:gridCol w:w="1277"/>
        <w:gridCol w:w="992"/>
      </w:tblGrid>
      <w:tr w:rsidR="00EE6E5D" w:rsidRPr="00D7665C" w:rsidTr="00570C11">
        <w:tc>
          <w:tcPr>
            <w:tcW w:w="1424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 xml:space="preserve">המעורבים במקרה </w:t>
            </w:r>
          </w:p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</w:p>
        </w:tc>
        <w:tc>
          <w:tcPr>
            <w:tcW w:w="1842" w:type="dxa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מהות התלונה ופירוט המקרה – ללא פרטים מזהים</w:t>
            </w:r>
          </w:p>
        </w:tc>
        <w:tc>
          <w:tcPr>
            <w:tcW w:w="993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מועד הגשת התלונה</w:t>
            </w:r>
          </w:p>
        </w:tc>
        <w:tc>
          <w:tcPr>
            <w:tcW w:w="981" w:type="dxa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מועד סיום הטיפול</w:t>
            </w:r>
          </w:p>
        </w:tc>
        <w:tc>
          <w:tcPr>
            <w:tcW w:w="1559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559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המלצת האחראי</w:t>
            </w:r>
          </w:p>
        </w:tc>
        <w:tc>
          <w:tcPr>
            <w:tcW w:w="1277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החלטת המוסד</w:t>
            </w:r>
          </w:p>
        </w:tc>
        <w:tc>
          <w:tcPr>
            <w:tcW w:w="992" w:type="dxa"/>
            <w:shd w:val="clear" w:color="auto" w:fill="auto"/>
          </w:tcPr>
          <w:p w:rsidR="00CE25B3" w:rsidRPr="00CE25B3" w:rsidRDefault="00CE25B3" w:rsidP="00CE25B3">
            <w:pPr>
              <w:rPr>
                <w:rFonts w:ascii="David" w:hAnsi="David" w:cs="David"/>
                <w:b/>
                <w:bCs/>
                <w:rtl/>
              </w:rPr>
            </w:pPr>
            <w:r w:rsidRPr="00CE25B3">
              <w:rPr>
                <w:rFonts w:ascii="David" w:hAnsi="David" w:cs="David" w:hint="cs"/>
                <w:b/>
                <w:bCs/>
                <w:rtl/>
              </w:rPr>
              <w:t>החלטת הגוף המשמעתי/</w:t>
            </w:r>
          </w:p>
          <w:p w:rsidR="00EE6E5D" w:rsidRPr="00D7665C" w:rsidRDefault="00CE25B3" w:rsidP="00CE25B3">
            <w:pPr>
              <w:rPr>
                <w:rFonts w:ascii="David" w:hAnsi="David" w:cs="David"/>
                <w:b/>
                <w:bCs/>
                <w:rtl/>
              </w:rPr>
            </w:pPr>
            <w:r w:rsidRPr="00CE25B3">
              <w:rPr>
                <w:rFonts w:ascii="David" w:hAnsi="David" w:cs="David" w:hint="cs"/>
                <w:b/>
                <w:bCs/>
                <w:rtl/>
              </w:rPr>
              <w:t>עונש, ככל שננקטו הליכי משמעת</w:t>
            </w:r>
          </w:p>
        </w:tc>
      </w:tr>
      <w:tr w:rsidR="00EE6E5D" w:rsidRPr="00D7665C" w:rsidTr="00570C11">
        <w:tc>
          <w:tcPr>
            <w:tcW w:w="1424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  <w:rtl/>
              </w:rPr>
              <w:t>המתלונ</w:t>
            </w:r>
            <w:r>
              <w:rPr>
                <w:rFonts w:ascii="David" w:hAnsi="David" w:cs="David" w:hint="cs"/>
                <w:b/>
                <w:bCs/>
                <w:rtl/>
              </w:rPr>
              <w:t>נת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t>סטודנטי</w:t>
            </w:r>
            <w:r>
              <w:rPr>
                <w:rFonts w:ascii="David" w:hAnsi="David" w:cs="David" w:hint="cs"/>
                <w:rtl/>
              </w:rPr>
              <w:t>ת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 w:rsidRPr="00D7665C">
              <w:rPr>
                <w:rFonts w:ascii="David" w:hAnsi="David" w:cs="David"/>
                <w:b/>
                <w:bCs/>
                <w:rtl/>
              </w:rPr>
              <w:t>נשוא התלונה</w:t>
            </w:r>
            <w:r w:rsidRPr="00D7665C">
              <w:rPr>
                <w:rFonts w:ascii="David" w:hAnsi="David" w:cs="David"/>
                <w:rtl/>
              </w:rPr>
              <w:t xml:space="preserve"> סטודנט 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</w:tc>
        <w:tc>
          <w:tcPr>
            <w:tcW w:w="1842" w:type="dxa"/>
          </w:tcPr>
          <w:p w:rsidR="00EE6E5D" w:rsidRDefault="00EE6E5D" w:rsidP="00570C11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</w:t>
            </w:r>
            <w:r w:rsidRPr="00D7665C">
              <w:rPr>
                <w:rFonts w:ascii="David" w:hAnsi="David" w:cs="David"/>
                <w:rtl/>
              </w:rPr>
              <w:t xml:space="preserve">סטודנטית </w:t>
            </w:r>
            <w:r>
              <w:rPr>
                <w:rFonts w:ascii="David" w:hAnsi="David" w:cs="David" w:hint="cs"/>
                <w:rtl/>
              </w:rPr>
              <w:t>דיווחה על הטרדה מילולית.</w:t>
            </w:r>
          </w:p>
          <w:p w:rsidR="00EE6E5D" w:rsidRDefault="00EE6E5D" w:rsidP="00570C11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מפגש ספונטני ביוזמת הסטודנט באולם העיון, במהלך למידה לבחינות, </w:t>
            </w:r>
            <w:r w:rsidRPr="0029478D">
              <w:rPr>
                <w:rFonts w:ascii="David" w:hAnsi="David" w:cs="David"/>
                <w:rtl/>
              </w:rPr>
              <w:t>התפתח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בהדרגה לשיח בעל אופי מיני, למבוכת המתלוננת.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18.3.18</w:t>
            </w:r>
          </w:p>
        </w:tc>
        <w:tc>
          <w:tcPr>
            <w:tcW w:w="981" w:type="dxa"/>
          </w:tcPr>
          <w:p w:rsidR="00EE6E5D" w:rsidRPr="00D7665C" w:rsidRDefault="00EE6E5D" w:rsidP="00570C11">
            <w:pPr>
              <w:widowControl w:val="0"/>
              <w:spacing w:line="360" w:lineRule="auto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17.6.18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:rsidR="00EE6E5D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t xml:space="preserve">גביית עדויות </w:t>
            </w:r>
            <w:r>
              <w:rPr>
                <w:rFonts w:ascii="David" w:hAnsi="David" w:cs="David" w:hint="cs"/>
                <w:rtl/>
              </w:rPr>
              <w:t>מהמתלוננ</w:t>
            </w:r>
            <w:r w:rsidRPr="00D7665C">
              <w:rPr>
                <w:rFonts w:ascii="David" w:hAnsi="David" w:cs="David" w:hint="cs"/>
                <w:rtl/>
              </w:rPr>
              <w:t>ת</w:t>
            </w:r>
            <w:r>
              <w:rPr>
                <w:rFonts w:ascii="David" w:hAnsi="David" w:cs="David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rtl/>
              </w:rPr>
              <w:t>ומהנילון</w:t>
            </w:r>
            <w:proofErr w:type="spellEnd"/>
            <w:r>
              <w:rPr>
                <w:rFonts w:ascii="David" w:hAnsi="David" w:cs="David" w:hint="cs"/>
                <w:rtl/>
              </w:rPr>
              <w:t>, בנפרד.</w:t>
            </w:r>
            <w:r w:rsidRPr="00D7665C">
              <w:rPr>
                <w:rFonts w:ascii="David" w:hAnsi="David" w:cs="David"/>
                <w:rtl/>
              </w:rPr>
              <w:t xml:space="preserve"> </w:t>
            </w:r>
          </w:p>
          <w:p w:rsidR="00EE6E5D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Default="00EE6E5D" w:rsidP="00570C11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מספר פגישות אישיות לבקשת הצדדים.</w:t>
            </w:r>
          </w:p>
          <w:p w:rsidR="00EE6E5D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Default="00EE6E5D" w:rsidP="00570C11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עדכון המתלוננת על התפתחויות ומציאת פתרון לתלונה, לשביעות רצונה.</w:t>
            </w:r>
          </w:p>
          <w:p w:rsidR="00EE6E5D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t>יעוץ ותמיכה לסטודנטית, ככל ש</w:t>
            </w:r>
            <w:r>
              <w:rPr>
                <w:rFonts w:ascii="David" w:hAnsi="David" w:cs="David" w:hint="cs"/>
                <w:rtl/>
              </w:rPr>
              <w:t>נ</w:t>
            </w:r>
            <w:r w:rsidRPr="00F423BC">
              <w:rPr>
                <w:rFonts w:ascii="David" w:hAnsi="David" w:cs="David"/>
                <w:rtl/>
              </w:rPr>
              <w:t>דרש.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  <w:p w:rsidR="00EE6E5D" w:rsidRPr="00D7665C" w:rsidRDefault="00EE6E5D" w:rsidP="00570C11">
            <w:pPr>
              <w:spacing w:after="240"/>
              <w:rPr>
                <w:rFonts w:ascii="David" w:hAnsi="David" w:cs="David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:rsidR="00EE6E5D" w:rsidRDefault="00EE6E5D" w:rsidP="00570C11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לא להעביר את פרטי התלונה לטיפול ועדת משמעת סטודנטים.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 w:rsidRPr="00B10981">
              <w:rPr>
                <w:rFonts w:ascii="David" w:hAnsi="David" w:cs="David" w:hint="cs"/>
                <w:rtl/>
              </w:rPr>
              <w:t>מכתב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הבהרה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לשני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הצדדים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בנוגע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למהות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הטרדה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B10981">
              <w:rPr>
                <w:rFonts w:ascii="David" w:hAnsi="David" w:cs="David" w:hint="cs"/>
                <w:rtl/>
              </w:rPr>
              <w:t>מינית</w:t>
            </w:r>
            <w:r>
              <w:rPr>
                <w:rFonts w:ascii="David" w:hAnsi="David" w:cs="David" w:hint="cs"/>
                <w:rtl/>
              </w:rPr>
              <w:t>.</w:t>
            </w:r>
            <w:r w:rsidRPr="00B10981">
              <w:rPr>
                <w:rFonts w:ascii="David" w:hAnsi="David" w:cs="David"/>
                <w:rtl/>
              </w:rPr>
              <w:t xml:space="preserve"> </w:t>
            </w:r>
            <w:r w:rsidRPr="0029478D">
              <w:rPr>
                <w:rFonts w:ascii="David" w:hAnsi="David" w:cs="David"/>
                <w:rtl/>
              </w:rPr>
              <w:t>שני הצדדים מ</w:t>
            </w:r>
            <w:r>
              <w:rPr>
                <w:rFonts w:ascii="David" w:hAnsi="David" w:cs="David" w:hint="cs"/>
                <w:rtl/>
              </w:rPr>
              <w:t xml:space="preserve">תחייבים </w:t>
            </w:r>
            <w:r w:rsidRPr="0029478D">
              <w:rPr>
                <w:rFonts w:ascii="David" w:hAnsi="David" w:cs="David"/>
                <w:rtl/>
              </w:rPr>
              <w:t xml:space="preserve">ומאשרים כי לא יקיימו כל קשר ביניהם במתחם המכללה ומחוצה לה, כל זמן שהם משמשים סטודנטים במכללה. מוסכם וידוע, הן למתלוננת והן </w:t>
            </w:r>
            <w:proofErr w:type="spellStart"/>
            <w:r w:rsidRPr="0029478D">
              <w:rPr>
                <w:rFonts w:ascii="David" w:hAnsi="David" w:cs="David"/>
                <w:rtl/>
              </w:rPr>
              <w:t>לנילון</w:t>
            </w:r>
            <w:proofErr w:type="spellEnd"/>
            <w:r w:rsidRPr="0029478D">
              <w:rPr>
                <w:rFonts w:ascii="David" w:hAnsi="David" w:cs="David"/>
                <w:rtl/>
              </w:rPr>
              <w:t xml:space="preserve">, כי במידה ומי מהצדדים לא יעמוד בהנחיה זו, נשקול קיומו של הליך משמעתי </w:t>
            </w:r>
            <w:r>
              <w:rPr>
                <w:rFonts w:ascii="David" w:hAnsi="David" w:cs="David"/>
                <w:rtl/>
              </w:rPr>
              <w:t xml:space="preserve"> על פי הנהלים לטיפול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Pr="00F423BC">
              <w:rPr>
                <w:rFonts w:ascii="David" w:hAnsi="David" w:cs="David"/>
                <w:rtl/>
              </w:rPr>
              <w:t>בהטרדה מינית.</w:t>
            </w:r>
          </w:p>
        </w:tc>
        <w:tc>
          <w:tcPr>
            <w:tcW w:w="1277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הטיפול הסתיים.</w:t>
            </w:r>
          </w:p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E6E5D" w:rsidRPr="00D7665C" w:rsidRDefault="00EE6E5D" w:rsidP="00570C11">
            <w:pPr>
              <w:rPr>
                <w:rFonts w:ascii="David" w:hAnsi="David" w:cs="David"/>
                <w:rtl/>
              </w:rPr>
            </w:pPr>
          </w:p>
        </w:tc>
      </w:tr>
    </w:tbl>
    <w:p w:rsidR="00EE6E5D" w:rsidRPr="00D7665C" w:rsidRDefault="00EE6E5D" w:rsidP="00EE6E5D">
      <w:pPr>
        <w:tabs>
          <w:tab w:val="left" w:pos="3445"/>
        </w:tabs>
        <w:rPr>
          <w:rFonts w:ascii="David" w:hAnsi="David" w:cs="David"/>
          <w:rtl/>
        </w:rPr>
      </w:pP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EA0" w:rsidRDefault="00747EA0" w:rsidP="00F122BE">
      <w:r>
        <w:separator/>
      </w:r>
    </w:p>
  </w:endnote>
  <w:endnote w:type="continuationSeparator" w:id="0">
    <w:p w:rsidR="00747EA0" w:rsidRDefault="00747EA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EA0" w:rsidRDefault="00747EA0" w:rsidP="00F122BE">
      <w:r>
        <w:separator/>
      </w:r>
    </w:p>
  </w:footnote>
  <w:footnote w:type="continuationSeparator" w:id="0">
    <w:p w:rsidR="00747EA0" w:rsidRDefault="00747EA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C11" w:rsidRPr="0070031C" w:rsidRDefault="00570C11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570C11" w:rsidRPr="0070031C" w:rsidRDefault="00570C11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570C11" w:rsidRPr="0070031C" w:rsidRDefault="00570C11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570C11" w:rsidRDefault="00570C1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151B8E"/>
    <w:multiLevelType w:val="hybridMultilevel"/>
    <w:tmpl w:val="44D0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15857">
    <w:abstractNumId w:val="0"/>
  </w:num>
  <w:num w:numId="2" w16cid:durableId="826019284">
    <w:abstractNumId w:val="2"/>
  </w:num>
  <w:num w:numId="3" w16cid:durableId="62470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71CA6"/>
    <w:rsid w:val="00074E0C"/>
    <w:rsid w:val="000D0D94"/>
    <w:rsid w:val="00105196"/>
    <w:rsid w:val="0018031E"/>
    <w:rsid w:val="001B247C"/>
    <w:rsid w:val="001C09D3"/>
    <w:rsid w:val="001D36AD"/>
    <w:rsid w:val="00212A96"/>
    <w:rsid w:val="002161BC"/>
    <w:rsid w:val="00251BD2"/>
    <w:rsid w:val="002A20DC"/>
    <w:rsid w:val="00324BAD"/>
    <w:rsid w:val="00455F7C"/>
    <w:rsid w:val="004644EF"/>
    <w:rsid w:val="004B45BC"/>
    <w:rsid w:val="004C04E2"/>
    <w:rsid w:val="005356D2"/>
    <w:rsid w:val="00570C11"/>
    <w:rsid w:val="0062546A"/>
    <w:rsid w:val="006513E6"/>
    <w:rsid w:val="006549C9"/>
    <w:rsid w:val="006B049D"/>
    <w:rsid w:val="0070031C"/>
    <w:rsid w:val="0074396D"/>
    <w:rsid w:val="00747DFB"/>
    <w:rsid w:val="00747EA0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E25B3"/>
    <w:rsid w:val="00CF1394"/>
    <w:rsid w:val="00D0508C"/>
    <w:rsid w:val="00D15485"/>
    <w:rsid w:val="00D201D4"/>
    <w:rsid w:val="00D3640B"/>
    <w:rsid w:val="00DA41CA"/>
    <w:rsid w:val="00E25590"/>
    <w:rsid w:val="00EA3BB4"/>
    <w:rsid w:val="00EB4B96"/>
    <w:rsid w:val="00EC1610"/>
    <w:rsid w:val="00EE6E5D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457EB4-6473-4636-8B31-54D06E59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0C11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Table Grid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E6E5D"/>
    <w:pPr>
      <w:bidi w:val="0"/>
      <w:spacing w:after="200" w:line="276" w:lineRule="auto"/>
      <w:ind w:left="720"/>
      <w:contextualSpacing/>
    </w:pPr>
    <w:rPr>
      <w:rFonts w:eastAsia="Calibri" w:cs="Davi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66BB4A6E-4E3C-4287-A4DE-B6D468DFC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06C94D-27E3-4E03-8392-7CC706674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E3E3B5-CA0C-4798-BD96-4E3E5F05A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9FD4AF9-771D-43D6-B933-8FF3433CF5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05FFFA-E1F1-4A54-9716-291B33E9B9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עזריאלי להנדסה ירושלים-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