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4B5379" w:rsidRDefault="00BB04C0" w:rsidP="00E11D36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trike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המועצה להשכלה גבוהה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5F4BBD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F4BBD">
                    <w:rPr>
                      <w:rFonts w:cs="David" w:hint="cs"/>
                      <w:sz w:val="26"/>
                      <w:szCs w:val="26"/>
                      <w:rtl/>
                    </w:rPr>
                    <w:t>המכללה האקדמית כנרת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5F4BB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38390B">
                    <w:rPr>
                      <w:rFonts w:cs="David" w:hint="cs"/>
                      <w:sz w:val="26"/>
                      <w:szCs w:val="26"/>
                      <w:rtl/>
                    </w:rPr>
                    <w:t>18</w:t>
                  </w:r>
                </w:p>
                <w:p w:rsidR="00BF4D96" w:rsidRDefault="00B050AF" w:rsidP="0038390B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5F4BBD">
                    <w:rPr>
                      <w:rFonts w:cs="David" w:hint="cs"/>
                      <w:sz w:val="26"/>
                      <w:szCs w:val="26"/>
                      <w:rtl/>
                    </w:rPr>
                    <w:t>תשע"</w:t>
                  </w:r>
                  <w:r w:rsidR="0038390B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</w:p>
                <w:p w:rsidR="00B050AF" w:rsidRDefault="00B050AF" w:rsidP="00485431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</w:t>
                  </w:r>
                  <w:r w:rsidR="00485431">
                    <w:rPr>
                      <w:rFonts w:cs="David" w:hint="cs"/>
                      <w:sz w:val="26"/>
                      <w:szCs w:val="26"/>
                      <w:rtl/>
                    </w:rPr>
                    <w:t>2,100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E11D36" w:rsidRDefault="00B050AF" w:rsidP="005F4BB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E11D36" w:rsidRDefault="009721CA" w:rsidP="009721C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עירית רוכברג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="005F4BB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יועצת המכינות הקדם אקדמיות. </w:t>
                  </w:r>
                </w:p>
                <w:p w:rsidR="00B050AF" w:rsidRDefault="005F4BBD" w:rsidP="005F4BBD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פרופ' נירית רייכל </w:t>
                  </w:r>
                  <w:r w:rsidR="00E11D3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-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מרצה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9721C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5F4BBD">
                    <w:rPr>
                      <w:rFonts w:cs="David" w:hint="cs"/>
                      <w:sz w:val="26"/>
                      <w:szCs w:val="26"/>
                      <w:rtl/>
                    </w:rPr>
                    <w:t>כ20 שעות (</w:t>
                  </w:r>
                  <w:r w:rsidR="009721CA">
                    <w:rPr>
                      <w:rFonts w:cs="David" w:hint="cs"/>
                      <w:sz w:val="26"/>
                      <w:szCs w:val="26"/>
                      <w:rtl/>
                    </w:rPr>
                    <w:t>עירית</w:t>
                  </w:r>
                  <w:r w:rsidR="00215D9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F4BBD">
                    <w:rPr>
                      <w:rFonts w:cs="David" w:hint="cs"/>
                      <w:sz w:val="26"/>
                      <w:szCs w:val="26"/>
                      <w:rtl/>
                    </w:rPr>
                    <w:t>בלבד)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5F4BBD" w:rsidRDefault="005C3E78" w:rsidP="00CD3AD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 אוניב</w:t>
                  </w:r>
                  <w:r w:rsidR="00215D95">
                    <w:rPr>
                      <w:rFonts w:cs="David" w:hint="cs"/>
                      <w:sz w:val="26"/>
                      <w:szCs w:val="26"/>
                      <w:rtl/>
                    </w:rPr>
                    <w:t>ר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סיטת ת"א בשיתוף עם </w:t>
                  </w:r>
                  <w:r w:rsidR="00215D95">
                    <w:rPr>
                      <w:rFonts w:cs="David" w:hint="cs"/>
                      <w:sz w:val="26"/>
                      <w:szCs w:val="26"/>
                      <w:rtl/>
                    </w:rPr>
                    <w:t>מרכז הסיוע לנפגעות תקיפה מינית ומכון דניאל.</w:t>
                  </w:r>
                </w:p>
                <w:p w:rsidR="005F4BBD" w:rsidRDefault="005F4BBD" w:rsidP="005F4BB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E11D36" w:rsidRDefault="005F4BBD" w:rsidP="005F4BBD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ההשתלמות- </w:t>
                  </w:r>
                </w:p>
                <w:p w:rsidR="005F4BBD" w:rsidRDefault="005F4BBD" w:rsidP="005F4BBD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השתלמות לממונות מתחילות-"מניעת הטרדה מינית ויצירת סביבת עבודה בטוחה ותרבות ארגונית מונעת: תפקידי המעביד, תפקידי הממונה, בדיקת מקרה, הגשת סיכום, עקרונות תשאול, ראיון עם </w:t>
                  </w:r>
                  <w:proofErr w:type="spellStart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נילון</w:t>
                  </w:r>
                  <w:proofErr w:type="spellEnd"/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ומתלונן, ועוד.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5F4BBD" w:rsidP="0054694F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 w:rsidRP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שימוש בלומדה של מכון פילת</w:t>
                  </w:r>
                  <w:r w:rsid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שהועברה דרך הפורטל </w:t>
                  </w:r>
                  <w:r w:rsidR="0054694F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לסגל האקדמי </w:t>
                  </w:r>
                  <w:r w:rsid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וכללה מבחן בסוף. הממונות קיבלו משוב על שמות הממלאים וציונים במבחן .</w:t>
                  </w:r>
                </w:p>
                <w:p w:rsidR="0054694F" w:rsidRDefault="0054694F" w:rsidP="0054694F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54694F" w:rsidRPr="00C308AC" w:rsidRDefault="0054694F" w:rsidP="0054694F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הרצאה בנושא החוק למניעת הטרדות מיניות  לסגל המנהלי הועברה  ע"י מרצה  ממכון דניאל. </w:t>
                  </w:r>
                </w:p>
                <w:p w:rsidR="00E11D36" w:rsidRDefault="00E11D36" w:rsidP="005F4BBD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C308AC" w:rsidRDefault="00C17833" w:rsidP="005F4BBD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C308AC"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 w:rsidRPr="00C308AC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Pr="00C308A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 w:rsidRPr="00C308A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 w:rsidRPr="00C308A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 w:rsidRPr="00C308A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 w:rsidRPr="00C308A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 w:rsidRPr="00C308AC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P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2A20DC" w:rsidRPr="00C308AC" w:rsidRDefault="005F4BBD" w:rsidP="002A20DC">
                  <w:pP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</w:pPr>
                  <w:r w:rsidRP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שימוש בלומדה של מכון פילת</w:t>
                  </w:r>
                  <w:r w:rsidR="00C308AC" w:rsidRP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שהועברה</w:t>
                  </w:r>
                  <w:r w:rsid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 גם היא דרך פורטל הסטודנטים כקורס לכל דבר ועניין והסטודנטים נדרשו לעבור את המבחן שבסוף </w:t>
                  </w:r>
                  <w:proofErr w:type="spellStart"/>
                  <w:r w:rsid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הלומדה</w:t>
                  </w:r>
                  <w:proofErr w:type="spellEnd"/>
                  <w:r w:rsidR="00C308AC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.</w:t>
                  </w: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E11D36" w:rsidRDefault="00E11D36" w:rsidP="005F4BBD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</w:rPr>
                  </w:pPr>
                </w:p>
                <w:p w:rsidR="005F4BBD" w:rsidRDefault="005F4BBD" w:rsidP="005F4BBD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  <w:cs/>
                    </w:rPr>
                  </w:pPr>
                  <w:r w:rsidRPr="00CF5353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 xml:space="preserve">פרסום פוסטרים על גבי לוחות המודעות, </w:t>
                  </w:r>
                  <w:r w:rsidRPr="00CF5353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  <w:cs/>
                    </w:rPr>
                    <w:t>פרסום בפורטל הסגל המנהלי, העברת חומרים במייל.</w:t>
                  </w:r>
                </w:p>
                <w:p w:rsidR="0054694F" w:rsidRDefault="0054694F" w:rsidP="005F4BBD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  <w:cs/>
                    </w:rPr>
                  </w:pPr>
                </w:p>
                <w:p w:rsidR="005F4BBD" w:rsidRDefault="005F4BBD" w:rsidP="00C308AC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  <w:cs/>
                    </w:rPr>
                  </w:pPr>
                  <w: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  <w:cs/>
                    </w:rPr>
                    <w:t xml:space="preserve">פרק </w:t>
                  </w:r>
                  <w:r w:rsidR="0054694F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  <w:cs/>
                    </w:rPr>
                    <w:t xml:space="preserve"> העוסק בנושא </w:t>
                  </w:r>
                  <w: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  <w:cs/>
                    </w:rPr>
                    <w:t>באוגדן קליטת עובד סגל מנהלי חדש.</w:t>
                  </w:r>
                </w:p>
                <w:p w:rsidR="00C314E6" w:rsidRDefault="00C314E6" w:rsidP="00C308AC">
                  <w:pPr>
                    <w:rPr>
                      <w:rFonts w:cs="David"/>
                      <w:b/>
                      <w:bCs/>
                      <w:sz w:val="26"/>
                      <w:szCs w:val="26"/>
                      <w:rtl/>
                      <w:cs/>
                    </w:rPr>
                  </w:pPr>
                </w:p>
                <w:p w:rsidR="00C314E6" w:rsidRPr="00CF5353" w:rsidRDefault="00C314E6" w:rsidP="00C308AC">
                  <w:pPr>
                    <w:rPr>
                      <w:rFonts w:cs="David"/>
                      <w:b/>
                      <w:bCs/>
                      <w:sz w:val="26"/>
                      <w:szCs w:val="26"/>
                      <w:cs/>
                    </w:rPr>
                  </w:pPr>
                  <w:r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  <w:cs/>
                    </w:rPr>
                    <w:t xml:space="preserve">פרסום התקנון למניעת הטרדה מינית בפורטל המרצה. </w:t>
                  </w:r>
                </w:p>
                <w:p w:rsidR="002A20DC" w:rsidRDefault="002A20DC" w:rsidP="005F4BBD">
                  <w:pPr>
                    <w:jc w:val="both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0F1E8F" w:rsidRDefault="00212A96" w:rsidP="000F1E8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  <w:r w:rsidR="00BC362C"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ED4634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</w:t>
                  </w:r>
                  <w:r w:rsidR="00ED4634">
                    <w:rPr>
                      <w:rFonts w:cs="David" w:hint="cs"/>
                      <w:sz w:val="26"/>
                      <w:szCs w:val="26"/>
                      <w:rtl/>
                    </w:rPr>
                    <w:t>5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</w:t>
                  </w:r>
                </w:p>
                <w:p w:rsidR="00BC362C" w:rsidRDefault="00BC362C" w:rsidP="000F1E8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F1E8F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C362C" w:rsidRDefault="00BC362C" w:rsidP="00CE6B5E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CE6B5E">
                    <w:rPr>
                      <w:rFonts w:cs="David" w:hint="cs"/>
                      <w:sz w:val="26"/>
                      <w:szCs w:val="26"/>
                      <w:rtl/>
                    </w:rPr>
                    <w:t>3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10632" w:type="dxa"/>
        <w:tblInd w:w="-1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1276"/>
        <w:gridCol w:w="992"/>
        <w:gridCol w:w="992"/>
        <w:gridCol w:w="1270"/>
        <w:gridCol w:w="1598"/>
        <w:gridCol w:w="1813"/>
        <w:gridCol w:w="1418"/>
      </w:tblGrid>
      <w:tr w:rsidR="00E25590" w:rsidRPr="00EA3BB4" w:rsidTr="00AC52CC">
        <w:tc>
          <w:tcPr>
            <w:tcW w:w="1273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276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270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598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813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418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AC52CC">
        <w:tc>
          <w:tcPr>
            <w:tcW w:w="1273" w:type="dxa"/>
            <w:shd w:val="clear" w:color="auto" w:fill="auto"/>
          </w:tcPr>
          <w:p w:rsidR="005F4BBD" w:rsidRPr="00D51AD5" w:rsidRDefault="00FD1DBF" w:rsidP="00E42786">
            <w:pPr>
              <w:autoSpaceDE w:val="0"/>
              <w:autoSpaceDN w:val="0"/>
              <w:bidi w:val="0"/>
              <w:adjustRightInd w:val="0"/>
              <w:jc w:val="center"/>
              <w:rPr>
                <w:rFonts w:ascii="Calibri" w:hAnsi="Calibri" w:cs="David"/>
                <w:sz w:val="22"/>
                <w:szCs w:val="22"/>
                <w:lang w:eastAsia="en-US"/>
              </w:rPr>
            </w:pPr>
            <w:r>
              <w:rPr>
                <w:rFonts w:ascii="Calibri" w:hAnsi="Calibri" w:cs="David" w:hint="cs"/>
                <w:sz w:val="22"/>
                <w:szCs w:val="22"/>
                <w:rtl/>
                <w:lang w:eastAsia="en-US"/>
              </w:rPr>
              <w:t>1.</w:t>
            </w:r>
            <w:r w:rsidR="002076ED" w:rsidRPr="00D51AD5">
              <w:rPr>
                <w:rFonts w:ascii="Calibri" w:hAnsi="Calibri" w:cs="David" w:hint="cs"/>
                <w:sz w:val="22"/>
                <w:szCs w:val="22"/>
                <w:rtl/>
                <w:lang w:eastAsia="en-US"/>
              </w:rPr>
              <w:t xml:space="preserve"> </w:t>
            </w:r>
            <w:r w:rsidR="00E42786" w:rsidRPr="00D51AD5">
              <w:rPr>
                <w:rFonts w:ascii="Calibri" w:hAnsi="Calibri" w:cs="David"/>
                <w:sz w:val="22"/>
                <w:szCs w:val="22"/>
                <w:rtl/>
                <w:lang w:eastAsia="en-US"/>
              </w:rPr>
              <w:t>סטודנטים</w:t>
            </w:r>
            <w:r w:rsidR="00E42786" w:rsidRPr="00D51AD5">
              <w:rPr>
                <w:rFonts w:ascii="Calibri" w:hAnsi="Calibri" w:cs="David"/>
                <w:sz w:val="22"/>
                <w:szCs w:val="22"/>
                <w:lang w:eastAsia="en-US"/>
              </w:rPr>
              <w:tab/>
            </w:r>
          </w:p>
        </w:tc>
        <w:tc>
          <w:tcPr>
            <w:tcW w:w="1276" w:type="dxa"/>
          </w:tcPr>
          <w:p w:rsidR="00E25590" w:rsidRPr="00D51AD5" w:rsidRDefault="00E42786" w:rsidP="002076ED">
            <w:pPr>
              <w:rPr>
                <w:rFonts w:cs="David" w:hint="cs"/>
                <w:sz w:val="22"/>
                <w:szCs w:val="22"/>
                <w:rtl/>
              </w:rPr>
            </w:pPr>
            <w:r w:rsidRPr="00D51AD5">
              <w:rPr>
                <w:rFonts w:cs="David"/>
                <w:sz w:val="22"/>
                <w:szCs w:val="22"/>
                <w:rtl/>
              </w:rPr>
              <w:t xml:space="preserve">במסיבת סטודנטים ,סטודנט ניסה לחבק </w:t>
            </w:r>
            <w:proofErr w:type="spellStart"/>
            <w:r w:rsidRPr="00D51AD5">
              <w:rPr>
                <w:rFonts w:cs="David"/>
                <w:sz w:val="22"/>
                <w:szCs w:val="22"/>
                <w:rtl/>
              </w:rPr>
              <w:t>בכח</w:t>
            </w:r>
            <w:proofErr w:type="spellEnd"/>
            <w:r w:rsidRPr="00D51AD5">
              <w:rPr>
                <w:rFonts w:cs="David"/>
                <w:sz w:val="22"/>
                <w:szCs w:val="22"/>
                <w:rtl/>
              </w:rPr>
              <w:t xml:space="preserve"> סטודנטית אחרת שניתקה עמו קשר בעבר בשל ריב, מאז הסירוב מתנכל לה</w:t>
            </w:r>
            <w:r w:rsidR="001C5848">
              <w:rPr>
                <w:rFonts w:cs="David" w:hint="cs"/>
                <w:sz w:val="22"/>
                <w:szCs w:val="22"/>
                <w:rtl/>
              </w:rPr>
              <w:t>.</w:t>
            </w:r>
            <w:r w:rsidR="00D02F76" w:rsidRPr="00D51AD5">
              <w:rPr>
                <w:rFonts w:cs="David" w:hint="cs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E25590" w:rsidRPr="00D51AD5" w:rsidRDefault="00F712E2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D51AD5">
              <w:rPr>
                <w:rFonts w:cs="David"/>
                <w:sz w:val="22"/>
                <w:szCs w:val="22"/>
                <w:rtl/>
              </w:rPr>
              <w:t>2/11/17</w:t>
            </w:r>
          </w:p>
        </w:tc>
        <w:tc>
          <w:tcPr>
            <w:tcW w:w="992" w:type="dxa"/>
          </w:tcPr>
          <w:p w:rsidR="00ED6278" w:rsidRPr="00D51AD5" w:rsidRDefault="00C36127" w:rsidP="00ED6278">
            <w:pPr>
              <w:rPr>
                <w:rFonts w:cs="David" w:hint="cs"/>
                <w:sz w:val="22"/>
                <w:szCs w:val="22"/>
                <w:rtl/>
              </w:rPr>
            </w:pPr>
            <w:r w:rsidRPr="00D51AD5">
              <w:rPr>
                <w:rFonts w:cs="David"/>
                <w:sz w:val="22"/>
                <w:szCs w:val="22"/>
                <w:rtl/>
              </w:rPr>
              <w:t>13/11/17</w:t>
            </w:r>
          </w:p>
        </w:tc>
        <w:tc>
          <w:tcPr>
            <w:tcW w:w="1270" w:type="dxa"/>
            <w:shd w:val="clear" w:color="auto" w:fill="auto"/>
          </w:tcPr>
          <w:p w:rsidR="00D02F76" w:rsidRPr="00D51AD5" w:rsidRDefault="00C36127" w:rsidP="00D80505">
            <w:pPr>
              <w:rPr>
                <w:rFonts w:cs="David" w:hint="cs"/>
                <w:sz w:val="22"/>
                <w:szCs w:val="22"/>
                <w:rtl/>
              </w:rPr>
            </w:pPr>
            <w:r w:rsidRPr="00D51AD5">
              <w:rPr>
                <w:rFonts w:cs="David"/>
                <w:sz w:val="22"/>
                <w:szCs w:val="22"/>
                <w:rtl/>
              </w:rPr>
              <w:t>הסטודנטית תודרכה ליצור עם הממונה קשר אם ת</w:t>
            </w:r>
            <w:r w:rsidR="00D80505">
              <w:rPr>
                <w:rFonts w:cs="David"/>
                <w:sz w:val="22"/>
                <w:szCs w:val="22"/>
                <w:rtl/>
              </w:rPr>
              <w:t>רגיש מאו</w:t>
            </w:r>
            <w:r w:rsidRPr="00D51AD5">
              <w:rPr>
                <w:rFonts w:cs="David"/>
                <w:sz w:val="22"/>
                <w:szCs w:val="22"/>
                <w:rtl/>
              </w:rPr>
              <w:t xml:space="preserve">ימת ,והובהרו לה </w:t>
            </w:r>
            <w:proofErr w:type="spellStart"/>
            <w:r w:rsidRPr="00D51AD5">
              <w:rPr>
                <w:rFonts w:cs="David"/>
                <w:sz w:val="22"/>
                <w:szCs w:val="22"/>
                <w:rtl/>
              </w:rPr>
              <w:t>אפשרוי</w:t>
            </w:r>
            <w:r w:rsidR="00D80505">
              <w:rPr>
                <w:rFonts w:cs="David" w:hint="cs"/>
                <w:sz w:val="22"/>
                <w:szCs w:val="22"/>
                <w:rtl/>
              </w:rPr>
              <w:t>ת</w:t>
            </w:r>
            <w:r w:rsidRPr="00D51AD5">
              <w:rPr>
                <w:rFonts w:cs="David"/>
                <w:sz w:val="22"/>
                <w:szCs w:val="22"/>
                <w:rtl/>
              </w:rPr>
              <w:t>יה</w:t>
            </w:r>
            <w:proofErr w:type="spellEnd"/>
            <w:r w:rsidRPr="00D51AD5">
              <w:rPr>
                <w:rFonts w:cs="David"/>
                <w:sz w:val="22"/>
                <w:szCs w:val="22"/>
                <w:rtl/>
              </w:rPr>
              <w:t xml:space="preserve"> להגיש תלונה במשטרה ו/או אזרחית בנוסף לתלונה</w:t>
            </w:r>
            <w:r w:rsidR="005847EE">
              <w:rPr>
                <w:rFonts w:cs="David" w:hint="cs"/>
                <w:sz w:val="22"/>
                <w:szCs w:val="22"/>
                <w:rtl/>
              </w:rPr>
              <w:t>.</w:t>
            </w:r>
          </w:p>
        </w:tc>
        <w:tc>
          <w:tcPr>
            <w:tcW w:w="1598" w:type="dxa"/>
            <w:shd w:val="clear" w:color="auto" w:fill="auto"/>
          </w:tcPr>
          <w:p w:rsidR="00D51AD5" w:rsidRPr="00D51AD5" w:rsidRDefault="006D2E63" w:rsidP="00D51AD5">
            <w:pPr>
              <w:rPr>
                <w:rFonts w:cs="David"/>
                <w:sz w:val="22"/>
                <w:szCs w:val="22"/>
              </w:rPr>
            </w:pPr>
            <w:r w:rsidRPr="00D51AD5">
              <w:rPr>
                <w:rFonts w:cs="David" w:hint="cs"/>
                <w:sz w:val="22"/>
                <w:szCs w:val="22"/>
                <w:rtl/>
              </w:rPr>
              <w:t xml:space="preserve"> </w:t>
            </w:r>
            <w:r w:rsidR="00D51AD5" w:rsidRPr="00D51AD5">
              <w:rPr>
                <w:rFonts w:cs="David"/>
                <w:sz w:val="22"/>
                <w:szCs w:val="22"/>
                <w:rtl/>
              </w:rPr>
              <w:t xml:space="preserve">בשל עדויות הסותרות את טענת המתלוננת ובשל איומים של בן הזוג של המתלוננת על </w:t>
            </w:r>
            <w:proofErr w:type="spellStart"/>
            <w:r w:rsidR="00D51AD5" w:rsidRPr="00D51AD5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="00D51AD5" w:rsidRPr="00D51AD5">
              <w:rPr>
                <w:rFonts w:cs="David"/>
                <w:sz w:val="22"/>
                <w:szCs w:val="22"/>
                <w:rtl/>
              </w:rPr>
              <w:t xml:space="preserve"> לא ניתן לקבוע כי אכן </w:t>
            </w:r>
            <w:proofErr w:type="spellStart"/>
            <w:r w:rsidR="00D51AD5" w:rsidRPr="00D51AD5">
              <w:rPr>
                <w:rFonts w:cs="David"/>
                <w:sz w:val="22"/>
                <w:szCs w:val="22"/>
                <w:rtl/>
              </w:rPr>
              <w:t>הארועים</w:t>
            </w:r>
            <w:proofErr w:type="spellEnd"/>
            <w:r w:rsidR="00D51AD5" w:rsidRPr="00D51AD5">
              <w:rPr>
                <w:rFonts w:cs="David"/>
                <w:sz w:val="22"/>
                <w:szCs w:val="22"/>
                <w:rtl/>
              </w:rPr>
              <w:t xml:space="preserve"> התרחשו כפי שתוארו ולכן ההמלצה היא:</w:t>
            </w:r>
          </w:p>
          <w:p w:rsidR="00D51AD5" w:rsidRPr="00D51AD5" w:rsidRDefault="00D51AD5" w:rsidP="00D51AD5">
            <w:pPr>
              <w:rPr>
                <w:rFonts w:cs="David"/>
                <w:sz w:val="22"/>
                <w:szCs w:val="22"/>
              </w:rPr>
            </w:pPr>
            <w:r w:rsidRPr="00D51AD5">
              <w:rPr>
                <w:rFonts w:cs="David"/>
                <w:sz w:val="22"/>
                <w:szCs w:val="22"/>
                <w:rtl/>
              </w:rPr>
              <w:t xml:space="preserve">בשל חוסר הוכחות לא ניתן לקבוע כי אכן מדובר בהטרדה מינית . יחד זאת קיים חשד  להתנהגויות נוספות של </w:t>
            </w:r>
            <w:proofErr w:type="spellStart"/>
            <w:r w:rsidRPr="00D51AD5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D51AD5">
              <w:rPr>
                <w:rFonts w:cs="David"/>
                <w:sz w:val="22"/>
                <w:szCs w:val="22"/>
                <w:rtl/>
              </w:rPr>
              <w:t xml:space="preserve"> שהינן על גבול ההטרדה המינית ולכן ההמלצה היא להזהיר את </w:t>
            </w:r>
            <w:proofErr w:type="spellStart"/>
            <w:r w:rsidRPr="00D51AD5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D51AD5">
              <w:rPr>
                <w:rFonts w:cs="David"/>
                <w:sz w:val="22"/>
                <w:szCs w:val="22"/>
                <w:rtl/>
              </w:rPr>
              <w:t xml:space="preserve"> באם </w:t>
            </w:r>
            <w:r w:rsidRPr="00D51AD5">
              <w:rPr>
                <w:rFonts w:cs="David"/>
                <w:sz w:val="22"/>
                <w:szCs w:val="22"/>
                <w:rtl/>
              </w:rPr>
              <w:lastRenderedPageBreak/>
              <w:t xml:space="preserve">תהיה תלונה נוספת שתמצא מוצדקת הוא יועלה באופן מידי </w:t>
            </w:r>
            <w:proofErr w:type="spellStart"/>
            <w:r w:rsidRPr="00D51AD5">
              <w:rPr>
                <w:rFonts w:cs="David"/>
                <w:sz w:val="22"/>
                <w:szCs w:val="22"/>
                <w:rtl/>
              </w:rPr>
              <w:t>לועדת</w:t>
            </w:r>
            <w:proofErr w:type="spellEnd"/>
            <w:r w:rsidRPr="00D51AD5">
              <w:rPr>
                <w:rFonts w:cs="David"/>
                <w:sz w:val="22"/>
                <w:szCs w:val="22"/>
                <w:rtl/>
              </w:rPr>
              <w:t xml:space="preserve"> משמעת </w:t>
            </w:r>
            <w:proofErr w:type="spellStart"/>
            <w:r w:rsidRPr="00D51AD5">
              <w:rPr>
                <w:rFonts w:cs="David"/>
                <w:sz w:val="22"/>
                <w:szCs w:val="22"/>
                <w:rtl/>
              </w:rPr>
              <w:t>והמלציתנו</w:t>
            </w:r>
            <w:proofErr w:type="spellEnd"/>
            <w:r w:rsidRPr="00D51AD5">
              <w:rPr>
                <w:rFonts w:cs="David"/>
                <w:sz w:val="22"/>
                <w:szCs w:val="22"/>
                <w:rtl/>
              </w:rPr>
              <w:t xml:space="preserve"> תהיה הרחקה מהלימודים ללא קשר לחומרת ההטרדה.</w:t>
            </w:r>
          </w:p>
          <w:p w:rsidR="00C56AE7" w:rsidRDefault="00D51AD5" w:rsidP="00287355">
            <w:pPr>
              <w:rPr>
                <w:rFonts w:cs="David"/>
                <w:sz w:val="22"/>
                <w:szCs w:val="22"/>
                <w:rtl/>
              </w:rPr>
            </w:pPr>
            <w:r w:rsidRPr="00D51AD5">
              <w:rPr>
                <w:rFonts w:cs="David"/>
                <w:sz w:val="22"/>
                <w:szCs w:val="22"/>
                <w:rtl/>
              </w:rPr>
              <w:t xml:space="preserve">  בנוסף ממליצה להנחות את שני הצדדים להתרחק זה מזה ובכל אירוע אלים מילולית ובטח פיזי נוסף- ינקטו צעדי משמעת חמורים עד להרחקה מהמעונות</w:t>
            </w:r>
            <w:r w:rsidR="00C56AE7">
              <w:rPr>
                <w:rFonts w:cs="David" w:hint="cs"/>
                <w:sz w:val="22"/>
                <w:szCs w:val="22"/>
                <w:rtl/>
              </w:rPr>
              <w:t>.</w:t>
            </w:r>
          </w:p>
          <w:p w:rsidR="00C56AE7" w:rsidRDefault="00C56AE7" w:rsidP="00D51AD5">
            <w:pPr>
              <w:rPr>
                <w:rFonts w:cs="David"/>
                <w:sz w:val="22"/>
                <w:szCs w:val="22"/>
                <w:rtl/>
              </w:rPr>
            </w:pPr>
          </w:p>
          <w:p w:rsidR="006D2E63" w:rsidRPr="00D51AD5" w:rsidRDefault="006D2E63" w:rsidP="006D2E63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1813" w:type="dxa"/>
            <w:shd w:val="clear" w:color="auto" w:fill="auto"/>
          </w:tcPr>
          <w:p w:rsidR="00BB1CA6" w:rsidRPr="00BB1CA6" w:rsidRDefault="00BB1CA6" w:rsidP="00BB1CA6">
            <w:pPr>
              <w:rPr>
                <w:rFonts w:cs="David"/>
                <w:sz w:val="22"/>
                <w:szCs w:val="22"/>
                <w:rtl/>
              </w:rPr>
            </w:pPr>
            <w:r w:rsidRPr="00BB1CA6">
              <w:rPr>
                <w:rFonts w:cs="David"/>
                <w:sz w:val="22"/>
                <w:szCs w:val="22"/>
                <w:rtl/>
              </w:rPr>
              <w:lastRenderedPageBreak/>
              <w:t>בגין</w:t>
            </w:r>
            <w:r w:rsidR="003511E9">
              <w:rPr>
                <w:rFonts w:cs="David" w:hint="cs"/>
                <w:sz w:val="22"/>
                <w:szCs w:val="22"/>
                <w:rtl/>
              </w:rPr>
              <w:t xml:space="preserve"> </w:t>
            </w:r>
            <w:r w:rsidRPr="00BB1CA6">
              <w:rPr>
                <w:rFonts w:cs="David"/>
                <w:sz w:val="22"/>
                <w:szCs w:val="22"/>
                <w:rtl/>
              </w:rPr>
              <w:t xml:space="preserve">התלונה על הטרדה מינית בזמן מסיבת הסטודנטים, כיוון שלא סופקו הוכחות להתנהגות המתוארות לא ניתן לקבוע כי </w:t>
            </w:r>
            <w:proofErr w:type="spellStart"/>
            <w:r w:rsidRPr="00BB1CA6">
              <w:rPr>
                <w:rFonts w:cs="David"/>
                <w:sz w:val="22"/>
                <w:szCs w:val="22"/>
                <w:rtl/>
              </w:rPr>
              <w:t>היתה</w:t>
            </w:r>
            <w:proofErr w:type="spellEnd"/>
            <w:r w:rsidRPr="00BB1CA6">
              <w:rPr>
                <w:rFonts w:cs="David"/>
                <w:sz w:val="22"/>
                <w:szCs w:val="22"/>
                <w:rtl/>
              </w:rPr>
              <w:t xml:space="preserve"> הטרדה מינית – אם יובאו הוכחות אחרות, נשקול קביעה זו מחדש. </w:t>
            </w:r>
          </w:p>
          <w:p w:rsidR="00BB1CA6" w:rsidRPr="00BB1CA6" w:rsidRDefault="00BB1CA6" w:rsidP="003511E9">
            <w:pPr>
              <w:rPr>
                <w:rFonts w:cs="David"/>
                <w:sz w:val="22"/>
                <w:szCs w:val="22"/>
                <w:rtl/>
              </w:rPr>
            </w:pPr>
            <w:r w:rsidRPr="00BB1CA6">
              <w:rPr>
                <w:rFonts w:cs="David"/>
                <w:sz w:val="22"/>
                <w:szCs w:val="22"/>
                <w:rtl/>
              </w:rPr>
              <w:t xml:space="preserve">בגין התלונה על איומים על </w:t>
            </w:r>
            <w:r w:rsidR="003511E9">
              <w:rPr>
                <w:rFonts w:cs="David" w:hint="cs"/>
                <w:sz w:val="22"/>
                <w:szCs w:val="22"/>
                <w:rtl/>
              </w:rPr>
              <w:t>ה</w:t>
            </w:r>
            <w:r w:rsidRPr="00BB1CA6">
              <w:rPr>
                <w:rFonts w:cs="David"/>
                <w:sz w:val="22"/>
                <w:szCs w:val="22"/>
                <w:rtl/>
              </w:rPr>
              <w:t xml:space="preserve">מתלוננת ובן זוגה  לא ניתן לקבוע כי אכן האיומים היו רק מצד אחד ולכן כל גילוי אלימות מילולי או פיזי נוסף משני הצדדים, שניתן </w:t>
            </w:r>
            <w:proofErr w:type="spellStart"/>
            <w:r w:rsidRPr="00BB1CA6">
              <w:rPr>
                <w:rFonts w:cs="David"/>
                <w:sz w:val="22"/>
                <w:szCs w:val="22"/>
                <w:rtl/>
              </w:rPr>
              <w:t>להוכיחם</w:t>
            </w:r>
            <w:proofErr w:type="spellEnd"/>
            <w:r w:rsidRPr="00BB1CA6">
              <w:rPr>
                <w:rFonts w:cs="David"/>
                <w:sz w:val="22"/>
                <w:szCs w:val="22"/>
                <w:rtl/>
              </w:rPr>
              <w:t xml:space="preserve">, יגרור צעדי משמעת משמעותיים עד להרחקה מהמעונות </w:t>
            </w:r>
            <w:r w:rsidRPr="00BB1CA6">
              <w:rPr>
                <w:rFonts w:cs="David"/>
                <w:sz w:val="22"/>
                <w:szCs w:val="22"/>
                <w:rtl/>
              </w:rPr>
              <w:lastRenderedPageBreak/>
              <w:t>ומהלימודים.</w:t>
            </w:r>
          </w:p>
          <w:p w:rsidR="006D2E63" w:rsidRPr="00BB1CA6" w:rsidRDefault="00BB1CA6" w:rsidP="00BB1CA6">
            <w:pPr>
              <w:rPr>
                <w:rFonts w:cs="David" w:hint="cs"/>
                <w:sz w:val="22"/>
                <w:szCs w:val="22"/>
                <w:rtl/>
              </w:rPr>
            </w:pPr>
            <w:r w:rsidRPr="00BB1CA6">
              <w:rPr>
                <w:rFonts w:cs="David"/>
                <w:sz w:val="22"/>
                <w:szCs w:val="22"/>
                <w:rtl/>
              </w:rPr>
              <w:t xml:space="preserve">כמו כן, חלה על </w:t>
            </w:r>
            <w:proofErr w:type="spellStart"/>
            <w:r w:rsidRPr="00BB1CA6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BB1CA6">
              <w:rPr>
                <w:rFonts w:cs="David"/>
                <w:sz w:val="22"/>
                <w:szCs w:val="22"/>
                <w:rtl/>
              </w:rPr>
              <w:t xml:space="preserve"> אזהרה חמורה  שלא להתקרב אל המתלוננת וכל חזרה על התנהגות דומה, שלצידה הוכחות, תטופל במלוא החומרה. כמו כן, כל תלונה נוספת על הטרדה מינית נגד </w:t>
            </w:r>
            <w:proofErr w:type="spellStart"/>
            <w:r w:rsidRPr="00BB1CA6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BB1CA6">
              <w:rPr>
                <w:rFonts w:cs="David"/>
                <w:sz w:val="22"/>
                <w:szCs w:val="22"/>
                <w:rtl/>
              </w:rPr>
              <w:t xml:space="preserve">  מסטודנטים/</w:t>
            </w:r>
            <w:proofErr w:type="spellStart"/>
            <w:r w:rsidRPr="00BB1CA6">
              <w:rPr>
                <w:rFonts w:cs="David"/>
                <w:sz w:val="22"/>
                <w:szCs w:val="22"/>
                <w:rtl/>
              </w:rPr>
              <w:t>ות</w:t>
            </w:r>
            <w:proofErr w:type="spellEnd"/>
            <w:r w:rsidRPr="00BB1CA6">
              <w:rPr>
                <w:rFonts w:cs="David"/>
                <w:sz w:val="22"/>
                <w:szCs w:val="22"/>
                <w:rtl/>
              </w:rPr>
              <w:t xml:space="preserve"> אחרים/</w:t>
            </w:r>
            <w:proofErr w:type="spellStart"/>
            <w:r w:rsidRPr="00BB1CA6">
              <w:rPr>
                <w:rFonts w:cs="David"/>
                <w:sz w:val="22"/>
                <w:szCs w:val="22"/>
                <w:rtl/>
              </w:rPr>
              <w:t>ות</w:t>
            </w:r>
            <w:proofErr w:type="spellEnd"/>
            <w:r w:rsidRPr="00BB1CA6">
              <w:rPr>
                <w:rFonts w:cs="David"/>
                <w:sz w:val="22"/>
                <w:szCs w:val="22"/>
                <w:rtl/>
              </w:rPr>
              <w:t xml:space="preserve"> שתמצא מוצדקת תגרור העלאה לוועדת משמעת והמלצה על הרחקתו מהלימודים.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C52CC">
        <w:tc>
          <w:tcPr>
            <w:tcW w:w="1273" w:type="dxa"/>
            <w:shd w:val="clear" w:color="auto" w:fill="auto"/>
          </w:tcPr>
          <w:p w:rsidR="00E25590" w:rsidRPr="00D4237A" w:rsidRDefault="00FD1DBF" w:rsidP="0096624F">
            <w:pPr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2.</w:t>
            </w:r>
            <w:r w:rsidR="00CD1BF3" w:rsidRPr="00D4237A">
              <w:rPr>
                <w:rFonts w:cs="David"/>
                <w:sz w:val="22"/>
                <w:szCs w:val="22"/>
                <w:rtl/>
              </w:rPr>
              <w:t>סטודנטית ועובד מנהלה</w:t>
            </w: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/>
                <w:sz w:val="22"/>
                <w:szCs w:val="22"/>
                <w:rtl/>
              </w:rPr>
            </w:pPr>
          </w:p>
          <w:p w:rsidR="00C56AE7" w:rsidRPr="00D4237A" w:rsidRDefault="00C56AE7" w:rsidP="0096624F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1276" w:type="dxa"/>
          </w:tcPr>
          <w:p w:rsidR="00E25590" w:rsidRPr="00D4237A" w:rsidRDefault="001D22FD" w:rsidP="00793BC8">
            <w:pPr>
              <w:rPr>
                <w:rFonts w:cs="David" w:hint="cs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סטודנטית נגד עובד אחזקה במעונות על הטרדה מינית- העובד חיבק אותה ונתן לה נשיקה על הלחי לאחר ששיתפה אותו בקושי אישי ואף אמר לה שתמיד יכול</w:t>
            </w:r>
            <w:r w:rsidR="007C65E5">
              <w:rPr>
                <w:rFonts w:cs="David" w:hint="cs"/>
                <w:sz w:val="22"/>
                <w:szCs w:val="22"/>
                <w:rtl/>
              </w:rPr>
              <w:t>ה</w:t>
            </w:r>
            <w:r w:rsidRPr="00D4237A">
              <w:rPr>
                <w:rFonts w:cs="David"/>
                <w:sz w:val="22"/>
                <w:szCs w:val="22"/>
                <w:rtl/>
              </w:rPr>
              <w:t xml:space="preserve"> לגשת </w:t>
            </w:r>
            <w:r w:rsidR="00793BC8">
              <w:rPr>
                <w:rFonts w:cs="David" w:hint="cs"/>
                <w:sz w:val="22"/>
                <w:szCs w:val="22"/>
                <w:rtl/>
              </w:rPr>
              <w:t xml:space="preserve">אליו </w:t>
            </w:r>
            <w:r w:rsidRPr="00D4237A">
              <w:rPr>
                <w:rFonts w:cs="David"/>
                <w:sz w:val="22"/>
                <w:szCs w:val="22"/>
                <w:rtl/>
              </w:rPr>
              <w:t xml:space="preserve">ולקבל ליטוף. </w:t>
            </w:r>
          </w:p>
        </w:tc>
        <w:tc>
          <w:tcPr>
            <w:tcW w:w="992" w:type="dxa"/>
            <w:shd w:val="clear" w:color="auto" w:fill="auto"/>
          </w:tcPr>
          <w:p w:rsidR="00E25590" w:rsidRPr="00D4237A" w:rsidRDefault="009B2752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26/10/17</w:t>
            </w:r>
          </w:p>
        </w:tc>
        <w:tc>
          <w:tcPr>
            <w:tcW w:w="992" w:type="dxa"/>
          </w:tcPr>
          <w:p w:rsidR="00E25590" w:rsidRPr="00D4237A" w:rsidRDefault="007464E8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13/11/17</w:t>
            </w:r>
          </w:p>
        </w:tc>
        <w:tc>
          <w:tcPr>
            <w:tcW w:w="1270" w:type="dxa"/>
            <w:shd w:val="clear" w:color="auto" w:fill="auto"/>
          </w:tcPr>
          <w:p w:rsidR="00B10B4F" w:rsidRPr="00D4237A" w:rsidRDefault="00B10B4F" w:rsidP="00A47A6A">
            <w:pPr>
              <w:rPr>
                <w:rFonts w:cs="David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המתלוננת תודרכה ליצור קשר  עם הממונה אם תרגיש מאוימת ,בנוסף שתשאיר תמיד את המפתח בתוך הדלת כך שלא ניתן לפתוח את הדלת מבחוץ גם למי שיש מפתח.</w:t>
            </w:r>
          </w:p>
          <w:p w:rsidR="00E25590" w:rsidRPr="00D4237A" w:rsidRDefault="00B10B4F" w:rsidP="00A47A6A">
            <w:pPr>
              <w:rPr>
                <w:rFonts w:cs="David" w:hint="cs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הוצע למתלוננת להפגיש ביניהם לשיחה על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הענין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והיא הסכימה ובתנאי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שהעוס"ת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המכללתית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תשתתף גם. במקביל הופנתה לקבל ממנ</w:t>
            </w:r>
            <w:r w:rsidR="00A47A6A">
              <w:rPr>
                <w:rFonts w:cs="David" w:hint="cs"/>
                <w:sz w:val="22"/>
                <w:szCs w:val="22"/>
                <w:rtl/>
              </w:rPr>
              <w:t>ה</w:t>
            </w:r>
            <w:r w:rsidRPr="00D4237A">
              <w:rPr>
                <w:rFonts w:cs="David"/>
                <w:sz w:val="22"/>
                <w:szCs w:val="22"/>
                <w:rtl/>
              </w:rPr>
              <w:t xml:space="preserve"> תמיכה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מיידית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>.</w:t>
            </w:r>
          </w:p>
        </w:tc>
        <w:tc>
          <w:tcPr>
            <w:tcW w:w="1598" w:type="dxa"/>
            <w:shd w:val="clear" w:color="auto" w:fill="auto"/>
          </w:tcPr>
          <w:p w:rsidR="00581412" w:rsidRPr="00D4237A" w:rsidRDefault="00581412" w:rsidP="00581412">
            <w:pPr>
              <w:rPr>
                <w:rFonts w:cs="David"/>
                <w:sz w:val="22"/>
                <w:szCs w:val="22"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כיוון שמדובר במקרה אחד ההמלצה היא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שהנילון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יקבל אזהרה חמורה בתיקו האישי. במקרה והמקרה יחזור על עצמו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והנילון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ינשק ו/או יחבק סטודנטית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נוספ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/ת הוא יפוטר לאלתר.   </w:t>
            </w:r>
          </w:p>
          <w:p w:rsidR="00581412" w:rsidRPr="00D4237A" w:rsidRDefault="00581412" w:rsidP="00581412">
            <w:pPr>
              <w:rPr>
                <w:rFonts w:cs="David"/>
                <w:sz w:val="22"/>
                <w:szCs w:val="22"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מנהלו הישיר- יעודכן בפרטי המקרה ויחודד נהלי העבודה במעונות בנוגע לכניסה לחדרים ולקשרים עם סטודנטים.</w:t>
            </w:r>
          </w:p>
          <w:p w:rsidR="00E25590" w:rsidRPr="00D4237A" w:rsidRDefault="00E25590" w:rsidP="00DA41CA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1813" w:type="dxa"/>
            <w:shd w:val="clear" w:color="auto" w:fill="auto"/>
          </w:tcPr>
          <w:p w:rsidR="00D4237A" w:rsidRPr="00D4237A" w:rsidRDefault="00D4237A" w:rsidP="000A36DC">
            <w:pPr>
              <w:rPr>
                <w:rFonts w:cs="David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*נשיקה וחיבוק המתלוננת הינה חצית קו אדום וההתנהגות המתוארת הינה הטרדה מינית מבלי להתייחס לכוונות.</w:t>
            </w:r>
          </w:p>
          <w:p w:rsidR="00D4237A" w:rsidRPr="00D4237A" w:rsidRDefault="00D4237A" w:rsidP="00D4237A">
            <w:pPr>
              <w:rPr>
                <w:rFonts w:cs="David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*בשל היות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עובד המכללה מתקיימים בינו לבין הסטודנטים יחסי מרות  וכמי שתפקידו לתת שירותים במעונות הסטודנטים, מקום בו הסטודנטים אמורים להרגיש בטוחים ורגועים- המעשים הינם חמורים ולא נרשה שייקרו בין כתלינו.</w:t>
            </w:r>
          </w:p>
          <w:p w:rsidR="00E25590" w:rsidRDefault="00D4237A" w:rsidP="00F315DC">
            <w:pPr>
              <w:rPr>
                <w:rFonts w:cs="David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בשל הנאמר לעיל נקבע  כי יש להעביר את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מתפקידו לתפקיד אחר בתוך המכללה האקדמית כנרת ללא מגע ישיר עם המתלוננת בנוסף,  </w:t>
            </w:r>
          </w:p>
          <w:p w:rsidR="00E85F3F" w:rsidRPr="00E85F3F" w:rsidRDefault="000A36DC" w:rsidP="00E85F3F">
            <w:pPr>
              <w:rPr>
                <w:rFonts w:cs="David"/>
                <w:sz w:val="22"/>
                <w:szCs w:val="22"/>
              </w:rPr>
            </w:pPr>
            <w:r>
              <w:rPr>
                <w:rFonts w:cs="David"/>
                <w:sz w:val="22"/>
                <w:szCs w:val="22"/>
                <w:rtl/>
              </w:rPr>
              <w:t>תינתן אזהרה חמורה בתיק האישי</w:t>
            </w:r>
            <w:r>
              <w:rPr>
                <w:rFonts w:cs="David" w:hint="cs"/>
                <w:sz w:val="22"/>
                <w:szCs w:val="22"/>
                <w:rtl/>
              </w:rPr>
              <w:t>.</w:t>
            </w:r>
            <w:r>
              <w:rPr>
                <w:rFonts w:cs="David"/>
                <w:sz w:val="22"/>
                <w:szCs w:val="22"/>
                <w:rtl/>
              </w:rPr>
              <w:t xml:space="preserve"> </w:t>
            </w:r>
            <w:r w:rsidR="00E85F3F" w:rsidRPr="00E85F3F">
              <w:rPr>
                <w:rFonts w:cs="David"/>
                <w:sz w:val="22"/>
                <w:szCs w:val="22"/>
                <w:rtl/>
              </w:rPr>
              <w:t xml:space="preserve"> במקרה וימצא כי בוצעה הטרדה מינית נוספת בעתיד יפוטר לאלתר.</w:t>
            </w:r>
          </w:p>
          <w:p w:rsidR="00FD1DBF" w:rsidRDefault="00E85F3F" w:rsidP="00E85F3F">
            <w:pPr>
              <w:rPr>
                <w:rFonts w:cs="David"/>
                <w:sz w:val="22"/>
                <w:szCs w:val="22"/>
                <w:rtl/>
              </w:rPr>
            </w:pPr>
            <w:r w:rsidRPr="00E85F3F">
              <w:rPr>
                <w:rFonts w:cs="David"/>
                <w:sz w:val="22"/>
                <w:szCs w:val="22"/>
                <w:rtl/>
              </w:rPr>
              <w:t xml:space="preserve">כמו כן, חל על </w:t>
            </w:r>
            <w:proofErr w:type="spellStart"/>
            <w:r w:rsidRPr="00E85F3F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E85F3F">
              <w:rPr>
                <w:rFonts w:cs="David"/>
                <w:sz w:val="22"/>
                <w:szCs w:val="22"/>
                <w:rtl/>
              </w:rPr>
              <w:t xml:space="preserve"> איסור חמור לפנות לסטודנטים ולשאול אותם כיצד </w:t>
            </w:r>
            <w:r w:rsidRPr="00E85F3F">
              <w:rPr>
                <w:rFonts w:cs="David"/>
                <w:sz w:val="22"/>
                <w:szCs w:val="22"/>
                <w:rtl/>
              </w:rPr>
              <w:lastRenderedPageBreak/>
              <w:t>נתפסת התנהגותו בעיניים שלהם. במקרה ויתברר כי הינו ממשיך לפנות לסטודנטים  ו/או לעובדים אחרים בנושא זה, נתייחס להתנהגות זו כהטרדה מינית.</w:t>
            </w:r>
          </w:p>
          <w:p w:rsidR="00FD1DBF" w:rsidRPr="00D4237A" w:rsidRDefault="00FD1DBF" w:rsidP="00D4237A">
            <w:pPr>
              <w:rPr>
                <w:rFonts w:cs="David" w:hint="cs"/>
                <w:sz w:val="22"/>
                <w:szCs w:val="22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C52CC">
        <w:tc>
          <w:tcPr>
            <w:tcW w:w="1273" w:type="dxa"/>
            <w:shd w:val="clear" w:color="auto" w:fill="auto"/>
          </w:tcPr>
          <w:p w:rsidR="00FD1DBF" w:rsidRDefault="00FD1DBF" w:rsidP="0096624F">
            <w:pPr>
              <w:rPr>
                <w:rFonts w:cs="David"/>
                <w:b/>
                <w:bCs/>
                <w:sz w:val="26"/>
                <w:szCs w:val="26"/>
                <w:rtl/>
              </w:rPr>
            </w:pPr>
          </w:p>
          <w:p w:rsidR="00FD1DBF" w:rsidRPr="00FD1DBF" w:rsidRDefault="00FD1DBF" w:rsidP="0096624F">
            <w:pPr>
              <w:rPr>
                <w:rFonts w:cs="David" w:hint="cs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98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81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C52CC">
        <w:tc>
          <w:tcPr>
            <w:tcW w:w="1273" w:type="dxa"/>
            <w:shd w:val="clear" w:color="auto" w:fill="auto"/>
          </w:tcPr>
          <w:p w:rsidR="004C389E" w:rsidRPr="00D4237A" w:rsidRDefault="00FD1DBF" w:rsidP="004C389E">
            <w:pPr>
              <w:rPr>
                <w:rFonts w:cs="David"/>
                <w:sz w:val="22"/>
                <w:szCs w:val="22"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3. 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 xml:space="preserve">ויכוח שהתנהל בין שני סטודנטים (גברים)  </w:t>
            </w:r>
          </w:p>
          <w:p w:rsidR="00E25590" w:rsidRPr="00D4237A" w:rsidRDefault="004C389E" w:rsidP="004C389E">
            <w:pPr>
              <w:rPr>
                <w:rFonts w:cs="David" w:hint="cs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בעקבות מגע לא נאות וויכוח בעל אמירות בעלות אופי מיני.</w:t>
            </w:r>
          </w:p>
        </w:tc>
        <w:tc>
          <w:tcPr>
            <w:tcW w:w="1276" w:type="dxa"/>
          </w:tcPr>
          <w:p w:rsidR="004C389E" w:rsidRPr="00D4237A" w:rsidRDefault="004C389E" w:rsidP="004C389E">
            <w:pPr>
              <w:rPr>
                <w:rFonts w:cs="David"/>
                <w:sz w:val="22"/>
                <w:szCs w:val="22"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המתלונן הגיש תלונה על </w:t>
            </w:r>
          </w:p>
          <w:p w:rsidR="00E25590" w:rsidRPr="00D4237A" w:rsidRDefault="004C389E" w:rsidP="004C389E">
            <w:pPr>
              <w:rPr>
                <w:rFonts w:cs="David" w:hint="cs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כך שבזמן חיכה לשיעור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נכנס לכיתה נגע באיבר מינו כתוצאה מכך החל ויכוח וצעקות בעלות אופי מיני.</w:t>
            </w:r>
          </w:p>
        </w:tc>
        <w:tc>
          <w:tcPr>
            <w:tcW w:w="992" w:type="dxa"/>
            <w:shd w:val="clear" w:color="auto" w:fill="auto"/>
          </w:tcPr>
          <w:p w:rsidR="00E25590" w:rsidRPr="00D4237A" w:rsidRDefault="004C389E" w:rsidP="0096624F">
            <w:pPr>
              <w:rPr>
                <w:rFonts w:cs="David" w:hint="cs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15.3.18</w:t>
            </w:r>
          </w:p>
        </w:tc>
        <w:tc>
          <w:tcPr>
            <w:tcW w:w="992" w:type="dxa"/>
          </w:tcPr>
          <w:p w:rsidR="004C389E" w:rsidRPr="00D4237A" w:rsidRDefault="004C389E" w:rsidP="004C389E">
            <w:pPr>
              <w:rPr>
                <w:rFonts w:cs="David"/>
                <w:sz w:val="22"/>
                <w:szCs w:val="22"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12.4.18</w:t>
            </w:r>
          </w:p>
          <w:p w:rsidR="004C389E" w:rsidRPr="00D4237A" w:rsidRDefault="004C389E" w:rsidP="004C389E">
            <w:pPr>
              <w:rPr>
                <w:rFonts w:cs="David"/>
                <w:sz w:val="22"/>
                <w:szCs w:val="22"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הטיפול בתלונה </w:t>
            </w:r>
          </w:p>
          <w:p w:rsidR="004C389E" w:rsidRPr="00D4237A" w:rsidRDefault="004C389E" w:rsidP="004C389E">
            <w:pPr>
              <w:rPr>
                <w:rFonts w:cs="David"/>
                <w:sz w:val="22"/>
                <w:szCs w:val="22"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לקח זמן </w:t>
            </w:r>
          </w:p>
          <w:p w:rsidR="00E25590" w:rsidRPr="00D4237A" w:rsidRDefault="004C389E" w:rsidP="004C389E">
            <w:pPr>
              <w:rPr>
                <w:rFonts w:cs="David" w:hint="cs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חופשת הפסח ונסיעתו של המתלונן לחופשה בחו"ל .</w:t>
            </w:r>
          </w:p>
        </w:tc>
        <w:tc>
          <w:tcPr>
            <w:tcW w:w="1270" w:type="dxa"/>
            <w:shd w:val="clear" w:color="auto" w:fill="auto"/>
          </w:tcPr>
          <w:p w:rsidR="00E25590" w:rsidRDefault="004C389E" w:rsidP="0096624F">
            <w:pPr>
              <w:rPr>
                <w:rFonts w:cs="David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התקיים בירור </w:t>
            </w:r>
            <w:r w:rsidR="00E85F3F">
              <w:rPr>
                <w:rFonts w:cs="David" w:hint="cs"/>
                <w:sz w:val="22"/>
                <w:szCs w:val="22"/>
                <w:rtl/>
              </w:rPr>
              <w:t xml:space="preserve">ונשמעו </w:t>
            </w:r>
            <w:proofErr w:type="spellStart"/>
            <w:r w:rsidR="00E85F3F">
              <w:rPr>
                <w:rFonts w:cs="David" w:hint="cs"/>
                <w:sz w:val="22"/>
                <w:szCs w:val="22"/>
                <w:rtl/>
              </w:rPr>
              <w:t>הגירסאות</w:t>
            </w:r>
            <w:proofErr w:type="spellEnd"/>
            <w:r w:rsidR="00E85F3F">
              <w:rPr>
                <w:rFonts w:cs="David" w:hint="cs"/>
                <w:sz w:val="22"/>
                <w:szCs w:val="22"/>
                <w:rtl/>
              </w:rPr>
              <w:t xml:space="preserve">. </w:t>
            </w:r>
            <w:r w:rsidRPr="00D4237A">
              <w:rPr>
                <w:rFonts w:cs="David"/>
                <w:sz w:val="22"/>
                <w:szCs w:val="22"/>
                <w:rtl/>
              </w:rPr>
              <w:t xml:space="preserve"> זמן קצר לאחר הבירור עם המתלונן הוא ביקש להסיר את תלונתו. בהמשך התקיים ברור עם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>.</w:t>
            </w:r>
            <w:r w:rsidR="00E85F3F">
              <w:rPr>
                <w:rFonts w:cs="David" w:hint="cs"/>
                <w:sz w:val="22"/>
                <w:szCs w:val="22"/>
                <w:rtl/>
              </w:rPr>
              <w:t xml:space="preserve"> שהציג </w:t>
            </w:r>
            <w:proofErr w:type="spellStart"/>
            <w:r w:rsidR="00E85F3F">
              <w:rPr>
                <w:rFonts w:cs="David" w:hint="cs"/>
                <w:sz w:val="22"/>
                <w:szCs w:val="22"/>
                <w:rtl/>
              </w:rPr>
              <w:t>גירסה</w:t>
            </w:r>
            <w:proofErr w:type="spellEnd"/>
            <w:r w:rsidR="00E85F3F">
              <w:rPr>
                <w:rFonts w:cs="David" w:hint="cs"/>
                <w:sz w:val="22"/>
                <w:szCs w:val="22"/>
                <w:rtl/>
              </w:rPr>
              <w:t xml:space="preserve"> שונה </w:t>
            </w:r>
            <w:proofErr w:type="spellStart"/>
            <w:r w:rsidR="00E85F3F">
              <w:rPr>
                <w:rFonts w:cs="David" w:hint="cs"/>
                <w:sz w:val="22"/>
                <w:szCs w:val="22"/>
                <w:rtl/>
              </w:rPr>
              <w:t>לארועים</w:t>
            </w:r>
            <w:proofErr w:type="spellEnd"/>
            <w:r w:rsidR="00E85F3F">
              <w:rPr>
                <w:rFonts w:cs="David" w:hint="cs"/>
                <w:sz w:val="22"/>
                <w:szCs w:val="22"/>
                <w:rtl/>
              </w:rPr>
              <w:t xml:space="preserve">. </w:t>
            </w:r>
          </w:p>
          <w:p w:rsidR="00E85F3F" w:rsidRPr="00D4237A" w:rsidRDefault="00E85F3F" w:rsidP="0096624F">
            <w:pPr>
              <w:rPr>
                <w:rFonts w:cs="David" w:hint="cs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המתלונן  התבקש לעדכן את הממונה בכל מקרה בו </w:t>
            </w:r>
            <w:proofErr w:type="spellStart"/>
            <w:r>
              <w:rPr>
                <w:rFonts w:cs="David" w:hint="cs"/>
                <w:sz w:val="22"/>
                <w:szCs w:val="22"/>
                <w:rtl/>
              </w:rPr>
              <w:t>הנילון</w:t>
            </w:r>
            <w:proofErr w:type="spellEnd"/>
            <w:r>
              <w:rPr>
                <w:rFonts w:cs="David" w:hint="cs"/>
                <w:sz w:val="22"/>
                <w:szCs w:val="22"/>
                <w:rtl/>
              </w:rPr>
              <w:t xml:space="preserve"> יוצר </w:t>
            </w:r>
            <w:proofErr w:type="spellStart"/>
            <w:r>
              <w:rPr>
                <w:rFonts w:cs="David" w:hint="cs"/>
                <w:sz w:val="22"/>
                <w:szCs w:val="22"/>
                <w:rtl/>
              </w:rPr>
              <w:t>עימו</w:t>
            </w:r>
            <w:proofErr w:type="spellEnd"/>
            <w:r>
              <w:rPr>
                <w:rFonts w:cs="David" w:hint="cs"/>
                <w:sz w:val="22"/>
                <w:szCs w:val="22"/>
                <w:rtl/>
              </w:rPr>
              <w:t xml:space="preserve"> קשר. </w:t>
            </w:r>
          </w:p>
        </w:tc>
        <w:tc>
          <w:tcPr>
            <w:tcW w:w="1598" w:type="dxa"/>
            <w:shd w:val="clear" w:color="auto" w:fill="auto"/>
          </w:tcPr>
          <w:p w:rsidR="004C389E" w:rsidRPr="00D4237A" w:rsidRDefault="004C389E" w:rsidP="004C389E">
            <w:pPr>
              <w:rPr>
                <w:rFonts w:cs="David"/>
                <w:sz w:val="22"/>
                <w:szCs w:val="22"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 xml:space="preserve">בשל הבדל בגרסאות ופנייתו של המתלונן להסיר את התלונה </w:t>
            </w:r>
          </w:p>
          <w:p w:rsidR="00E85F3F" w:rsidRDefault="004C389E" w:rsidP="00E85F3F">
            <w:pPr>
              <w:rPr>
                <w:rFonts w:cs="David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(</w:t>
            </w:r>
            <w:r w:rsidR="00E85F3F">
              <w:rPr>
                <w:rFonts w:cs="David" w:hint="cs"/>
                <w:sz w:val="22"/>
                <w:szCs w:val="22"/>
                <w:rtl/>
              </w:rPr>
              <w:t>נשללה אפשרות של התנכלות</w:t>
            </w:r>
            <w:r w:rsidRPr="00D4237A">
              <w:rPr>
                <w:rFonts w:cs="David"/>
                <w:sz w:val="22"/>
                <w:szCs w:val="22"/>
                <w:rtl/>
              </w:rPr>
              <w:t xml:space="preserve">) הומלץ לשלוח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לנילון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מכתב אזהרה והבהר</w:t>
            </w:r>
            <w:r w:rsidR="00E85F3F">
              <w:rPr>
                <w:rFonts w:cs="David" w:hint="cs"/>
                <w:sz w:val="22"/>
                <w:szCs w:val="22"/>
                <w:rtl/>
              </w:rPr>
              <w:t xml:space="preserve">ה לגבי </w:t>
            </w:r>
            <w:r w:rsidRPr="00D4237A">
              <w:rPr>
                <w:rFonts w:cs="David"/>
                <w:sz w:val="22"/>
                <w:szCs w:val="22"/>
                <w:rtl/>
              </w:rPr>
              <w:t xml:space="preserve"> ההתנהגות </w:t>
            </w:r>
            <w:r w:rsidR="00E85F3F">
              <w:rPr>
                <w:rFonts w:cs="David" w:hint="cs"/>
                <w:sz w:val="22"/>
                <w:szCs w:val="22"/>
                <w:rtl/>
              </w:rPr>
              <w:t>הולמת.</w:t>
            </w:r>
          </w:p>
          <w:p w:rsidR="00E25590" w:rsidRPr="00D4237A" w:rsidRDefault="00E85F3F" w:rsidP="00E85F3F">
            <w:pPr>
              <w:rPr>
                <w:rFonts w:cs="David" w:hint="cs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>כמו כן הובהר שבמקרה והתנהגות מסוג זה תשנה הנושא יועבר מידית לו</w:t>
            </w:r>
            <w:r w:rsidR="00B17F18">
              <w:rPr>
                <w:rFonts w:cs="David" w:hint="cs"/>
                <w:sz w:val="22"/>
                <w:szCs w:val="22"/>
                <w:rtl/>
              </w:rPr>
              <w:t>ו</w:t>
            </w:r>
            <w:r>
              <w:rPr>
                <w:rFonts w:cs="David" w:hint="cs"/>
                <w:sz w:val="22"/>
                <w:szCs w:val="22"/>
                <w:rtl/>
              </w:rPr>
              <w:t xml:space="preserve">עדת משמעת.  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 xml:space="preserve">במקביל הוצא למתלונן מכתב </w:t>
            </w:r>
            <w:r>
              <w:rPr>
                <w:rFonts w:cs="David" w:hint="cs"/>
                <w:sz w:val="22"/>
                <w:szCs w:val="22"/>
                <w:rtl/>
              </w:rPr>
              <w:t xml:space="preserve">לפיו הנושא 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>נבדק תוך התחשבות בבקשתו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להסיר את התלונה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>.</w:t>
            </w:r>
          </w:p>
        </w:tc>
        <w:tc>
          <w:tcPr>
            <w:tcW w:w="1813" w:type="dxa"/>
            <w:shd w:val="clear" w:color="auto" w:fill="auto"/>
          </w:tcPr>
          <w:p w:rsidR="00314875" w:rsidRDefault="00314875" w:rsidP="004C389E">
            <w:pPr>
              <w:rPr>
                <w:rFonts w:cs="David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בהתאם להמלצות: </w:t>
            </w:r>
          </w:p>
          <w:p w:rsidR="004C389E" w:rsidRPr="00D4237A" w:rsidRDefault="003511E9" w:rsidP="004C389E">
            <w:pPr>
              <w:rPr>
                <w:rFonts w:cs="David"/>
                <w:sz w:val="22"/>
                <w:szCs w:val="22"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מכתבים נשלחו אל </w:t>
            </w:r>
            <w:proofErr w:type="spellStart"/>
            <w:r>
              <w:rPr>
                <w:rFonts w:cs="David" w:hint="cs"/>
                <w:sz w:val="22"/>
                <w:szCs w:val="22"/>
                <w:rtl/>
              </w:rPr>
              <w:t>הנילון</w:t>
            </w:r>
            <w:proofErr w:type="spellEnd"/>
            <w:r>
              <w:rPr>
                <w:rFonts w:cs="David" w:hint="cs"/>
                <w:sz w:val="22"/>
                <w:szCs w:val="22"/>
                <w:rtl/>
              </w:rPr>
              <w:t xml:space="preserve"> ו</w:t>
            </w:r>
            <w:r w:rsidR="00314875">
              <w:rPr>
                <w:rFonts w:cs="David" w:hint="cs"/>
                <w:sz w:val="22"/>
                <w:szCs w:val="22"/>
                <w:rtl/>
              </w:rPr>
              <w:t xml:space="preserve">אל </w:t>
            </w:r>
            <w:r>
              <w:rPr>
                <w:rFonts w:cs="David" w:hint="cs"/>
                <w:sz w:val="22"/>
                <w:szCs w:val="22"/>
                <w:rtl/>
              </w:rPr>
              <w:t xml:space="preserve">המתלונן: 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 xml:space="preserve"> </w:t>
            </w:r>
          </w:p>
          <w:p w:rsidR="004C389E" w:rsidRPr="00D4237A" w:rsidRDefault="003511E9" w:rsidP="003511E9">
            <w:pPr>
              <w:rPr>
                <w:rFonts w:cs="David"/>
                <w:sz w:val="22"/>
                <w:szCs w:val="22"/>
              </w:rPr>
            </w:pPr>
            <w:proofErr w:type="spellStart"/>
            <w:r>
              <w:rPr>
                <w:rFonts w:cs="David" w:hint="cs"/>
                <w:sz w:val="22"/>
                <w:szCs w:val="22"/>
                <w:rtl/>
              </w:rPr>
              <w:t>לנילון</w:t>
            </w:r>
            <w:proofErr w:type="spellEnd"/>
            <w:r>
              <w:rPr>
                <w:rFonts w:cs="David" w:hint="cs"/>
                <w:sz w:val="22"/>
                <w:szCs w:val="22"/>
                <w:rtl/>
              </w:rPr>
              <w:t xml:space="preserve"> נשלח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 xml:space="preserve"> מכתב המבהיר את הגבולות והמרחב הפיזי של כל אדם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והתייחסות לכך שהוא הפר מרחב זה. הוא קיבל 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>אזהרה שבמידה ותהיה תלונה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נוספת  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 xml:space="preserve"> הוא יועלה</w:t>
            </w:r>
            <w:r>
              <w:rPr>
                <w:rFonts w:cs="David" w:hint="cs"/>
                <w:sz w:val="22"/>
                <w:szCs w:val="22"/>
                <w:rtl/>
              </w:rPr>
              <w:t xml:space="preserve"> מידית 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 xml:space="preserve"> לו</w:t>
            </w:r>
            <w:r>
              <w:rPr>
                <w:rFonts w:cs="David" w:hint="cs"/>
                <w:sz w:val="22"/>
                <w:szCs w:val="22"/>
                <w:rtl/>
              </w:rPr>
              <w:t>ו</w:t>
            </w:r>
            <w:r w:rsidR="004C389E" w:rsidRPr="00D4237A">
              <w:rPr>
                <w:rFonts w:cs="David"/>
                <w:sz w:val="22"/>
                <w:szCs w:val="22"/>
                <w:rtl/>
              </w:rPr>
              <w:t xml:space="preserve">עדת משמעת. </w:t>
            </w:r>
          </w:p>
          <w:p w:rsidR="00E25590" w:rsidRDefault="004C389E" w:rsidP="003511E9">
            <w:pPr>
              <w:rPr>
                <w:rFonts w:cs="David"/>
                <w:sz w:val="22"/>
                <w:szCs w:val="22"/>
                <w:rtl/>
              </w:rPr>
            </w:pPr>
            <w:r w:rsidRPr="00D4237A">
              <w:rPr>
                <w:rFonts w:cs="David"/>
                <w:sz w:val="22"/>
                <w:szCs w:val="22"/>
                <w:rtl/>
              </w:rPr>
              <w:t>ל</w:t>
            </w:r>
            <w:r w:rsidR="003511E9">
              <w:rPr>
                <w:rFonts w:cs="David" w:hint="cs"/>
                <w:sz w:val="22"/>
                <w:szCs w:val="22"/>
                <w:rtl/>
              </w:rPr>
              <w:t xml:space="preserve">מתלונן </w:t>
            </w:r>
            <w:r w:rsidRPr="00D4237A">
              <w:rPr>
                <w:rFonts w:cs="David"/>
                <w:sz w:val="22"/>
                <w:szCs w:val="22"/>
                <w:rtl/>
              </w:rPr>
              <w:t xml:space="preserve"> נשלח מכתב לפיו בהתנהגות </w:t>
            </w:r>
            <w:proofErr w:type="spellStart"/>
            <w:r w:rsidRPr="00D4237A">
              <w:rPr>
                <w:rFonts w:cs="David"/>
                <w:sz w:val="22"/>
                <w:szCs w:val="22"/>
                <w:rtl/>
              </w:rPr>
              <w:t>הנילון</w:t>
            </w:r>
            <w:proofErr w:type="spellEnd"/>
            <w:r w:rsidRPr="00D4237A">
              <w:rPr>
                <w:rFonts w:cs="David"/>
                <w:sz w:val="22"/>
                <w:szCs w:val="22"/>
                <w:rtl/>
              </w:rPr>
              <w:t xml:space="preserve"> הייתה הפרה של המרחב הפיזי והאישי וכי חלה על</w:t>
            </w:r>
            <w:r w:rsidR="003511E9">
              <w:rPr>
                <w:rFonts w:cs="David" w:hint="cs"/>
                <w:sz w:val="22"/>
                <w:szCs w:val="22"/>
                <w:rtl/>
              </w:rPr>
              <w:t xml:space="preserve"> </w:t>
            </w:r>
            <w:proofErr w:type="spellStart"/>
            <w:r w:rsidR="003511E9">
              <w:rPr>
                <w:rFonts w:cs="David" w:hint="cs"/>
                <w:sz w:val="22"/>
                <w:szCs w:val="22"/>
                <w:rtl/>
              </w:rPr>
              <w:t>הנילון</w:t>
            </w:r>
            <w:proofErr w:type="spellEnd"/>
            <w:r w:rsidR="003511E9">
              <w:rPr>
                <w:rFonts w:cs="David" w:hint="cs"/>
                <w:sz w:val="22"/>
                <w:szCs w:val="22"/>
                <w:rtl/>
              </w:rPr>
              <w:t xml:space="preserve"> </w:t>
            </w:r>
            <w:r w:rsidRPr="00D4237A">
              <w:rPr>
                <w:rFonts w:cs="David"/>
                <w:sz w:val="22"/>
                <w:szCs w:val="22"/>
                <w:rtl/>
              </w:rPr>
              <w:t xml:space="preserve"> הוראה לה</w:t>
            </w:r>
            <w:r w:rsidR="003511E9">
              <w:rPr>
                <w:rFonts w:cs="David" w:hint="cs"/>
                <w:sz w:val="22"/>
                <w:szCs w:val="22"/>
                <w:rtl/>
              </w:rPr>
              <w:t>י</w:t>
            </w:r>
            <w:r w:rsidRPr="00D4237A">
              <w:rPr>
                <w:rFonts w:cs="David"/>
                <w:sz w:val="22"/>
                <w:szCs w:val="22"/>
                <w:rtl/>
              </w:rPr>
              <w:t>מנע ממקרים מסוג זה.</w:t>
            </w:r>
          </w:p>
          <w:p w:rsidR="00D46259" w:rsidRPr="00D4237A" w:rsidRDefault="00D46259" w:rsidP="003511E9">
            <w:pPr>
              <w:rPr>
                <w:rFonts w:cs="David" w:hint="cs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rtl/>
              </w:rPr>
              <w:t xml:space="preserve">כמו כן במקרה של הישנות התנהגות מסוג זה יש לדווח מידית לממונה למניעת הטרדות מיניות. 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C52CC">
        <w:tc>
          <w:tcPr>
            <w:tcW w:w="1273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98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81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C52CC">
        <w:tc>
          <w:tcPr>
            <w:tcW w:w="1273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98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81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AC52CC">
        <w:tc>
          <w:tcPr>
            <w:tcW w:w="1273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98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813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747DFB" w:rsidRPr="0070031C" w:rsidRDefault="00747DFB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0E4" w:rsidRDefault="009500E4" w:rsidP="00F122BE">
      <w:r>
        <w:separator/>
      </w:r>
    </w:p>
  </w:endnote>
  <w:endnote w:type="continuationSeparator" w:id="0">
    <w:p w:rsidR="009500E4" w:rsidRDefault="009500E4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0E4" w:rsidRDefault="009500E4" w:rsidP="00F122BE">
      <w:r>
        <w:separator/>
      </w:r>
    </w:p>
  </w:footnote>
  <w:footnote w:type="continuationSeparator" w:id="0">
    <w:p w:rsidR="009500E4" w:rsidRDefault="009500E4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104044">
    <w:abstractNumId w:val="0"/>
  </w:num>
  <w:num w:numId="2" w16cid:durableId="206807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55BE8"/>
    <w:rsid w:val="00062D7C"/>
    <w:rsid w:val="0006326F"/>
    <w:rsid w:val="00071CA6"/>
    <w:rsid w:val="00074E0C"/>
    <w:rsid w:val="00074FF5"/>
    <w:rsid w:val="000A36DC"/>
    <w:rsid w:val="000C5191"/>
    <w:rsid w:val="000D0D94"/>
    <w:rsid w:val="000D7B49"/>
    <w:rsid w:val="000F1E8F"/>
    <w:rsid w:val="001617C4"/>
    <w:rsid w:val="00170057"/>
    <w:rsid w:val="0018031E"/>
    <w:rsid w:val="001B1F4F"/>
    <w:rsid w:val="001B247C"/>
    <w:rsid w:val="001C09D3"/>
    <w:rsid w:val="001C5848"/>
    <w:rsid w:val="001D22FD"/>
    <w:rsid w:val="001D36AD"/>
    <w:rsid w:val="002076ED"/>
    <w:rsid w:val="00212A96"/>
    <w:rsid w:val="00215D95"/>
    <w:rsid w:val="002161BC"/>
    <w:rsid w:val="00251BD2"/>
    <w:rsid w:val="00274008"/>
    <w:rsid w:val="0028016D"/>
    <w:rsid w:val="00287355"/>
    <w:rsid w:val="002A20DC"/>
    <w:rsid w:val="002B2026"/>
    <w:rsid w:val="00314875"/>
    <w:rsid w:val="00324BAD"/>
    <w:rsid w:val="003511E9"/>
    <w:rsid w:val="0038390B"/>
    <w:rsid w:val="0038555D"/>
    <w:rsid w:val="003B4C57"/>
    <w:rsid w:val="00425EAC"/>
    <w:rsid w:val="00455F7C"/>
    <w:rsid w:val="004644EF"/>
    <w:rsid w:val="00485431"/>
    <w:rsid w:val="004B45BC"/>
    <w:rsid w:val="004B5379"/>
    <w:rsid w:val="004C04E2"/>
    <w:rsid w:val="004C389E"/>
    <w:rsid w:val="004E0C30"/>
    <w:rsid w:val="005356D2"/>
    <w:rsid w:val="0054694F"/>
    <w:rsid w:val="00581412"/>
    <w:rsid w:val="005847EE"/>
    <w:rsid w:val="005C3E78"/>
    <w:rsid w:val="005F4BBD"/>
    <w:rsid w:val="0062546A"/>
    <w:rsid w:val="006513E6"/>
    <w:rsid w:val="006549C9"/>
    <w:rsid w:val="006B049D"/>
    <w:rsid w:val="006D2E63"/>
    <w:rsid w:val="0070031C"/>
    <w:rsid w:val="0074396D"/>
    <w:rsid w:val="007464E8"/>
    <w:rsid w:val="00747DFB"/>
    <w:rsid w:val="00793BC8"/>
    <w:rsid w:val="007A0C9B"/>
    <w:rsid w:val="007C65E5"/>
    <w:rsid w:val="007E441E"/>
    <w:rsid w:val="007E7048"/>
    <w:rsid w:val="007F2D62"/>
    <w:rsid w:val="007F6AA5"/>
    <w:rsid w:val="00802014"/>
    <w:rsid w:val="0081533A"/>
    <w:rsid w:val="00827C3D"/>
    <w:rsid w:val="0086140A"/>
    <w:rsid w:val="00861AEB"/>
    <w:rsid w:val="00871544"/>
    <w:rsid w:val="008B74B5"/>
    <w:rsid w:val="008D0865"/>
    <w:rsid w:val="008D2DF3"/>
    <w:rsid w:val="009213DD"/>
    <w:rsid w:val="00945E88"/>
    <w:rsid w:val="009500E4"/>
    <w:rsid w:val="0096624F"/>
    <w:rsid w:val="009721CA"/>
    <w:rsid w:val="00984980"/>
    <w:rsid w:val="009A289F"/>
    <w:rsid w:val="009B2752"/>
    <w:rsid w:val="009C02E8"/>
    <w:rsid w:val="009D75B0"/>
    <w:rsid w:val="009E54AB"/>
    <w:rsid w:val="009E75E8"/>
    <w:rsid w:val="00A47A6A"/>
    <w:rsid w:val="00AA4483"/>
    <w:rsid w:val="00AC52CC"/>
    <w:rsid w:val="00AE1057"/>
    <w:rsid w:val="00B050AF"/>
    <w:rsid w:val="00B10B4F"/>
    <w:rsid w:val="00B17F18"/>
    <w:rsid w:val="00B3593A"/>
    <w:rsid w:val="00B441CA"/>
    <w:rsid w:val="00B5340C"/>
    <w:rsid w:val="00B93C6F"/>
    <w:rsid w:val="00BB04C0"/>
    <w:rsid w:val="00BB1CA6"/>
    <w:rsid w:val="00BC138A"/>
    <w:rsid w:val="00BC362C"/>
    <w:rsid w:val="00BF4D96"/>
    <w:rsid w:val="00C17833"/>
    <w:rsid w:val="00C26F44"/>
    <w:rsid w:val="00C308AC"/>
    <w:rsid w:val="00C314E6"/>
    <w:rsid w:val="00C36127"/>
    <w:rsid w:val="00C37616"/>
    <w:rsid w:val="00C45166"/>
    <w:rsid w:val="00C5451F"/>
    <w:rsid w:val="00C54DAD"/>
    <w:rsid w:val="00C56AE7"/>
    <w:rsid w:val="00C86D06"/>
    <w:rsid w:val="00CC060D"/>
    <w:rsid w:val="00CD1BF3"/>
    <w:rsid w:val="00CD3ADD"/>
    <w:rsid w:val="00CD762D"/>
    <w:rsid w:val="00CE6B5E"/>
    <w:rsid w:val="00CF1394"/>
    <w:rsid w:val="00D00506"/>
    <w:rsid w:val="00D02F76"/>
    <w:rsid w:val="00D0508C"/>
    <w:rsid w:val="00D15485"/>
    <w:rsid w:val="00D4237A"/>
    <w:rsid w:val="00D46259"/>
    <w:rsid w:val="00D51AD5"/>
    <w:rsid w:val="00D80505"/>
    <w:rsid w:val="00DA41CA"/>
    <w:rsid w:val="00DD4679"/>
    <w:rsid w:val="00DE037E"/>
    <w:rsid w:val="00DE7A5B"/>
    <w:rsid w:val="00E014BC"/>
    <w:rsid w:val="00E11D36"/>
    <w:rsid w:val="00E25590"/>
    <w:rsid w:val="00E42786"/>
    <w:rsid w:val="00E85F3F"/>
    <w:rsid w:val="00EA0182"/>
    <w:rsid w:val="00EA3BB4"/>
    <w:rsid w:val="00EB4B96"/>
    <w:rsid w:val="00EC1610"/>
    <w:rsid w:val="00ED4634"/>
    <w:rsid w:val="00ED6278"/>
    <w:rsid w:val="00EE43F1"/>
    <w:rsid w:val="00EF2E77"/>
    <w:rsid w:val="00EF79C7"/>
    <w:rsid w:val="00F122BE"/>
    <w:rsid w:val="00F1772A"/>
    <w:rsid w:val="00F315DC"/>
    <w:rsid w:val="00F50596"/>
    <w:rsid w:val="00F53272"/>
    <w:rsid w:val="00F712E2"/>
    <w:rsid w:val="00FB1654"/>
    <w:rsid w:val="00FC5398"/>
    <w:rsid w:val="00FD1DBF"/>
    <w:rsid w:val="00FD55C5"/>
    <w:rsid w:val="00FD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E362B00-1E57-461F-9368-112F9625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F315DC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F315DC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29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B27E386A-9041-4D6E-9294-950E7BD211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F65F4F-4E0C-4837-9CF5-363A7405C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B0009B-7D88-407F-9922-E6AA3BC3F95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5C5EEBF-CA9B-4800-BA2B-5A70459A624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B57EA7-FC71-4EDD-BBDE-B83978E7A2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כנרת - דיווח הטרדות מיניות</dc:title>
  <dc:subject/>
  <dc:creator>Knesset</dc:creator>
  <cp:keywords/>
  <dc:description/>
  <cp:lastModifiedBy>רון טורצקי</cp:lastModifiedBy>
  <cp:revision>2</cp:revision>
  <cp:lastPrinted>2018-10-21T06:40:00Z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