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CB2469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  <w:lang w:val="en-US"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B050AF" w:rsidRDefault="00B050AF" w:rsidP="00AD6F0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28.75pt;margin-top:242pt;width:428.2pt;height:440.4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050AF" w:rsidRDefault="00B050AF" w:rsidP="00AD6F0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</w:t>
                  </w:r>
                  <w:r w:rsidR="00AD6F0F">
                    <w:rPr>
                      <w:rFonts w:cs="David" w:hint="cs"/>
                      <w:sz w:val="26"/>
                      <w:szCs w:val="26"/>
                      <w:rtl/>
                    </w:rPr>
                    <w:t>המכללה האקדמית תל אביב-יפו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D6F0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AD6F0F">
                    <w:rPr>
                      <w:rFonts w:cs="David" w:hint="cs"/>
                      <w:sz w:val="26"/>
                      <w:szCs w:val="26"/>
                      <w:rtl/>
                    </w:rPr>
                    <w:t>2018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AD6F0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___</w:t>
                  </w:r>
                  <w:r w:rsidR="00AD6F0F">
                    <w:rPr>
                      <w:rFonts w:cs="David" w:hint="cs"/>
                      <w:sz w:val="26"/>
                      <w:szCs w:val="26"/>
                      <w:rtl/>
                    </w:rPr>
                    <w:t>תשע"ח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D6F0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</w:t>
                  </w:r>
                  <w:r w:rsidR="00AD6F0F">
                    <w:rPr>
                      <w:rFonts w:cs="David" w:hint="cs"/>
                      <w:sz w:val="26"/>
                      <w:szCs w:val="26"/>
                      <w:rtl/>
                    </w:rPr>
                    <w:t>3896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AD6F0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AD6F0F">
                    <w:rPr>
                      <w:rFonts w:cs="David" w:hint="cs"/>
                      <w:sz w:val="26"/>
                      <w:szCs w:val="26"/>
                      <w:rtl/>
                    </w:rPr>
                    <w:t>2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AD6F0F" w:rsidRDefault="00AD6F0F" w:rsidP="00AD6F0F">
                  <w:pPr>
                    <w:spacing w:line="360" w:lineRule="auto"/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ד"ר רונית רוט חנניה- חברת סגל אקדמי בביה"ס למדעי ההתנהגות </w:t>
                  </w:r>
                </w:p>
                <w:p w:rsidR="00B050AF" w:rsidRDefault="00AD6F0F" w:rsidP="00AD6F0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>גלית צלרמאיר-מנהלת משאבי אנוש</w:t>
                  </w:r>
                </w:p>
                <w:p w:rsidR="00AD6F0F" w:rsidRDefault="00AD6F0F" w:rsidP="00AD6F0F">
                  <w:pPr>
                    <w:spacing w:after="217"/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האחראי/ם עברו בסמוך למינוים השתלמות בהיקף של__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</w:rPr>
                    <w:t>32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_ שעות  </w:t>
                  </w:r>
                </w:p>
                <w:p w:rsidR="00AD6F0F" w:rsidRDefault="00AD6F0F" w:rsidP="001B156E">
                  <w:pPr>
                    <w:numPr>
                      <w:ilvl w:val="0"/>
                      <w:numId w:val="3"/>
                    </w:numPr>
                    <w:spacing w:after="31" w:line="356" w:lineRule="auto"/>
                    <w:ind w:right="267" w:hanging="362"/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מנהלת משאבי אנוש המשמשת כסגנית עברה הכשרה במסגרת תפקידה כמנהלת משאבי אנוש בארגון קודם </w:t>
                  </w:r>
                </w:p>
                <w:p w:rsidR="00AD6F0F" w:rsidRDefault="00AD6F0F" w:rsidP="001B156E">
                  <w:pPr>
                    <w:numPr>
                      <w:ilvl w:val="0"/>
                      <w:numId w:val="3"/>
                    </w:numPr>
                    <w:spacing w:after="160" w:line="362" w:lineRule="auto"/>
                    <w:ind w:right="267" w:hanging="362"/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>ד"ר רונית רוט חנניה עברה הכשרה באוניברסיטת תל אביב במהלך שנת תשע"ז</w:t>
                  </w:r>
                  <w:r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בחודשים דצמבר-ינואר </w:t>
                  </w:r>
                </w:p>
                <w:p w:rsidR="00AD6F0F" w:rsidRDefault="00AD6F0F" w:rsidP="00AD6F0F">
                  <w:pPr>
                    <w:spacing w:after="18" w:line="361" w:lineRule="auto"/>
                    <w:ind w:right="295"/>
                  </w:pPr>
                  <w:r>
                    <w:rPr>
                      <w:rFonts w:ascii="David" w:eastAsia="David" w:hAnsi="David" w:cs="David"/>
                      <w:b/>
                      <w:bCs/>
                      <w:sz w:val="26"/>
                      <w:szCs w:val="26"/>
                      <w:rtl/>
                    </w:rPr>
                    <w:t>פירוט עיקרי ההשתלמות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: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</w:rPr>
                    <w:t>1</w:t>
                  </w:r>
                  <w:r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 xml:space="preserve">)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בין טובת הפרט לטובת הארגון בטיפול בהטרדה מינית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</w:rPr>
                    <w:t>2</w:t>
                  </w:r>
                  <w:r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>)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החוק למניעת הטרדה מינית והשלכתו </w:t>
                  </w:r>
                </w:p>
                <w:p w:rsidR="002A20DC" w:rsidRDefault="00AD6F0F" w:rsidP="00AD6F0F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8D480F">
                    <w:rPr>
                      <w:rFonts w:ascii="Calibri" w:eastAsia="David" w:hAnsi="Calibri" w:cs="David"/>
                      <w:sz w:val="26"/>
                      <w:szCs w:val="26"/>
                    </w:rPr>
                    <w:t>(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</w:rPr>
                    <w:t>3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>הטרדות מיניות בין חוק לתרבות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AD6F0F" w:rsidRDefault="00AD6F0F" w:rsidP="00AD6F0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AD6F0F" w:rsidRDefault="00AD6F0F" w:rsidP="00C86D06">
      <w:pPr>
        <w:rPr>
          <w:rFonts w:cs="David"/>
          <w:b/>
          <w:bCs/>
          <w:sz w:val="26"/>
          <w:szCs w:val="26"/>
          <w:u w:val="single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AA1669" w:rsidRDefault="00AA1669" w:rsidP="00CB2469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במהלך </w:t>
                  </w:r>
                  <w:r w:rsidR="00CB2469"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>שנה שעברה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 פותחה לומדה אשר עלתה לאוויר וכל </w:t>
                  </w:r>
                  <w:r w:rsidR="001774D1"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>עובדי המכללה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 נדרש</w:t>
                  </w:r>
                  <w:r w:rsidR="001774D1"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>ו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 xml:space="preserve"> ללמוד את עיקרי  החוק וביצע למידה עצמית.  רצ"ב קישור ללומדה: </w:t>
                  </w:r>
                  <w:hyperlink r:id="rId12">
                    <w:r>
                      <w:rPr>
                        <w:color w:val="263238"/>
                        <w:sz w:val="20"/>
                        <w:u w:val="single" w:color="263238"/>
                      </w:rPr>
                      <w:t>https://www.youtube.com/watch?v=KB5jSyJ6Rhs</w:t>
                    </w:r>
                  </w:hyperlink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AA1669" w:rsidRDefault="00C17833" w:rsidP="00CB2469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Default="00C17833" w:rsidP="00AA1669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AA1669" w:rsidRDefault="00AA1669" w:rsidP="00CB2469">
                  <w:pPr>
                    <w:jc w:val="both"/>
                    <w:rPr>
                      <w:rFonts w:hint="cs"/>
                      <w:rtl/>
                      <w:cs/>
                    </w:rPr>
                  </w:pP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>הסטודנטים נחשפים לנושא בידיעון ומופנים לקרוא על הנושא באתר המכללה,</w:t>
                  </w:r>
                  <w:r w:rsidR="001774D1">
                    <w:rPr>
                      <w:rFonts w:ascii="David" w:eastAsia="David" w:hAnsi="David" w:cs="David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David" w:eastAsia="David" w:hAnsi="David" w:cs="David"/>
                      <w:sz w:val="26"/>
                      <w:szCs w:val="26"/>
                      <w:rtl/>
                    </w:rPr>
                    <w:t>אשר בו מצוינים פרטי הממונות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1774D1" w:rsidRDefault="001774D1" w:rsidP="00CB2469">
                  <w:pPr>
                    <w:jc w:val="both"/>
                    <w:rPr>
                      <w:rFonts w:hint="cs"/>
                      <w:rtl/>
                      <w:cs/>
                    </w:rPr>
                  </w:pPr>
                </w:p>
                <w:p w:rsidR="001774D1" w:rsidRPr="00CB2469" w:rsidRDefault="001774D1" w:rsidP="00CB2469">
                  <w:pPr>
                    <w:jc w:val="both"/>
                    <w:rPr>
                      <w:rFonts w:ascii="David" w:eastAsia="David" w:hAnsi="David" w:cs="David"/>
                      <w:sz w:val="26"/>
                      <w:szCs w:val="26"/>
                      <w:cs/>
                    </w:rPr>
                  </w:pPr>
                  <w:r w:rsidRPr="00CB2469">
                    <w:rPr>
                      <w:rFonts w:ascii="David" w:eastAsia="David" w:hAnsi="David" w:cs="David" w:hint="cs"/>
                      <w:sz w:val="26"/>
                      <w:szCs w:val="26"/>
                      <w:rtl/>
                      <w:cs/>
                    </w:rPr>
                    <w:t>באגודת הסטודנטים יש ראש מדור שמטפל בהדרכה בנושא לסטודנטים.</w:t>
                  </w:r>
                </w:p>
                <w:p w:rsidR="00AA1669" w:rsidRDefault="00AA1669" w:rsidP="00AA1669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וכיוצ"ב)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AA1669" w:rsidRDefault="00AA1669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AA1669" w:rsidRPr="008D480F" w:rsidRDefault="00AA1669" w:rsidP="00AA1669">
                  <w:pPr>
                    <w:spacing w:after="160" w:line="242" w:lineRule="auto"/>
                    <w:ind w:right="57" w:firstLine="8"/>
                    <w:jc w:val="both"/>
                    <w:rPr>
                      <w:rFonts w:ascii="Calibri" w:eastAsia="Calibri" w:hAnsi="Calibri" w:cs="Arial" w:hint="cs"/>
                      <w:color w:val="000000"/>
                      <w:sz w:val="22"/>
                      <w:szCs w:val="22"/>
                      <w:rtl/>
                      <w:lang w:eastAsia="en-US"/>
                    </w:rPr>
                  </w:pPr>
                  <w:r w:rsidRPr="00AA1669">
                    <w:rPr>
                      <w:rFonts w:ascii="David" w:eastAsia="David" w:hAnsi="David" w:cs="David"/>
                      <w:color w:val="000000"/>
                      <w:sz w:val="26"/>
                      <w:szCs w:val="26"/>
                      <w:rtl/>
                      <w:lang w:eastAsia="en-US"/>
                    </w:rPr>
                    <w:t xml:space="preserve">כל עובד חדש בפגישת הקליטה מקבל קישור לאתר המכללה בו נמצאים כל הפרטים </w:t>
                  </w:r>
                  <w:r w:rsidRPr="00AA1669">
                    <w:rPr>
                      <w:rFonts w:ascii="David" w:eastAsia="David" w:hAnsi="David" w:cs="David" w:hint="cs"/>
                      <w:color w:val="000000"/>
                      <w:sz w:val="26"/>
                      <w:szCs w:val="26"/>
                      <w:rtl/>
                      <w:lang w:eastAsia="en-US"/>
                    </w:rPr>
                    <w:t>הרלבנטיי</w:t>
                  </w:r>
                  <w:r w:rsidRPr="00AA1669">
                    <w:rPr>
                      <w:rFonts w:ascii="David" w:eastAsia="David" w:hAnsi="David" w:cs="David" w:hint="eastAsia"/>
                      <w:color w:val="000000"/>
                      <w:sz w:val="26"/>
                      <w:szCs w:val="26"/>
                      <w:rtl/>
                      <w:lang w:eastAsia="en-US"/>
                    </w:rPr>
                    <w:t>ם</w:t>
                  </w:r>
                  <w:r w:rsidRPr="00AA1669">
                    <w:rPr>
                      <w:rFonts w:ascii="David" w:eastAsia="David" w:hAnsi="David" w:cs="David"/>
                      <w:color w:val="000000"/>
                      <w:sz w:val="26"/>
                      <w:szCs w:val="26"/>
                      <w:rtl/>
                      <w:lang w:eastAsia="en-US"/>
                    </w:rPr>
                    <w:t xml:space="preserve"> לנושא. </w:t>
                  </w:r>
                </w:p>
                <w:p w:rsidR="00AA1669" w:rsidRDefault="00AA1669" w:rsidP="00CB2469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AA1669">
                    <w:rPr>
                      <w:rFonts w:ascii="David" w:eastAsia="David" w:hAnsi="David" w:cs="David"/>
                      <w:color w:val="000000"/>
                      <w:sz w:val="26"/>
                      <w:szCs w:val="26"/>
                      <w:rtl/>
                      <w:lang w:eastAsia="en-US"/>
                    </w:rPr>
                    <w:t xml:space="preserve">סטודנט חדש מופנה בידיעון לאתר, בנוסף מקבל מידע במסגרת כנס לסטודנטים חדשים עם פתיחת שנת הלימודים. </w:t>
                  </w:r>
                  <w:r w:rsidRPr="00AA1669">
                    <w:rPr>
                      <w:color w:val="000000"/>
                      <w:rtl/>
                      <w:lang w:eastAsia="en-US"/>
                    </w:rPr>
                    <w:t xml:space="preserve"> </w:t>
                  </w:r>
                </w:p>
                <w:p w:rsidR="00AA1669" w:rsidRDefault="00AA1669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AA1669" w:rsidRDefault="00AA1669" w:rsidP="00B050AF">
      <w:pPr>
        <w:rPr>
          <w:rFonts w:cs="David"/>
          <w:sz w:val="26"/>
          <w:szCs w:val="26"/>
          <w:rtl/>
        </w:rPr>
      </w:pPr>
    </w:p>
    <w:p w:rsidR="00AA1669" w:rsidRDefault="00AA1669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29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042BD1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</w:t>
                  </w:r>
                  <w:r w:rsidR="00042BD1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B5C0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 w:rsidR="006E60BB">
                    <w:rPr>
                      <w:rFonts w:cs="David" w:hint="cs"/>
                      <w:sz w:val="26"/>
                      <w:szCs w:val="26"/>
                      <w:rtl/>
                    </w:rPr>
                    <w:t>1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BC362C" w:rsidRDefault="00BC362C" w:rsidP="00BB5C0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</w:t>
                  </w:r>
                  <w:r w:rsidR="00E95DB9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26"/>
        <w:gridCol w:w="993"/>
        <w:gridCol w:w="992"/>
        <w:gridCol w:w="1984"/>
        <w:gridCol w:w="993"/>
        <w:gridCol w:w="1134"/>
        <w:gridCol w:w="842"/>
      </w:tblGrid>
      <w:tr w:rsidR="00E25590" w:rsidRPr="00EA3BB4" w:rsidTr="001620A2">
        <w:tc>
          <w:tcPr>
            <w:tcW w:w="1276" w:type="dxa"/>
            <w:shd w:val="clear" w:color="auto" w:fill="auto"/>
          </w:tcPr>
          <w:p w:rsidR="00E25590" w:rsidRPr="00865758" w:rsidRDefault="00E25590" w:rsidP="0096624F">
            <w:pPr>
              <w:rPr>
                <w:rFonts w:cs="David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המעורבים במקרה נשוא התלונה </w:t>
            </w:r>
            <w:r w:rsidRPr="00865758">
              <w:rPr>
                <w:rFonts w:cs="David"/>
                <w:b/>
                <w:bCs/>
                <w:color w:val="FF0000"/>
                <w:sz w:val="26"/>
                <w:szCs w:val="26"/>
                <w:rtl/>
              </w:rPr>
              <w:t>–</w:t>
            </w: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865758" w:rsidRDefault="00E25590" w:rsidP="001B247C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ללא 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426" w:type="dxa"/>
          </w:tcPr>
          <w:p w:rsidR="00E25590" w:rsidRPr="00865758" w:rsidRDefault="00E25590" w:rsidP="0096624F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מהות התלונה ופירוט המקרה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 </w:t>
            </w:r>
            <w:r w:rsidR="001B247C" w:rsidRPr="00865758">
              <w:rPr>
                <w:rFonts w:cs="David"/>
                <w:b/>
                <w:bCs/>
                <w:color w:val="FF0000"/>
                <w:sz w:val="26"/>
                <w:szCs w:val="26"/>
                <w:rtl/>
              </w:rPr>
              <w:t>–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3" w:type="dxa"/>
            <w:shd w:val="clear" w:color="auto" w:fill="auto"/>
          </w:tcPr>
          <w:p w:rsidR="00E25590" w:rsidRPr="00865758" w:rsidRDefault="00E25590" w:rsidP="0096624F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865758" w:rsidRDefault="00E25590" w:rsidP="0096624F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984" w:type="dxa"/>
            <w:shd w:val="clear" w:color="auto" w:fill="auto"/>
          </w:tcPr>
          <w:p w:rsidR="00E25590" w:rsidRPr="00865758" w:rsidRDefault="00E25590" w:rsidP="001B247C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אופן הטיפול לרבות פירוט צעדי הביניים שננקטו וכן אמצעים נוספים שננקטו </w:t>
            </w:r>
            <w:r w:rsidR="001B247C" w:rsidRPr="00865758">
              <w:rPr>
                <w:rFonts w:cs="David"/>
                <w:b/>
                <w:bCs/>
                <w:color w:val="FF0000"/>
                <w:sz w:val="26"/>
                <w:szCs w:val="26"/>
                <w:rtl/>
              </w:rPr>
              <w:t>–</w:t>
            </w: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 כ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גון </w:t>
            </w: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הגנה על המתלונן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993" w:type="dxa"/>
            <w:shd w:val="clear" w:color="auto" w:fill="auto"/>
          </w:tcPr>
          <w:p w:rsidR="00E25590" w:rsidRPr="00865758" w:rsidRDefault="00E25590" w:rsidP="00DA41CA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המלצת האחראי</w:t>
            </w:r>
          </w:p>
        </w:tc>
        <w:tc>
          <w:tcPr>
            <w:tcW w:w="1134" w:type="dxa"/>
            <w:shd w:val="clear" w:color="auto" w:fill="auto"/>
          </w:tcPr>
          <w:p w:rsidR="00E25590" w:rsidRPr="00865758" w:rsidRDefault="00E25590" w:rsidP="007E7048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החלטת </w:t>
            </w:r>
            <w:r w:rsidR="007E7048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המוסד</w:t>
            </w:r>
          </w:p>
        </w:tc>
        <w:tc>
          <w:tcPr>
            <w:tcW w:w="842" w:type="dxa"/>
            <w:shd w:val="clear" w:color="auto" w:fill="auto"/>
          </w:tcPr>
          <w:p w:rsidR="00E25590" w:rsidRPr="00865758" w:rsidRDefault="00E25590" w:rsidP="001B247C">
            <w:pPr>
              <w:rPr>
                <w:rFonts w:cs="David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החלטת 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הגוף המשמעתי</w:t>
            </w: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/</w:t>
            </w:r>
          </w:p>
          <w:p w:rsidR="00E25590" w:rsidRPr="00865758" w:rsidRDefault="00E25590" w:rsidP="001B247C">
            <w:pPr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</w:pPr>
            <w:r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 xml:space="preserve">עונש, </w:t>
            </w:r>
            <w:r w:rsidR="001B247C" w:rsidRPr="00865758">
              <w:rPr>
                <w:rFonts w:cs="David" w:hint="cs"/>
                <w:b/>
                <w:bCs/>
                <w:color w:val="FF0000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1620A2">
        <w:tc>
          <w:tcPr>
            <w:tcW w:w="1276" w:type="dxa"/>
            <w:shd w:val="clear" w:color="auto" w:fill="auto"/>
          </w:tcPr>
          <w:p w:rsidR="00E25590" w:rsidRDefault="00A14A0C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סגל אקדמי</w:t>
            </w:r>
          </w:p>
        </w:tc>
        <w:tc>
          <w:tcPr>
            <w:tcW w:w="1426" w:type="dxa"/>
          </w:tcPr>
          <w:p w:rsidR="00E25590" w:rsidRPr="00EA3BB4" w:rsidRDefault="001B156E" w:rsidP="001B156E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 (אישה)אשר הגיעה לביתו</w:t>
            </w:r>
            <w:r w:rsidR="001774D1">
              <w:rPr>
                <w:rFonts w:cs="David" w:hint="cs"/>
                <w:sz w:val="26"/>
                <w:szCs w:val="26"/>
                <w:rtl/>
              </w:rPr>
              <w:t xml:space="preserve"> הפרטי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של מרצה (גבר) לאסוף מבחנים בקורס משותף, המרצה פתח לה את הדלת בתחתונים והיא הרגישה לא בנוח</w:t>
            </w:r>
          </w:p>
        </w:tc>
        <w:tc>
          <w:tcPr>
            <w:tcW w:w="993" w:type="dxa"/>
            <w:shd w:val="clear" w:color="auto" w:fill="auto"/>
          </w:tcPr>
          <w:p w:rsidR="00E25590" w:rsidRPr="00EA3BB4" w:rsidRDefault="001B156E" w:rsidP="0020048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19/7/</w:t>
            </w:r>
            <w:r w:rsidR="00200489">
              <w:rPr>
                <w:rFonts w:cs="David" w:hint="cs"/>
                <w:sz w:val="26"/>
                <w:szCs w:val="26"/>
                <w:rtl/>
              </w:rPr>
              <w:t>18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984" w:type="dxa"/>
            <w:shd w:val="clear" w:color="auto" w:fill="auto"/>
          </w:tcPr>
          <w:p w:rsidR="00E25590" w:rsidRPr="00EA3BB4" w:rsidRDefault="001B156E" w:rsidP="001774D1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המרצה פנתה לדקן בית הספר לעדכן אותו ולהתייעץ מה נכון לעשות. הדקן פנה לממונה</w:t>
            </w:r>
            <w:r w:rsidR="00200489">
              <w:rPr>
                <w:rFonts w:cs="David" w:hint="cs"/>
                <w:sz w:val="26"/>
                <w:szCs w:val="26"/>
                <w:rtl/>
              </w:rPr>
              <w:t xml:space="preserve"> על מניעת הטרדה מינית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להתייעץ </w:t>
            </w:r>
            <w:r w:rsidR="001774D1">
              <w:rPr>
                <w:rFonts w:cs="David" w:hint="cs"/>
                <w:sz w:val="26"/>
                <w:szCs w:val="26"/>
                <w:rtl/>
              </w:rPr>
              <w:t xml:space="preserve">וזו </w:t>
            </w:r>
            <w:r>
              <w:rPr>
                <w:rFonts w:cs="David" w:hint="cs"/>
                <w:sz w:val="26"/>
                <w:szCs w:val="26"/>
                <w:rtl/>
              </w:rPr>
              <w:t>פרסה בפניו את האפשרויות העומדות בפני</w:t>
            </w:r>
            <w:r w:rsidR="001774D1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>
              <w:rPr>
                <w:rFonts w:cs="David" w:hint="cs"/>
                <w:sz w:val="26"/>
                <w:szCs w:val="26"/>
                <w:rtl/>
              </w:rPr>
              <w:t>המרצה</w:t>
            </w:r>
            <w:r w:rsidR="001774D1">
              <w:rPr>
                <w:rFonts w:cs="David" w:hint="cs"/>
                <w:sz w:val="26"/>
                <w:szCs w:val="26"/>
                <w:rtl/>
              </w:rPr>
              <w:t>, לרבות כמובן האפשרות להיפגש עם הממונה על מניעת הטרדה מינית ולפרט בפניה את המקרה, על מנת שיתקיים בירור. בסופו של דבר המרצה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החליטה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>לא להתלונן</w:t>
            </w:r>
            <w:r w:rsidR="001774D1">
              <w:rPr>
                <w:rFonts w:cs="David" w:hint="cs"/>
                <w:sz w:val="26"/>
                <w:szCs w:val="26"/>
                <w:rtl/>
              </w:rPr>
              <w:t>, לא מסרה מידע כלשהו וביקשה שלא יתקיים בירור בנושא או טיפול כלשהו.</w:t>
            </w:r>
          </w:p>
        </w:tc>
        <w:tc>
          <w:tcPr>
            <w:tcW w:w="993" w:type="dxa"/>
            <w:shd w:val="clear" w:color="auto" w:fill="auto"/>
          </w:tcPr>
          <w:p w:rsidR="00E25590" w:rsidRPr="00EA3BB4" w:rsidRDefault="00200489" w:rsidP="00CB246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lastRenderedPageBreak/>
              <w:t>הממונה על מניעת הטרדה מינית המליצה לה</w:t>
            </w:r>
            <w:r w:rsidR="0091338B">
              <w:rPr>
                <w:rFonts w:cs="David" w:hint="cs"/>
                <w:sz w:val="26"/>
                <w:szCs w:val="26"/>
                <w:rtl/>
              </w:rPr>
              <w:t>י</w:t>
            </w:r>
            <w:r>
              <w:rPr>
                <w:rFonts w:cs="David" w:hint="cs"/>
                <w:sz w:val="26"/>
                <w:szCs w:val="26"/>
                <w:rtl/>
              </w:rPr>
              <w:t>פגש עם המרצה</w:t>
            </w:r>
            <w:r w:rsidR="001774D1">
              <w:rPr>
                <w:rFonts w:cs="David" w:hint="cs"/>
                <w:sz w:val="26"/>
                <w:szCs w:val="26"/>
                <w:rtl/>
              </w:rPr>
              <w:t xml:space="preserve"> (שחשה לא בנוח)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כדי להבין את הנסיבות</w:t>
            </w:r>
            <w:r w:rsidR="001774D1">
              <w:rPr>
                <w:rFonts w:cs="David" w:hint="cs"/>
                <w:sz w:val="26"/>
                <w:szCs w:val="26"/>
                <w:rtl/>
              </w:rPr>
              <w:t xml:space="preserve">, אך כאמור המרצה לא </w:t>
            </w:r>
            <w:r w:rsidR="001774D1">
              <w:rPr>
                <w:rFonts w:cs="David" w:hint="cs"/>
                <w:sz w:val="26"/>
                <w:szCs w:val="26"/>
                <w:rtl/>
              </w:rPr>
              <w:lastRenderedPageBreak/>
              <w:t>הייתה מעוניינת להיפגש ולמסור מידע.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1774D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lastRenderedPageBreak/>
              <w:t xml:space="preserve">כיוון שבסופו של דבר לא הגיע כל מידע קונקרטי, לרבות שם המרצה הגבר בו מדובר, והמרצה האישה לא רצתה למסור מידע או פרטים כלשהם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לא הייתה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>אפשרות לקיים בירור ולא נתקבלה כל החלטה.</w:t>
            </w:r>
          </w:p>
        </w:tc>
        <w:tc>
          <w:tcPr>
            <w:tcW w:w="84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042BD1" w:rsidRPr="00EA3BB4" w:rsidTr="001620A2">
        <w:tc>
          <w:tcPr>
            <w:tcW w:w="1276" w:type="dxa"/>
            <w:shd w:val="clear" w:color="auto" w:fill="auto"/>
          </w:tcPr>
          <w:p w:rsidR="00042BD1" w:rsidRDefault="00042BD1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סגל מנהלי ורכז מבח"ר המועסק בחשבונית</w:t>
            </w:r>
          </w:p>
        </w:tc>
        <w:tc>
          <w:tcPr>
            <w:tcW w:w="1426" w:type="dxa"/>
          </w:tcPr>
          <w:p w:rsidR="00042BD1" w:rsidRDefault="00042BD1" w:rsidP="00042BD1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ספרנית אשר ניהלה קשר רציף עם רכז מבח"ר בבני ברק </w:t>
            </w:r>
            <w:r w:rsidR="00865758">
              <w:rPr>
                <w:rFonts w:cs="David" w:hint="cs"/>
                <w:sz w:val="26"/>
                <w:szCs w:val="26"/>
                <w:rtl/>
              </w:rPr>
              <w:t xml:space="preserve"> (כאחראי על הסטודנטים לסיעוד) </w:t>
            </w:r>
            <w:r>
              <w:rPr>
                <w:rFonts w:cs="David" w:hint="cs"/>
                <w:sz w:val="26"/>
                <w:szCs w:val="26"/>
                <w:rtl/>
              </w:rPr>
              <w:t>באמצעות מיילים והודעות וואטסאפ והתלוננה שהתקשורת חרגה בעיניה מהמקובל ועברה לאמירות אישיות בוואטסאפ</w:t>
            </w:r>
          </w:p>
        </w:tc>
        <w:tc>
          <w:tcPr>
            <w:tcW w:w="993" w:type="dxa"/>
            <w:shd w:val="clear" w:color="auto" w:fill="auto"/>
          </w:tcPr>
          <w:p w:rsidR="00042BD1" w:rsidRDefault="00B875A2" w:rsidP="0020048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4</w:t>
            </w:r>
            <w:r w:rsidR="00865758">
              <w:rPr>
                <w:rFonts w:cs="David" w:hint="cs"/>
                <w:sz w:val="26"/>
                <w:szCs w:val="26"/>
                <w:rtl/>
              </w:rPr>
              <w:t>/1/2018</w:t>
            </w:r>
          </w:p>
        </w:tc>
        <w:tc>
          <w:tcPr>
            <w:tcW w:w="992" w:type="dxa"/>
          </w:tcPr>
          <w:p w:rsidR="00042BD1" w:rsidRPr="00EA3BB4" w:rsidRDefault="00B875A2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17/1/2018</w:t>
            </w:r>
          </w:p>
        </w:tc>
        <w:tc>
          <w:tcPr>
            <w:tcW w:w="1984" w:type="dxa"/>
            <w:shd w:val="clear" w:color="auto" w:fill="auto"/>
          </w:tcPr>
          <w:p w:rsidR="00042BD1" w:rsidRDefault="00B875A2" w:rsidP="001774D1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בעקבות הפנייה הוזמן רכז מבח"ר לשיחה עם הממונות והתבקש להשמיע את הצד שלו לאור המידע שהועבר לנו ע"י הספרנית.</w:t>
            </w:r>
          </w:p>
          <w:p w:rsidR="00B875A2" w:rsidRDefault="00B875A2" w:rsidP="00661522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הוא לא הבין במה מדובר וטען שהיו כמה התכתבויות לפני שנה ולא יצר קשר מאז , פנה למנהלת הספרייה לגבי תיאום הדרכות וכיוון שלא ענתה התקשר לספרנית שלא ענתה לו יפה </w:t>
            </w:r>
            <w:r w:rsidR="00661522">
              <w:rPr>
                <w:rFonts w:cs="David" w:hint="cs"/>
                <w:sz w:val="26"/>
                <w:szCs w:val="26"/>
                <w:rtl/>
              </w:rPr>
              <w:t xml:space="preserve">ולכן 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לא המשיך לדבר איתה. בכל מקרה הוא מכיר </w:t>
            </w:r>
            <w:r w:rsidR="00661522">
              <w:rPr>
                <w:rFonts w:cs="David" w:hint="cs"/>
                <w:sz w:val="26"/>
                <w:szCs w:val="26"/>
                <w:rtl/>
              </w:rPr>
              <w:t>את החוק ומה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מותר לעשות על פי חוק ואם פגע במישהו הוא מתנצל.</w:t>
            </w:r>
          </w:p>
        </w:tc>
        <w:tc>
          <w:tcPr>
            <w:tcW w:w="993" w:type="dxa"/>
            <w:shd w:val="clear" w:color="auto" w:fill="auto"/>
          </w:tcPr>
          <w:p w:rsidR="00042BD1" w:rsidRDefault="001620A2" w:rsidP="00CB2469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הובהר לרכז מה מצופה ממנו ושעליו לפנות לספרנית רק בעניני עבודה והוא קיבל את המסר.</w:t>
            </w:r>
          </w:p>
        </w:tc>
        <w:tc>
          <w:tcPr>
            <w:tcW w:w="1134" w:type="dxa"/>
            <w:shd w:val="clear" w:color="auto" w:fill="auto"/>
          </w:tcPr>
          <w:p w:rsidR="00042BD1" w:rsidRDefault="001620A2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הרכז ימשיך את עבודתו במבח"ר וייצור קשר מקצועי בלבד עם הספרנית.</w:t>
            </w:r>
          </w:p>
        </w:tc>
        <w:tc>
          <w:tcPr>
            <w:tcW w:w="842" w:type="dxa"/>
            <w:shd w:val="clear" w:color="auto" w:fill="auto"/>
          </w:tcPr>
          <w:p w:rsidR="00042BD1" w:rsidRPr="00EA3BB4" w:rsidRDefault="00042BD1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042BD1" w:rsidRDefault="00042BD1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3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575" w:rsidRDefault="007B5575" w:rsidP="00F122BE">
      <w:r>
        <w:separator/>
      </w:r>
    </w:p>
  </w:endnote>
  <w:endnote w:type="continuationSeparator" w:id="0">
    <w:p w:rsidR="007B5575" w:rsidRDefault="007B557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575" w:rsidRDefault="007B5575" w:rsidP="00F122BE">
      <w:r>
        <w:separator/>
      </w:r>
    </w:p>
  </w:footnote>
  <w:footnote w:type="continuationSeparator" w:id="0">
    <w:p w:rsidR="007B5575" w:rsidRDefault="007B557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21BE"/>
    <w:multiLevelType w:val="hybridMultilevel"/>
    <w:tmpl w:val="6302D3FE"/>
    <w:lvl w:ilvl="0" w:tplc="7358977C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0AADD2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26909C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B80E3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C3423D0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4DE4EF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6427D14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19A4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325468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67111">
    <w:abstractNumId w:val="1"/>
  </w:num>
  <w:num w:numId="2" w16cid:durableId="1586527399">
    <w:abstractNumId w:val="2"/>
  </w:num>
  <w:num w:numId="3" w16cid:durableId="171102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F1E"/>
    <w:rsid w:val="00042BD1"/>
    <w:rsid w:val="00071CA6"/>
    <w:rsid w:val="00074E0C"/>
    <w:rsid w:val="00093E88"/>
    <w:rsid w:val="000D0D94"/>
    <w:rsid w:val="001620A2"/>
    <w:rsid w:val="001774D1"/>
    <w:rsid w:val="0018031E"/>
    <w:rsid w:val="001B156E"/>
    <w:rsid w:val="001B247C"/>
    <w:rsid w:val="001C09D3"/>
    <w:rsid w:val="001D36AD"/>
    <w:rsid w:val="00200489"/>
    <w:rsid w:val="00212A96"/>
    <w:rsid w:val="002161BC"/>
    <w:rsid w:val="00251BD2"/>
    <w:rsid w:val="002A20DC"/>
    <w:rsid w:val="002D3D4F"/>
    <w:rsid w:val="002E708F"/>
    <w:rsid w:val="00324BAD"/>
    <w:rsid w:val="00455F7C"/>
    <w:rsid w:val="004644EF"/>
    <w:rsid w:val="004B45BC"/>
    <w:rsid w:val="004C04E2"/>
    <w:rsid w:val="00523F6A"/>
    <w:rsid w:val="005356D2"/>
    <w:rsid w:val="00566A6A"/>
    <w:rsid w:val="005F0E9F"/>
    <w:rsid w:val="00620191"/>
    <w:rsid w:val="0062546A"/>
    <w:rsid w:val="006513E6"/>
    <w:rsid w:val="006549C9"/>
    <w:rsid w:val="00661522"/>
    <w:rsid w:val="006845D7"/>
    <w:rsid w:val="006B049D"/>
    <w:rsid w:val="006E60BB"/>
    <w:rsid w:val="0070031C"/>
    <w:rsid w:val="00741B43"/>
    <w:rsid w:val="0074396D"/>
    <w:rsid w:val="00747DFB"/>
    <w:rsid w:val="007B5575"/>
    <w:rsid w:val="007D3247"/>
    <w:rsid w:val="007E7048"/>
    <w:rsid w:val="0086140A"/>
    <w:rsid w:val="00865758"/>
    <w:rsid w:val="00871544"/>
    <w:rsid w:val="008D2DF3"/>
    <w:rsid w:val="008D480F"/>
    <w:rsid w:val="0091338B"/>
    <w:rsid w:val="009213DD"/>
    <w:rsid w:val="00945E88"/>
    <w:rsid w:val="0096624F"/>
    <w:rsid w:val="0099511F"/>
    <w:rsid w:val="009D29F9"/>
    <w:rsid w:val="009D75B0"/>
    <w:rsid w:val="009E54AB"/>
    <w:rsid w:val="009E75E8"/>
    <w:rsid w:val="00A14A0C"/>
    <w:rsid w:val="00AA1669"/>
    <w:rsid w:val="00AD6F0F"/>
    <w:rsid w:val="00B050AF"/>
    <w:rsid w:val="00B15613"/>
    <w:rsid w:val="00B441CA"/>
    <w:rsid w:val="00B5340C"/>
    <w:rsid w:val="00B875A2"/>
    <w:rsid w:val="00B93C6F"/>
    <w:rsid w:val="00BB04C0"/>
    <w:rsid w:val="00BB409D"/>
    <w:rsid w:val="00BB5C02"/>
    <w:rsid w:val="00BC138A"/>
    <w:rsid w:val="00BC362C"/>
    <w:rsid w:val="00BE05E0"/>
    <w:rsid w:val="00BE4B03"/>
    <w:rsid w:val="00BF4D96"/>
    <w:rsid w:val="00C17833"/>
    <w:rsid w:val="00C26F44"/>
    <w:rsid w:val="00C37616"/>
    <w:rsid w:val="00C5451F"/>
    <w:rsid w:val="00C86D06"/>
    <w:rsid w:val="00CB2469"/>
    <w:rsid w:val="00CC060D"/>
    <w:rsid w:val="00CF1394"/>
    <w:rsid w:val="00D0508C"/>
    <w:rsid w:val="00D15485"/>
    <w:rsid w:val="00D201D4"/>
    <w:rsid w:val="00DA41CA"/>
    <w:rsid w:val="00DA772E"/>
    <w:rsid w:val="00E25590"/>
    <w:rsid w:val="00E95DB9"/>
    <w:rsid w:val="00EA3BB4"/>
    <w:rsid w:val="00EB4B96"/>
    <w:rsid w:val="00EC1610"/>
    <w:rsid w:val="00EF79C7"/>
    <w:rsid w:val="00F122BE"/>
    <w:rsid w:val="00F8228D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E3CDC2-01E1-4651-8268-EA0ACBA2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noProof/>
      <w:lang w:val="x-none"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CB2469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CB2469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youtube.com/watch?v=KB5jSyJ6Rh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37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D059894A-076B-458E-A658-DB8A50F494B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CAE3596-C40B-452E-932C-976E778125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D6C59F-2893-4D7B-87E2-30D9E449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AB5AFA-ECA3-4259-A9B4-54B7E78814C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07E29DE-D536-47CF-8B98-C1EF501564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2487</CharactersWithSpaces>
  <SharedDoc>false</SharedDoc>
  <HLinks>
    <vt:vector size="6" baseType="variant">
      <vt:variant>
        <vt:i4>7340154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https://www.youtube.com/watch?v=KB5jSyJ6Rhs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תל אביב-יפו – דיווח הטרדות מיניות</dc:title>
  <dc:subject/>
  <dc:creator>Knesset</dc:creator>
  <cp:keywords/>
  <dc:description/>
  <cp:lastModifiedBy>רון טורצקי</cp:lastModifiedBy>
  <cp:revision>2</cp:revision>
  <cp:lastPrinted>2015-11-17T08:06:00Z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/>
  </property>
  <property fmtid="{D5CDD505-2E9C-101B-9397-08002B2CF9AE}" pid="4" name="AutoNumber">
    <vt:lpwstr/>
  </property>
  <property fmtid="{D5CDD505-2E9C-101B-9397-08002B2CF9AE}" pid="5" name="SDDocumentSource">
    <vt:lpwstr/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/>
  </property>
  <property fmtid="{D5CDD505-2E9C-101B-9397-08002B2CF9AE}" pid="8" name="SDDocDate">
    <vt:lpwstr/>
  </property>
  <property fmtid="{D5CDD505-2E9C-101B-9397-08002B2CF9AE}" pid="9" name="SDHebDate">
    <vt:lpwstr/>
  </property>
  <property fmtid="{D5CDD505-2E9C-101B-9397-08002B2CF9AE}" pid="10" name="SDImportance">
    <vt:lpwstr/>
  </property>
  <property fmtid="{D5CDD505-2E9C-101B-9397-08002B2CF9AE}" pid="11" name="SDAuthor">
    <vt:lpwstr/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