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1CA" w:rsidRPr="004976C2" w:rsidRDefault="00DA41CA" w:rsidP="00B050AF">
      <w:pPr>
        <w:jc w:val="center"/>
        <w:rPr>
          <w:rFonts w:cs="David" w:hint="cs"/>
          <w:b/>
          <w:bCs/>
          <w:u w:val="single"/>
          <w:rtl/>
        </w:rPr>
      </w:pPr>
    </w:p>
    <w:p w:rsidR="00BF0D0F" w:rsidRPr="004976C2" w:rsidRDefault="00BF0D0F" w:rsidP="00B050AF">
      <w:pPr>
        <w:jc w:val="center"/>
        <w:rPr>
          <w:rFonts w:cs="David"/>
          <w:b/>
          <w:bCs/>
          <w:u w:val="single"/>
          <w:rtl/>
        </w:rPr>
      </w:pPr>
    </w:p>
    <w:p w:rsidR="00BF0D0F" w:rsidRPr="004976C2" w:rsidRDefault="00BF0D0F" w:rsidP="00B050AF">
      <w:pPr>
        <w:jc w:val="center"/>
        <w:rPr>
          <w:rFonts w:cs="David"/>
          <w:b/>
          <w:bCs/>
          <w:u w:val="single"/>
          <w:rtl/>
        </w:rPr>
      </w:pPr>
    </w:p>
    <w:p w:rsidR="00747DFB" w:rsidRPr="004976C2" w:rsidRDefault="006B049D" w:rsidP="00B050AF">
      <w:pPr>
        <w:jc w:val="center"/>
        <w:rPr>
          <w:rFonts w:cs="David" w:hint="cs"/>
          <w:b/>
          <w:bCs/>
          <w:u w:val="single"/>
          <w:rtl/>
        </w:rPr>
      </w:pPr>
      <w:r w:rsidRPr="004976C2">
        <w:rPr>
          <w:rFonts w:cs="David" w:hint="cs"/>
          <w:b/>
          <w:bCs/>
          <w:u w:val="single"/>
          <w:rtl/>
        </w:rPr>
        <w:t xml:space="preserve">דיווח לפי </w:t>
      </w:r>
      <w:r w:rsidR="0074396D" w:rsidRPr="004976C2">
        <w:rPr>
          <w:rFonts w:cs="David" w:hint="cs"/>
          <w:b/>
          <w:bCs/>
          <w:u w:val="single"/>
          <w:rtl/>
        </w:rPr>
        <w:t>תקנות למניעת הטרדה מינית (חובת מעביד)</w:t>
      </w:r>
      <w:r w:rsidR="00C37616" w:rsidRPr="004976C2">
        <w:rPr>
          <w:rFonts w:cs="David" w:hint="cs"/>
          <w:b/>
          <w:bCs/>
          <w:u w:val="single"/>
          <w:rtl/>
        </w:rPr>
        <w:t>, התשנ"ח-1998</w:t>
      </w:r>
    </w:p>
    <w:p w:rsidR="004644EF" w:rsidRPr="004976C2" w:rsidRDefault="004644EF" w:rsidP="00B050AF">
      <w:pPr>
        <w:rPr>
          <w:rFonts w:cs="David"/>
          <w:rtl/>
        </w:rPr>
      </w:pPr>
    </w:p>
    <w:p w:rsidR="00B050AF" w:rsidRPr="004976C2" w:rsidRDefault="00B050AF" w:rsidP="00B050AF">
      <w:pPr>
        <w:spacing w:line="360" w:lineRule="auto"/>
        <w:rPr>
          <w:rFonts w:cs="David"/>
          <w:b/>
          <w:bCs/>
          <w:u w:val="single"/>
          <w:rtl/>
        </w:rPr>
      </w:pPr>
    </w:p>
    <w:p w:rsidR="006B049D" w:rsidRPr="004976C2" w:rsidRDefault="00B050AF" w:rsidP="00B050AF">
      <w:pPr>
        <w:spacing w:line="360" w:lineRule="auto"/>
        <w:rPr>
          <w:rFonts w:cs="David"/>
          <w:rtl/>
        </w:rPr>
      </w:pPr>
      <w:r w:rsidRPr="004976C2">
        <w:rPr>
          <w:rFonts w:cs="David"/>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Pr="00E91003" w:rsidRDefault="00BB04C0" w:rsidP="00B050AF">
                  <w:pPr>
                    <w:numPr>
                      <w:ilvl w:val="0"/>
                      <w:numId w:val="2"/>
                    </w:numPr>
                    <w:spacing w:line="360" w:lineRule="auto"/>
                    <w:rPr>
                      <w:rFonts w:cs="David"/>
                      <w:rtl/>
                    </w:rPr>
                  </w:pPr>
                  <w:r w:rsidRPr="00E91003">
                    <w:rPr>
                      <w:rFonts w:cs="David" w:hint="cs"/>
                      <w:rtl/>
                    </w:rPr>
                    <w:t>ה</w:t>
                  </w:r>
                  <w:r w:rsidR="00B050AF" w:rsidRPr="00E91003">
                    <w:rPr>
                      <w:rFonts w:cs="David" w:hint="cs"/>
                      <w:rtl/>
                    </w:rPr>
                    <w:t>וועדה לקידום מעמד האישה ולשוויון מגדרי בכנסת</w:t>
                  </w:r>
                </w:p>
                <w:p w:rsidR="00B050AF" w:rsidRPr="00E91003" w:rsidRDefault="00BB04C0" w:rsidP="00B050AF">
                  <w:pPr>
                    <w:numPr>
                      <w:ilvl w:val="0"/>
                      <w:numId w:val="2"/>
                    </w:numPr>
                    <w:spacing w:line="360" w:lineRule="auto"/>
                    <w:rPr>
                      <w:rFonts w:cs="David"/>
                    </w:rPr>
                  </w:pPr>
                  <w:r w:rsidRPr="00E91003">
                    <w:rPr>
                      <w:rFonts w:cs="David" w:hint="cs"/>
                      <w:rtl/>
                    </w:rPr>
                    <w:t>ה</w:t>
                  </w:r>
                  <w:r w:rsidR="00B050AF" w:rsidRPr="00E91003">
                    <w:rPr>
                      <w:rFonts w:cs="David" w:hint="cs"/>
                      <w:rtl/>
                    </w:rPr>
                    <w:t>רשות לקידום מעמד האישה</w:t>
                  </w:r>
                </w:p>
                <w:p w:rsidR="00B050AF" w:rsidRPr="00E91003" w:rsidRDefault="00BB04C0" w:rsidP="008C61FE">
                  <w:pPr>
                    <w:numPr>
                      <w:ilvl w:val="0"/>
                      <w:numId w:val="2"/>
                    </w:numPr>
                    <w:spacing w:line="360" w:lineRule="auto"/>
                    <w:rPr>
                      <w:rFonts w:cs="David"/>
                    </w:rPr>
                  </w:pPr>
                  <w:r w:rsidRPr="00E91003">
                    <w:rPr>
                      <w:rFonts w:cs="David" w:hint="cs"/>
                      <w:rtl/>
                    </w:rPr>
                    <w:t>המועצה להשכלה גבוהה</w:t>
                  </w:r>
                </w:p>
                <w:p w:rsidR="00B050AF" w:rsidRPr="00B050AF" w:rsidRDefault="00B050AF" w:rsidP="00B050AF">
                  <w:pPr>
                    <w:rPr>
                      <w:cs/>
                    </w:rPr>
                  </w:pPr>
                </w:p>
              </w:txbxContent>
            </v:textbox>
            <w10:wrap type="square"/>
          </v:shape>
        </w:pict>
      </w:r>
      <w:r w:rsidR="006B049D" w:rsidRPr="004976C2">
        <w:rPr>
          <w:rFonts w:cs="David" w:hint="cs"/>
          <w:b/>
          <w:bCs/>
          <w:u w:val="single"/>
          <w:rtl/>
        </w:rPr>
        <w:t>הדיווח מוגש</w:t>
      </w:r>
      <w:r w:rsidRPr="004976C2">
        <w:rPr>
          <w:rFonts w:cs="David" w:hint="cs"/>
          <w:b/>
          <w:bCs/>
          <w:u w:val="single"/>
          <w:rtl/>
        </w:rPr>
        <w:t xml:space="preserve"> לגורמים הבאים</w:t>
      </w:r>
      <w:r w:rsidR="006B049D" w:rsidRPr="004976C2">
        <w:rPr>
          <w:rFonts w:cs="David" w:hint="cs"/>
          <w:b/>
          <w:bCs/>
          <w:u w:val="single"/>
          <w:rtl/>
        </w:rPr>
        <w:t xml:space="preserve">: </w:t>
      </w:r>
    </w:p>
    <w:p w:rsidR="00B050AF" w:rsidRPr="004976C2" w:rsidRDefault="00B050AF" w:rsidP="00B050AF">
      <w:pPr>
        <w:spacing w:line="360" w:lineRule="auto"/>
        <w:rPr>
          <w:rFonts w:cs="David"/>
          <w:rtl/>
        </w:rPr>
      </w:pPr>
    </w:p>
    <w:p w:rsidR="00BF0D0F" w:rsidRPr="004976C2" w:rsidRDefault="00BF0D0F" w:rsidP="00B050AF">
      <w:pPr>
        <w:spacing w:line="360" w:lineRule="auto"/>
        <w:rPr>
          <w:rFonts w:cs="David"/>
          <w:rtl/>
        </w:rPr>
      </w:pPr>
    </w:p>
    <w:p w:rsidR="006B049D" w:rsidRPr="004976C2" w:rsidRDefault="006B049D" w:rsidP="00B050AF">
      <w:pPr>
        <w:spacing w:line="360" w:lineRule="auto"/>
        <w:rPr>
          <w:rFonts w:cs="David"/>
          <w:b/>
          <w:bCs/>
          <w:u w:val="single"/>
          <w:rtl/>
        </w:rPr>
      </w:pPr>
      <w:r w:rsidRPr="004976C2">
        <w:rPr>
          <w:rFonts w:cs="David" w:hint="cs"/>
          <w:b/>
          <w:bCs/>
          <w:u w:val="single"/>
          <w:rtl/>
        </w:rPr>
        <w:t>פרטים כללים:</w:t>
      </w:r>
    </w:p>
    <w:p w:rsidR="00B050AF" w:rsidRPr="004976C2" w:rsidRDefault="00294722" w:rsidP="00B050AF">
      <w:pPr>
        <w:spacing w:line="360" w:lineRule="auto"/>
        <w:rPr>
          <w:rFonts w:cs="David"/>
          <w:b/>
          <w:bCs/>
          <w:u w:val="single"/>
          <w:rtl/>
        </w:rPr>
      </w:pPr>
      <w:r w:rsidRPr="004976C2">
        <w:rPr>
          <w:rFonts w:cs="David"/>
          <w:noProof/>
        </w:rPr>
        <w:pict>
          <v:shape id="_x0000_s1027" type="#_x0000_t202" style="position:absolute;left:0;text-align:left;margin-left:.35pt;margin-top:-628.3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BF4D96" w:rsidRPr="00CE7B1A" w:rsidRDefault="00BF4D96" w:rsidP="00B050AF">
                  <w:pPr>
                    <w:spacing w:line="360" w:lineRule="auto"/>
                    <w:rPr>
                      <w:rFonts w:cs="David"/>
                      <w:rtl/>
                    </w:rPr>
                  </w:pPr>
                </w:p>
                <w:p w:rsidR="00B050AF" w:rsidRPr="00CE7B1A" w:rsidRDefault="00B050AF" w:rsidP="007F4C3D">
                  <w:pPr>
                    <w:spacing w:line="360" w:lineRule="auto"/>
                    <w:rPr>
                      <w:rFonts w:cs="David" w:hint="cs"/>
                      <w:rtl/>
                    </w:rPr>
                  </w:pPr>
                  <w:r w:rsidRPr="00CE7B1A">
                    <w:rPr>
                      <w:rFonts w:cs="David" w:hint="cs"/>
                      <w:b/>
                      <w:bCs/>
                      <w:rtl/>
                    </w:rPr>
                    <w:t>שם המוסד</w:t>
                  </w:r>
                  <w:r w:rsidRPr="00CE7B1A">
                    <w:rPr>
                      <w:rFonts w:cs="David" w:hint="cs"/>
                      <w:rtl/>
                    </w:rPr>
                    <w:t>:</w:t>
                  </w:r>
                  <w:r w:rsidR="00BF4D96" w:rsidRPr="00CE7B1A">
                    <w:rPr>
                      <w:rFonts w:cs="David" w:hint="cs"/>
                      <w:rtl/>
                    </w:rPr>
                    <w:t xml:space="preserve"> </w:t>
                  </w:r>
                  <w:r w:rsidR="007F4C3D" w:rsidRPr="00CE7B1A">
                    <w:rPr>
                      <w:rFonts w:cs="David" w:hint="cs"/>
                      <w:rtl/>
                    </w:rPr>
                    <w:t>המרכז האקדמי שלם</w:t>
                  </w:r>
                </w:p>
                <w:p w:rsidR="00BF4D96" w:rsidRPr="00CE7B1A" w:rsidRDefault="00BF4D96" w:rsidP="00BF4D96">
                  <w:pPr>
                    <w:spacing w:line="360" w:lineRule="auto"/>
                    <w:rPr>
                      <w:rFonts w:cs="David"/>
                      <w:rtl/>
                    </w:rPr>
                  </w:pPr>
                </w:p>
                <w:p w:rsidR="00B050AF" w:rsidRPr="00CE7B1A" w:rsidRDefault="00B050AF" w:rsidP="007F4C3D">
                  <w:pPr>
                    <w:spacing w:line="360" w:lineRule="auto"/>
                    <w:rPr>
                      <w:rFonts w:cs="David"/>
                      <w:rtl/>
                    </w:rPr>
                  </w:pPr>
                  <w:r w:rsidRPr="00E91003">
                    <w:rPr>
                      <w:rFonts w:cs="David" w:hint="cs"/>
                      <w:b/>
                      <w:bCs/>
                      <w:rtl/>
                    </w:rPr>
                    <w:t>מועד הגשת הדוח</w:t>
                  </w:r>
                  <w:r w:rsidRPr="00CE7B1A">
                    <w:rPr>
                      <w:rFonts w:cs="David" w:hint="cs"/>
                      <w:rtl/>
                    </w:rPr>
                    <w:t xml:space="preserve">: חודש אוקטובר </w:t>
                  </w:r>
                  <w:r w:rsidR="007F4C3D" w:rsidRPr="00CE7B1A">
                    <w:rPr>
                      <w:rFonts w:cs="David" w:hint="cs"/>
                      <w:rtl/>
                    </w:rPr>
                    <w:t>2018</w:t>
                  </w:r>
                </w:p>
                <w:p w:rsidR="00B050AF" w:rsidRPr="00CE7B1A" w:rsidRDefault="00B050AF" w:rsidP="007F4C3D">
                  <w:pPr>
                    <w:spacing w:line="360" w:lineRule="auto"/>
                    <w:ind w:left="1440"/>
                    <w:rPr>
                      <w:rFonts w:cs="David"/>
                      <w:rtl/>
                    </w:rPr>
                  </w:pPr>
                  <w:r w:rsidRPr="00CE7B1A">
                    <w:rPr>
                      <w:rFonts w:cs="David" w:hint="cs"/>
                      <w:rtl/>
                    </w:rPr>
                    <w:t xml:space="preserve">      הדיווח מתייחס לשנת הלימודים</w:t>
                  </w:r>
                  <w:r w:rsidR="007F4C3D" w:rsidRPr="00CE7B1A">
                    <w:rPr>
                      <w:rFonts w:cs="David" w:hint="cs"/>
                      <w:rtl/>
                    </w:rPr>
                    <w:t xml:space="preserve"> תשע"ח</w:t>
                  </w:r>
                </w:p>
                <w:p w:rsidR="00BF4D96" w:rsidRPr="00CE7B1A" w:rsidRDefault="00BF4D96" w:rsidP="00BF4D96">
                  <w:pPr>
                    <w:spacing w:line="360" w:lineRule="auto"/>
                    <w:rPr>
                      <w:rFonts w:cs="David"/>
                      <w:rtl/>
                    </w:rPr>
                  </w:pPr>
                </w:p>
                <w:p w:rsidR="00B050AF" w:rsidRPr="00CE7B1A" w:rsidRDefault="00B050AF" w:rsidP="00BF0D0F">
                  <w:pPr>
                    <w:spacing w:line="360" w:lineRule="auto"/>
                    <w:rPr>
                      <w:rFonts w:cs="David" w:hint="cs"/>
                      <w:rtl/>
                    </w:rPr>
                  </w:pPr>
                  <w:r w:rsidRPr="00E91003">
                    <w:rPr>
                      <w:rFonts w:cs="David" w:hint="cs"/>
                      <w:b/>
                      <w:bCs/>
                      <w:rtl/>
                    </w:rPr>
                    <w:t>מספר הסטודנטים שלמדו במוסד בשנת ה</w:t>
                  </w:r>
                  <w:r w:rsidR="00BF4D96" w:rsidRPr="00E91003">
                    <w:rPr>
                      <w:rFonts w:cs="David" w:hint="cs"/>
                      <w:b/>
                      <w:bCs/>
                      <w:rtl/>
                    </w:rPr>
                    <w:t>לימודים האקדמית אליה מתייחס הדיו</w:t>
                  </w:r>
                  <w:r w:rsidRPr="00E91003">
                    <w:rPr>
                      <w:rFonts w:cs="David" w:hint="cs"/>
                      <w:b/>
                      <w:bCs/>
                      <w:rtl/>
                    </w:rPr>
                    <w:t>וח</w:t>
                  </w:r>
                  <w:r w:rsidRPr="00CE7B1A">
                    <w:rPr>
                      <w:rFonts w:cs="David" w:hint="cs"/>
                      <w:rtl/>
                    </w:rPr>
                    <w:t xml:space="preserve">: </w:t>
                  </w:r>
                  <w:r w:rsidR="00BF0D0F" w:rsidRPr="00CE7B1A">
                    <w:rPr>
                      <w:rFonts w:cs="David" w:hint="cs"/>
                      <w:rtl/>
                    </w:rPr>
                    <w:t>170 סטודנטים.</w:t>
                  </w:r>
                </w:p>
                <w:p w:rsidR="00BF0D0F" w:rsidRPr="00CE7B1A" w:rsidRDefault="00BF0D0F" w:rsidP="004C1149">
                  <w:pPr>
                    <w:spacing w:line="360" w:lineRule="auto"/>
                    <w:rPr>
                      <w:rFonts w:cs="David"/>
                      <w:rtl/>
                    </w:rPr>
                  </w:pPr>
                </w:p>
                <w:p w:rsidR="004C1149" w:rsidRPr="00E91003" w:rsidRDefault="00B050AF" w:rsidP="004C1149">
                  <w:pPr>
                    <w:spacing w:line="360" w:lineRule="auto"/>
                    <w:rPr>
                      <w:rFonts w:cs="David"/>
                      <w:b/>
                      <w:bCs/>
                      <w:rtl/>
                    </w:rPr>
                  </w:pPr>
                  <w:r w:rsidRPr="00E91003">
                    <w:rPr>
                      <w:rFonts w:cs="David" w:hint="cs"/>
                      <w:b/>
                      <w:bCs/>
                      <w:rtl/>
                    </w:rPr>
                    <w:t>מספר האחראים למניעת הטרדה מינית במוסד, שמם ותפקידם:</w:t>
                  </w:r>
                  <w:r w:rsidR="00BF4D96" w:rsidRPr="00E91003">
                    <w:rPr>
                      <w:rFonts w:cs="David" w:hint="cs"/>
                      <w:b/>
                      <w:bCs/>
                      <w:rtl/>
                    </w:rPr>
                    <w:t xml:space="preserve"> </w:t>
                  </w:r>
                </w:p>
                <w:p w:rsidR="004C1149" w:rsidRPr="00CE7B1A" w:rsidRDefault="004C1149" w:rsidP="004C1149">
                  <w:pPr>
                    <w:spacing w:line="360" w:lineRule="auto"/>
                    <w:rPr>
                      <w:rFonts w:cs="David" w:hint="cs"/>
                      <w:rtl/>
                    </w:rPr>
                  </w:pPr>
                  <w:r w:rsidRPr="00CE7B1A">
                    <w:rPr>
                      <w:rFonts w:cs="David" w:hint="cs"/>
                      <w:rtl/>
                    </w:rPr>
                    <w:t xml:space="preserve">אחראית אחת: שרון וובר, סמנכ"לית משאבי אנוש והממונה על שוויון מגדרי. </w:t>
                  </w:r>
                </w:p>
                <w:p w:rsidR="00294722" w:rsidRPr="00CE7B1A" w:rsidRDefault="00294722" w:rsidP="009772BA">
                  <w:pPr>
                    <w:spacing w:line="360" w:lineRule="auto"/>
                    <w:rPr>
                      <w:rFonts w:cs="David"/>
                      <w:rtl/>
                    </w:rPr>
                  </w:pPr>
                </w:p>
                <w:p w:rsidR="004C1149" w:rsidRPr="00CE7B1A" w:rsidRDefault="00B050AF" w:rsidP="009772BA">
                  <w:pPr>
                    <w:spacing w:line="360" w:lineRule="auto"/>
                    <w:rPr>
                      <w:rFonts w:cs="David"/>
                      <w:rtl/>
                    </w:rPr>
                  </w:pPr>
                  <w:r w:rsidRPr="00CE7B1A">
                    <w:rPr>
                      <w:rFonts w:cs="David" w:hint="cs"/>
                      <w:rtl/>
                    </w:rPr>
                    <w:t>האחראי</w:t>
                  </w:r>
                  <w:r w:rsidR="009772BA" w:rsidRPr="00CE7B1A">
                    <w:rPr>
                      <w:rFonts w:cs="David" w:hint="cs"/>
                      <w:rtl/>
                    </w:rPr>
                    <w:t xml:space="preserve">ת </w:t>
                  </w:r>
                  <w:r w:rsidRPr="00CE7B1A">
                    <w:rPr>
                      <w:rFonts w:cs="David" w:hint="cs"/>
                      <w:rtl/>
                    </w:rPr>
                    <w:t>עבר</w:t>
                  </w:r>
                  <w:r w:rsidR="009772BA" w:rsidRPr="00CE7B1A">
                    <w:rPr>
                      <w:rFonts w:cs="David" w:hint="cs"/>
                      <w:rtl/>
                    </w:rPr>
                    <w:t>ה</w:t>
                  </w:r>
                  <w:r w:rsidRPr="00CE7B1A">
                    <w:rPr>
                      <w:rFonts w:cs="David" w:hint="cs"/>
                      <w:rtl/>
                    </w:rPr>
                    <w:t xml:space="preserve"> בסמוך למינוי</w:t>
                  </w:r>
                  <w:r w:rsidR="009772BA" w:rsidRPr="00CE7B1A">
                    <w:rPr>
                      <w:rFonts w:cs="David" w:hint="cs"/>
                      <w:rtl/>
                    </w:rPr>
                    <w:t>ה</w:t>
                  </w:r>
                  <w:r w:rsidRPr="00CE7B1A">
                    <w:rPr>
                      <w:rFonts w:cs="David" w:hint="cs"/>
                      <w:rtl/>
                    </w:rPr>
                    <w:t xml:space="preserve"> השתלמות בהיקף של </w:t>
                  </w:r>
                  <w:r w:rsidR="004C1149" w:rsidRPr="00CE7B1A">
                    <w:rPr>
                      <w:rFonts w:cs="David" w:hint="cs"/>
                      <w:rtl/>
                    </w:rPr>
                    <w:t>18 שעות על ידי מרכז הסיוע לנפגעות ונפגעי אונס ותקיפה מינית בירושלים.</w:t>
                  </w:r>
                </w:p>
                <w:p w:rsidR="00BF4D96" w:rsidRPr="00CE7B1A" w:rsidRDefault="00BF4D96" w:rsidP="004C1149">
                  <w:pPr>
                    <w:spacing w:line="360" w:lineRule="auto"/>
                    <w:rPr>
                      <w:rFonts w:cs="David"/>
                      <w:rtl/>
                    </w:rPr>
                  </w:pPr>
                </w:p>
                <w:p w:rsidR="002A20DC" w:rsidRPr="00CE7B1A" w:rsidRDefault="00BF4D96" w:rsidP="00294722">
                  <w:pPr>
                    <w:spacing w:line="360" w:lineRule="auto"/>
                    <w:rPr>
                      <w:rFonts w:cs="David" w:hint="cs"/>
                      <w:rtl/>
                    </w:rPr>
                  </w:pPr>
                  <w:r w:rsidRPr="00E91003">
                    <w:rPr>
                      <w:rFonts w:cs="David" w:hint="cs"/>
                      <w:b/>
                      <w:bCs/>
                      <w:rtl/>
                    </w:rPr>
                    <w:t xml:space="preserve">פירוט עיקרי </w:t>
                  </w:r>
                  <w:r w:rsidR="00B050AF" w:rsidRPr="00E91003">
                    <w:rPr>
                      <w:rFonts w:cs="David" w:hint="cs"/>
                      <w:b/>
                      <w:bCs/>
                      <w:rtl/>
                    </w:rPr>
                    <w:t>ההשתלמות</w:t>
                  </w:r>
                  <w:r w:rsidR="00D62148" w:rsidRPr="00CE7B1A">
                    <w:rPr>
                      <w:rFonts w:cs="David" w:hint="cs"/>
                      <w:rtl/>
                    </w:rPr>
                    <w:t xml:space="preserve">: </w:t>
                  </w:r>
                  <w:r w:rsidR="00294722" w:rsidRPr="00CE7B1A">
                    <w:rPr>
                      <w:rFonts w:cs="David" w:hint="cs"/>
                      <w:rtl/>
                    </w:rPr>
                    <w:t xml:space="preserve">1. </w:t>
                  </w:r>
                  <w:r w:rsidR="00D62148" w:rsidRPr="00CE7B1A">
                    <w:rPr>
                      <w:rFonts w:cs="David" w:hint="cs"/>
                      <w:rtl/>
                    </w:rPr>
                    <w:t xml:space="preserve">הטרדה מינית: השלכות ומשמעות (מהי הטרדה מינית ומהן השלכותיה על המוטרד/ת </w:t>
                  </w:r>
                  <w:r w:rsidR="00D62148" w:rsidRPr="00CE7B1A">
                    <w:rPr>
                      <w:rFonts w:cs="David"/>
                      <w:rtl/>
                    </w:rPr>
                    <w:t>–</w:t>
                  </w:r>
                  <w:r w:rsidR="00D62148" w:rsidRPr="00CE7B1A">
                    <w:rPr>
                      <w:rFonts w:cs="David" w:hint="cs"/>
                      <w:rtl/>
                    </w:rPr>
                    <w:t xml:space="preserve"> היבטים חברתיים ורגשיים</w:t>
                  </w:r>
                  <w:r w:rsidR="00294722" w:rsidRPr="00CE7B1A">
                    <w:rPr>
                      <w:rFonts w:cs="David" w:hint="cs"/>
                      <w:rtl/>
                    </w:rPr>
                    <w:t>,</w:t>
                  </w:r>
                  <w:r w:rsidR="00D62148" w:rsidRPr="00CE7B1A">
                    <w:rPr>
                      <w:rFonts w:cs="David" w:hint="cs"/>
                      <w:rtl/>
                    </w:rPr>
                    <w:t xml:space="preserve"> תופעת ההטרדה המינית והטרדה במסגרת יחסי מרות) </w:t>
                  </w:r>
                  <w:r w:rsidR="00294722" w:rsidRPr="00CE7B1A">
                    <w:rPr>
                      <w:rFonts w:cs="David" w:hint="cs"/>
                      <w:rtl/>
                    </w:rPr>
                    <w:t xml:space="preserve">2. </w:t>
                  </w:r>
                  <w:r w:rsidR="00D62148" w:rsidRPr="00CE7B1A">
                    <w:rPr>
                      <w:rFonts w:cs="David" w:hint="cs"/>
                      <w:rtl/>
                    </w:rPr>
                    <w:t xml:space="preserve">החוק למניעת הטרדה מינית (ההקשר החברתי והרקע לחקיקת החוק, החוק והתקנות </w:t>
                  </w:r>
                  <w:r w:rsidR="00294722" w:rsidRPr="00CE7B1A">
                    <w:rPr>
                      <w:rFonts w:cs="David" w:hint="cs"/>
                      <w:rtl/>
                    </w:rPr>
                    <w:t xml:space="preserve"> - הלכה למעשה, חובות המעביד ומסלולי פעולה משפטיים)</w:t>
                  </w:r>
                  <w:r w:rsidR="00D62148" w:rsidRPr="00CE7B1A">
                    <w:rPr>
                      <w:rFonts w:cs="David" w:hint="cs"/>
                      <w:rtl/>
                    </w:rPr>
                    <w:t xml:space="preserve"> </w:t>
                  </w:r>
                  <w:r w:rsidR="00294722" w:rsidRPr="00CE7B1A">
                    <w:rPr>
                      <w:rFonts w:cs="David" w:hint="cs"/>
                      <w:rtl/>
                    </w:rPr>
                    <w:t xml:space="preserve">3. </w:t>
                  </w:r>
                  <w:r w:rsidR="00D62148" w:rsidRPr="00CE7B1A">
                    <w:rPr>
                      <w:rFonts w:cs="David" w:hint="cs"/>
                      <w:rtl/>
                    </w:rPr>
                    <w:t>תפקיד האחראי/ת בארגון</w:t>
                  </w:r>
                  <w:r w:rsidR="00294722" w:rsidRPr="00CE7B1A">
                    <w:rPr>
                      <w:rFonts w:cs="David" w:hint="cs"/>
                      <w:rtl/>
                    </w:rPr>
                    <w:t xml:space="preserve"> ( כל כובעי האחראית </w:t>
                  </w:r>
                  <w:r w:rsidR="00294722" w:rsidRPr="00CE7B1A">
                    <w:rPr>
                      <w:rFonts w:cs="David"/>
                      <w:rtl/>
                    </w:rPr>
                    <w:t>–</w:t>
                  </w:r>
                  <w:r w:rsidR="00294722" w:rsidRPr="00CE7B1A">
                    <w:rPr>
                      <w:rFonts w:cs="David" w:hint="cs"/>
                      <w:rtl/>
                    </w:rPr>
                    <w:t xml:space="preserve"> קשיים, דילמות וכלים ליצירת ארגון בטוח, תפקיד האחראי/ת: הליך הטיפול בתלונה וניתוח מקרים)</w:t>
                  </w:r>
                  <w:r w:rsidR="00D62148" w:rsidRPr="00CE7B1A">
                    <w:rPr>
                      <w:rFonts w:cs="David" w:hint="cs"/>
                      <w:rtl/>
                    </w:rPr>
                    <w:t xml:space="preserve">. </w:t>
                  </w: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p>
    <w:p w:rsidR="004C04E2" w:rsidRPr="004976C2" w:rsidRDefault="004C04E2" w:rsidP="00B050AF">
      <w:pPr>
        <w:rPr>
          <w:rFonts w:cs="David" w:hint="cs"/>
          <w:rtl/>
        </w:rPr>
      </w:pPr>
    </w:p>
    <w:p w:rsidR="004C04E2" w:rsidRPr="004976C2" w:rsidRDefault="000D0D94" w:rsidP="00C86D06">
      <w:pPr>
        <w:rPr>
          <w:rFonts w:cs="David" w:hint="cs"/>
          <w:b/>
          <w:bCs/>
          <w:rtl/>
        </w:rPr>
      </w:pPr>
      <w:r w:rsidRPr="004976C2">
        <w:rPr>
          <w:rFonts w:cs="David" w:hint="cs"/>
          <w:b/>
          <w:bCs/>
          <w:u w:val="single"/>
          <w:rtl/>
        </w:rPr>
        <w:t xml:space="preserve">פעילויות </w:t>
      </w:r>
      <w:r w:rsidR="004C04E2" w:rsidRPr="004976C2">
        <w:rPr>
          <w:rFonts w:cs="David" w:hint="cs"/>
          <w:b/>
          <w:bCs/>
          <w:u w:val="single"/>
          <w:rtl/>
        </w:rPr>
        <w:t>הדרכה והסברה</w:t>
      </w:r>
      <w:r w:rsidR="002A20DC" w:rsidRPr="004976C2">
        <w:rPr>
          <w:rFonts w:cs="David" w:hint="cs"/>
          <w:b/>
          <w:bCs/>
          <w:u w:val="single"/>
          <w:rtl/>
        </w:rPr>
        <w:t xml:space="preserve"> שנקט המוסד </w:t>
      </w:r>
      <w:r w:rsidR="004C04E2" w:rsidRPr="004976C2">
        <w:rPr>
          <w:rFonts w:cs="David" w:hint="cs"/>
          <w:b/>
          <w:bCs/>
          <w:u w:val="single"/>
          <w:rtl/>
        </w:rPr>
        <w:t>שעניינן</w:t>
      </w:r>
      <w:r w:rsidR="002A20DC" w:rsidRPr="004976C2">
        <w:rPr>
          <w:rFonts w:cs="David" w:hint="cs"/>
          <w:b/>
          <w:bCs/>
          <w:u w:val="single"/>
          <w:rtl/>
        </w:rPr>
        <w:t xml:space="preserve"> </w:t>
      </w:r>
      <w:r w:rsidR="004C04E2" w:rsidRPr="004976C2">
        <w:rPr>
          <w:rFonts w:cs="David" w:hint="cs"/>
          <w:b/>
          <w:bCs/>
          <w:u w:val="single"/>
          <w:rtl/>
        </w:rPr>
        <w:t>הטרדה מינית</w:t>
      </w:r>
      <w:r w:rsidR="00C86D06" w:rsidRPr="004976C2">
        <w:rPr>
          <w:rFonts w:cs="David" w:hint="cs"/>
          <w:b/>
          <w:bCs/>
          <w:u w:val="single"/>
          <w:rtl/>
        </w:rPr>
        <w:t xml:space="preserve"> והתנכלות</w:t>
      </w:r>
      <w:r w:rsidR="002A20DC" w:rsidRPr="004976C2">
        <w:rPr>
          <w:rFonts w:cs="David" w:hint="cs"/>
          <w:b/>
          <w:bCs/>
          <w:u w:val="single"/>
          <w:rtl/>
        </w:rPr>
        <w:t>:</w:t>
      </w:r>
    </w:p>
    <w:p w:rsidR="002A20DC" w:rsidRPr="004976C2" w:rsidRDefault="002A20DC" w:rsidP="00B050AF">
      <w:pPr>
        <w:rPr>
          <w:rFonts w:cs="David"/>
          <w:rtl/>
        </w:rPr>
      </w:pPr>
      <w:r w:rsidRPr="004976C2">
        <w:rPr>
          <w:rFonts w:cs="David"/>
          <w:noProof/>
        </w:rPr>
        <w:lastRenderedPageBreak/>
        <w:pict>
          <v:shape id="_x0000_s1028" type="#_x0000_t202" style="position:absolute;left:0;text-align:left;margin-left:0;margin-top:27.7pt;width:410.6pt;height:494.95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2A20DC" w:rsidRPr="000D06F9" w:rsidRDefault="002A20DC" w:rsidP="002A20DC">
                  <w:pPr>
                    <w:rPr>
                      <w:rFonts w:cs="David"/>
                      <w:rtl/>
                    </w:rPr>
                  </w:pPr>
                </w:p>
                <w:p w:rsidR="002A20DC" w:rsidRPr="000D06F9" w:rsidRDefault="00C17833" w:rsidP="00C86D06">
                  <w:pPr>
                    <w:rPr>
                      <w:rFonts w:cs="David"/>
                      <w:rtl/>
                    </w:rPr>
                  </w:pPr>
                  <w:r w:rsidRPr="00F07CAF">
                    <w:rPr>
                      <w:rFonts w:cs="David" w:hint="cs"/>
                      <w:b/>
                      <w:bCs/>
                      <w:rtl/>
                    </w:rPr>
                    <w:t xml:space="preserve">פירוט </w:t>
                  </w:r>
                  <w:r w:rsidR="002A20DC" w:rsidRPr="00F07CAF">
                    <w:rPr>
                      <w:rFonts w:cs="David" w:hint="cs"/>
                      <w:b/>
                      <w:bCs/>
                      <w:rtl/>
                    </w:rPr>
                    <w:t>פעולות הדרכה והסברה</w:t>
                  </w:r>
                  <w:r w:rsidR="00BB04C0" w:rsidRPr="00F07CAF">
                    <w:rPr>
                      <w:rFonts w:cs="David" w:hint="cs"/>
                      <w:b/>
                      <w:bCs/>
                      <w:rtl/>
                    </w:rPr>
                    <w:t>*</w:t>
                  </w:r>
                  <w:r w:rsidR="002A20DC" w:rsidRPr="00F07CAF">
                    <w:rPr>
                      <w:rFonts w:cs="David" w:hint="cs"/>
                      <w:b/>
                      <w:bCs/>
                      <w:rtl/>
                    </w:rPr>
                    <w:t xml:space="preserve"> </w:t>
                  </w:r>
                  <w:r w:rsidR="00C86D06" w:rsidRPr="00F07CAF">
                    <w:rPr>
                      <w:rFonts w:cs="David" w:hint="cs"/>
                      <w:b/>
                      <w:bCs/>
                      <w:rtl/>
                    </w:rPr>
                    <w:t xml:space="preserve">שהועברו </w:t>
                  </w:r>
                  <w:r w:rsidR="002A20DC" w:rsidRPr="00F07CAF">
                    <w:rPr>
                      <w:rFonts w:cs="David" w:hint="cs"/>
                      <w:b/>
                      <w:bCs/>
                      <w:rtl/>
                    </w:rPr>
                    <w:t>לסגל המוסד (מנהלי ואקדמי)</w:t>
                  </w:r>
                  <w:r w:rsidR="00C86D06" w:rsidRPr="00F07CAF">
                    <w:rPr>
                      <w:rFonts w:cs="David" w:hint="cs"/>
                      <w:b/>
                      <w:bCs/>
                      <w:rtl/>
                    </w:rPr>
                    <w:t xml:space="preserve"> ותדירותן</w:t>
                  </w:r>
                  <w:r w:rsidR="002A20DC" w:rsidRPr="000D06F9">
                    <w:rPr>
                      <w:rFonts w:cs="David" w:hint="cs"/>
                      <w:rtl/>
                    </w:rPr>
                    <w:t>:</w:t>
                  </w:r>
                  <w:r w:rsidRPr="000D06F9">
                    <w:rPr>
                      <w:rFonts w:cs="David" w:hint="cs"/>
                      <w:rtl/>
                    </w:rPr>
                    <w:t xml:space="preserve"> </w:t>
                  </w:r>
                </w:p>
                <w:p w:rsidR="008657F6" w:rsidRPr="000D06F9" w:rsidRDefault="008657F6" w:rsidP="008657F6">
                  <w:pPr>
                    <w:pStyle w:val="a8"/>
                    <w:jc w:val="both"/>
                    <w:rPr>
                      <w:rFonts w:cs="David"/>
                      <w:sz w:val="24"/>
                      <w:szCs w:val="24"/>
                      <w:rtl/>
                    </w:rPr>
                  </w:pPr>
                </w:p>
                <w:p w:rsidR="008657F6" w:rsidRPr="000D06F9" w:rsidRDefault="008657F6" w:rsidP="00537EE3">
                  <w:pPr>
                    <w:pStyle w:val="a8"/>
                    <w:jc w:val="both"/>
                    <w:rPr>
                      <w:rFonts w:cs="David"/>
                      <w:sz w:val="24"/>
                      <w:szCs w:val="24"/>
                    </w:rPr>
                  </w:pPr>
                  <w:r w:rsidRPr="000D06F9">
                    <w:rPr>
                      <w:rFonts w:cs="David" w:hint="cs"/>
                      <w:sz w:val="24"/>
                      <w:szCs w:val="24"/>
                      <w:rtl/>
                    </w:rPr>
                    <w:t>במהלך שנה"ל תשע"ח, התקיימה לסגל המנהלי והאקדמי סדנה בת שעה וחצי על ידי נציגה של מרכז הסיוע</w:t>
                  </w:r>
                  <w:r w:rsidR="001C4741" w:rsidRPr="000D06F9">
                    <w:rPr>
                      <w:rFonts w:cs="David" w:hint="cs"/>
                      <w:sz w:val="24"/>
                      <w:szCs w:val="24"/>
                      <w:rtl/>
                    </w:rPr>
                    <w:t xml:space="preserve"> לנפגעות ונפגעי אונס ותקיפה מינית בירושלים</w:t>
                  </w:r>
                  <w:r w:rsidR="00537EE3">
                    <w:rPr>
                      <w:rFonts w:cs="David" w:hint="cs"/>
                      <w:sz w:val="24"/>
                      <w:szCs w:val="24"/>
                      <w:rtl/>
                    </w:rPr>
                    <w:t xml:space="preserve">, </w:t>
                  </w:r>
                  <w:r w:rsidR="001C4741" w:rsidRPr="000D06F9">
                    <w:rPr>
                      <w:rFonts w:cs="David" w:hint="cs"/>
                      <w:sz w:val="24"/>
                      <w:szCs w:val="24"/>
                      <w:rtl/>
                    </w:rPr>
                    <w:t xml:space="preserve">בה, בין השאר, </w:t>
                  </w:r>
                  <w:r w:rsidRPr="000D06F9">
                    <w:rPr>
                      <w:rFonts w:cs="David" w:hint="cs"/>
                      <w:sz w:val="24"/>
                      <w:szCs w:val="24"/>
                      <w:rtl/>
                    </w:rPr>
                    <w:t xml:space="preserve">הוצג החוק למניעת הטרדה מינית והתקנות מכוחו. </w:t>
                  </w:r>
                </w:p>
                <w:p w:rsidR="008657F6" w:rsidRPr="000D06F9" w:rsidRDefault="008657F6" w:rsidP="008657F6">
                  <w:pPr>
                    <w:pStyle w:val="a8"/>
                    <w:jc w:val="both"/>
                    <w:rPr>
                      <w:rFonts w:cs="David"/>
                      <w:sz w:val="24"/>
                      <w:szCs w:val="24"/>
                      <w:rtl/>
                    </w:rPr>
                  </w:pPr>
                </w:p>
                <w:p w:rsidR="008657F6" w:rsidRPr="000D06F9" w:rsidRDefault="008657F6" w:rsidP="00F07CAF">
                  <w:pPr>
                    <w:pStyle w:val="a8"/>
                    <w:ind w:left="-30"/>
                    <w:jc w:val="both"/>
                    <w:rPr>
                      <w:rFonts w:cs="David"/>
                      <w:sz w:val="24"/>
                      <w:szCs w:val="24"/>
                    </w:rPr>
                  </w:pPr>
                  <w:r w:rsidRPr="00F07CAF">
                    <w:rPr>
                      <w:rFonts w:cs="David" w:hint="cs"/>
                      <w:b/>
                      <w:bCs/>
                      <w:sz w:val="24"/>
                      <w:szCs w:val="24"/>
                      <w:rtl/>
                    </w:rPr>
                    <w:t>פירוט פעולות הדרכה והסברה* שהועברו לסטודנטים ולתלמידים ותדירותן</w:t>
                  </w:r>
                  <w:r w:rsidRPr="000D06F9">
                    <w:rPr>
                      <w:rFonts w:cs="David" w:hint="cs"/>
                      <w:sz w:val="24"/>
                      <w:szCs w:val="24"/>
                      <w:rtl/>
                    </w:rPr>
                    <w:t xml:space="preserve">: </w:t>
                  </w:r>
                </w:p>
                <w:p w:rsidR="008657F6" w:rsidRPr="000D06F9" w:rsidRDefault="008657F6" w:rsidP="008657F6">
                  <w:pPr>
                    <w:pStyle w:val="a8"/>
                    <w:rPr>
                      <w:rFonts w:cs="David" w:hint="cs"/>
                      <w:sz w:val="24"/>
                      <w:szCs w:val="24"/>
                      <w:rtl/>
                    </w:rPr>
                  </w:pPr>
                </w:p>
                <w:p w:rsidR="002A20DC" w:rsidRPr="000D06F9" w:rsidRDefault="00107A91" w:rsidP="004D132E">
                  <w:pPr>
                    <w:pStyle w:val="a8"/>
                    <w:jc w:val="both"/>
                    <w:rPr>
                      <w:rFonts w:cs="David" w:hint="cs"/>
                      <w:sz w:val="24"/>
                      <w:szCs w:val="24"/>
                      <w:rtl/>
                    </w:rPr>
                  </w:pPr>
                  <w:r w:rsidRPr="000D06F9">
                    <w:rPr>
                      <w:rFonts w:cs="David" w:hint="cs"/>
                      <w:sz w:val="24"/>
                      <w:szCs w:val="24"/>
                      <w:rtl/>
                    </w:rPr>
                    <w:t>במהלך</w:t>
                  </w:r>
                  <w:r w:rsidR="008657F6" w:rsidRPr="000D06F9">
                    <w:rPr>
                      <w:rFonts w:cs="David" w:hint="cs"/>
                      <w:sz w:val="24"/>
                      <w:szCs w:val="24"/>
                      <w:rtl/>
                    </w:rPr>
                    <w:t xml:space="preserve"> שנה"ל תשע"</w:t>
                  </w:r>
                  <w:r w:rsidRPr="000D06F9">
                    <w:rPr>
                      <w:rFonts w:cs="David" w:hint="cs"/>
                      <w:sz w:val="24"/>
                      <w:szCs w:val="24"/>
                      <w:rtl/>
                    </w:rPr>
                    <w:t>ח</w:t>
                  </w:r>
                  <w:r w:rsidR="008657F6" w:rsidRPr="000D06F9">
                    <w:rPr>
                      <w:rFonts w:cs="David" w:hint="cs"/>
                      <w:sz w:val="24"/>
                      <w:szCs w:val="24"/>
                      <w:rtl/>
                    </w:rPr>
                    <w:t xml:space="preserve">, נערכו 4 הדרכות (כל סטודנט השתתף בהדרכה אחת בסה"כ) בהן הוצג החוק למניעת הטרדה מינית תוך התייחסות מפורטת לאקדמיה. ההדרכות נערכו ב- 4 מועדים שונים ועל מנת לאפשר לכלל הסטודנטים להשתתף במועד שנוח להם. </w:t>
                  </w:r>
                </w:p>
                <w:p w:rsidR="002A20DC" w:rsidRPr="000D06F9" w:rsidRDefault="002A20DC" w:rsidP="002A20DC">
                  <w:pPr>
                    <w:rPr>
                      <w:rFonts w:cs="David" w:hint="cs"/>
                      <w:rtl/>
                    </w:rPr>
                  </w:pPr>
                </w:p>
                <w:p w:rsidR="002A20DC" w:rsidRPr="000D06F9" w:rsidRDefault="002A20DC" w:rsidP="00C86D06">
                  <w:pPr>
                    <w:rPr>
                      <w:rFonts w:cs="David" w:hint="cs"/>
                      <w:rtl/>
                    </w:rPr>
                  </w:pPr>
                  <w:r w:rsidRPr="000D06F9">
                    <w:rPr>
                      <w:rFonts w:cs="David" w:hint="cs"/>
                      <w:rtl/>
                    </w:rPr>
                    <w:t>(</w:t>
                  </w:r>
                  <w:r w:rsidR="00C86D06" w:rsidRPr="000D06F9">
                    <w:rPr>
                      <w:rFonts w:cs="David" w:hint="cs"/>
                      <w:rtl/>
                    </w:rPr>
                    <w:t>*יש לפרט</w:t>
                  </w:r>
                  <w:r w:rsidR="00DA41CA" w:rsidRPr="000D06F9">
                    <w:rPr>
                      <w:rFonts w:cs="David" w:hint="cs"/>
                      <w:rtl/>
                    </w:rPr>
                    <w:t>, בין השאר,</w:t>
                  </w:r>
                  <w:r w:rsidR="00C86D06" w:rsidRPr="000D06F9">
                    <w:rPr>
                      <w:rFonts w:cs="David" w:hint="cs"/>
                      <w:rtl/>
                    </w:rPr>
                    <w:t xml:space="preserve"> כיצד נערכו הפעולות- באמצעות כנסים/הדרכות/לומדה ממוחשבת </w:t>
                  </w:r>
                  <w:proofErr w:type="spellStart"/>
                  <w:r w:rsidR="00C86D06" w:rsidRPr="000D06F9">
                    <w:rPr>
                      <w:rFonts w:cs="David" w:hint="cs"/>
                      <w:rtl/>
                    </w:rPr>
                    <w:t>וכיוצ"ב</w:t>
                  </w:r>
                  <w:proofErr w:type="spellEnd"/>
                  <w:r w:rsidR="00C86D06" w:rsidRPr="000D06F9">
                    <w:rPr>
                      <w:rFonts w:cs="David" w:hint="cs"/>
                      <w:rtl/>
                    </w:rPr>
                    <w:t>)</w:t>
                  </w:r>
                </w:p>
                <w:p w:rsidR="002A20DC" w:rsidRPr="000D06F9" w:rsidRDefault="002A20DC" w:rsidP="002A20DC">
                  <w:pPr>
                    <w:rPr>
                      <w:rFonts w:cs="David" w:hint="cs"/>
                      <w:rtl/>
                    </w:rPr>
                  </w:pPr>
                </w:p>
                <w:p w:rsidR="002A20DC" w:rsidRPr="000D06F9" w:rsidRDefault="002A20DC" w:rsidP="002A20DC">
                  <w:pPr>
                    <w:rPr>
                      <w:rFonts w:cs="David" w:hint="cs"/>
                      <w:rtl/>
                    </w:rPr>
                  </w:pPr>
                </w:p>
                <w:p w:rsidR="00BB04C0" w:rsidRPr="000D06F9" w:rsidRDefault="00C86D06" w:rsidP="00BB04C0">
                  <w:pPr>
                    <w:jc w:val="both"/>
                    <w:rPr>
                      <w:rFonts w:cs="David"/>
                      <w:rtl/>
                    </w:rPr>
                  </w:pPr>
                  <w:r w:rsidRPr="00F07CAF">
                    <w:rPr>
                      <w:rFonts w:cs="David" w:hint="cs"/>
                      <w:b/>
                      <w:bCs/>
                      <w:rtl/>
                    </w:rPr>
                    <w:t>פירוט הפעולות שנקט המוסד על מנת להביא לידיעת כל תלמיד, סטודנט ועובד חדש את הוראות החוק</w:t>
                  </w:r>
                  <w:r w:rsidR="00BB04C0" w:rsidRPr="00F07CAF">
                    <w:rPr>
                      <w:rFonts w:cs="David" w:hint="cs"/>
                      <w:b/>
                      <w:bCs/>
                      <w:rtl/>
                    </w:rPr>
                    <w:t>,</w:t>
                  </w:r>
                  <w:r w:rsidRPr="00F07CAF">
                    <w:rPr>
                      <w:rFonts w:cs="David" w:hint="cs"/>
                      <w:b/>
                      <w:bCs/>
                      <w:rtl/>
                    </w:rPr>
                    <w:t xml:space="preserve"> התקנות והתקנון לפי תקנה 9(א1)(2) לתקנות למניעת הטרדה מינית (חובות מעביד), התשנ"ח-1998</w:t>
                  </w:r>
                  <w:r w:rsidRPr="000D06F9">
                    <w:rPr>
                      <w:rFonts w:cs="David" w:hint="cs"/>
                      <w:rtl/>
                    </w:rPr>
                    <w:t xml:space="preserve">: </w:t>
                  </w:r>
                </w:p>
                <w:p w:rsidR="004714B7" w:rsidRPr="000D06F9" w:rsidRDefault="004714B7" w:rsidP="004714B7">
                  <w:pPr>
                    <w:pStyle w:val="a8"/>
                    <w:jc w:val="both"/>
                    <w:rPr>
                      <w:rFonts w:cs="David"/>
                      <w:sz w:val="24"/>
                      <w:szCs w:val="24"/>
                      <w:rtl/>
                    </w:rPr>
                  </w:pPr>
                </w:p>
                <w:p w:rsidR="004714B7" w:rsidRPr="000D06F9" w:rsidRDefault="004714B7" w:rsidP="004714B7">
                  <w:pPr>
                    <w:pStyle w:val="a8"/>
                    <w:jc w:val="both"/>
                    <w:rPr>
                      <w:rFonts w:cs="David"/>
                      <w:sz w:val="24"/>
                      <w:szCs w:val="24"/>
                      <w:rtl/>
                    </w:rPr>
                  </w:pPr>
                  <w:r w:rsidRPr="000D06F9">
                    <w:rPr>
                      <w:rFonts w:cs="David" w:hint="cs"/>
                      <w:sz w:val="24"/>
                      <w:szCs w:val="24"/>
                      <w:rtl/>
                    </w:rPr>
                    <w:t xml:space="preserve">תקנון החוק למניעת הטרדה מינית, המותאם למרכז, נתלה במקומות בולטים במרכז ועותק ממנו מצוי באתר האינטרנט. בנוסף, נמסר עותק מהתקנון לכל עובד חדש במרכז, והוא מאשר הבנת עיקרי החוק והימנעות מהטרדה מינית. </w:t>
                  </w:r>
                </w:p>
                <w:p w:rsidR="004714B7" w:rsidRPr="000D06F9" w:rsidRDefault="004714B7" w:rsidP="004714B7">
                  <w:pPr>
                    <w:pStyle w:val="a8"/>
                    <w:jc w:val="both"/>
                    <w:rPr>
                      <w:rFonts w:cs="David"/>
                      <w:sz w:val="24"/>
                      <w:szCs w:val="24"/>
                      <w:rtl/>
                    </w:rPr>
                  </w:pPr>
                </w:p>
                <w:p w:rsidR="002A20DC" w:rsidRPr="00A32E14" w:rsidRDefault="004714B7" w:rsidP="00A32E14">
                  <w:pPr>
                    <w:pStyle w:val="a8"/>
                    <w:jc w:val="both"/>
                    <w:rPr>
                      <w:rFonts w:cs="David"/>
                      <w:sz w:val="26"/>
                      <w:szCs w:val="26"/>
                      <w:cs/>
                    </w:rPr>
                  </w:pPr>
                  <w:r w:rsidRPr="000D06F9">
                    <w:rPr>
                      <w:rFonts w:cs="David" w:hint="cs"/>
                      <w:sz w:val="24"/>
                      <w:szCs w:val="24"/>
                      <w:rtl/>
                    </w:rPr>
                    <w:t xml:space="preserve">כמו כן, במהלך השנה כלל הסטודנטים קיבלו מייל מהממונה על מניעת הטרדה מינית אשר מציג את הממונה ואת פרטי ההתקשרות עמה ומקום ישיבתה. הסטודנטים הוזמנו להדרכות השונות וכן </w:t>
                  </w:r>
                  <w:r w:rsidRPr="00BF0D0F">
                    <w:rPr>
                      <w:rFonts w:cs="David" w:hint="cs"/>
                      <w:sz w:val="26"/>
                      <w:szCs w:val="26"/>
                      <w:rtl/>
                    </w:rPr>
                    <w:t xml:space="preserve">קיבלו העתק של התקנון. </w:t>
                  </w:r>
                </w:p>
              </w:txbxContent>
            </v:textbox>
            <w10:wrap type="square"/>
          </v:shape>
        </w:pict>
      </w:r>
    </w:p>
    <w:p w:rsidR="002A20DC" w:rsidRPr="004976C2" w:rsidRDefault="002A20DC" w:rsidP="00B050AF">
      <w:pPr>
        <w:rPr>
          <w:rFonts w:cs="David" w:hint="cs"/>
          <w:rtl/>
        </w:rPr>
      </w:pPr>
    </w:p>
    <w:p w:rsidR="002A20DC" w:rsidRPr="004976C2" w:rsidRDefault="002A20DC" w:rsidP="00B050AF">
      <w:pPr>
        <w:rPr>
          <w:rFonts w:cs="David"/>
          <w:rtl/>
        </w:rPr>
      </w:pPr>
    </w:p>
    <w:p w:rsidR="002A20DC" w:rsidRPr="004976C2" w:rsidRDefault="002A20DC" w:rsidP="00B050AF">
      <w:pPr>
        <w:rPr>
          <w:rFonts w:cs="David"/>
          <w:rtl/>
        </w:rPr>
      </w:pPr>
    </w:p>
    <w:p w:rsidR="002A20DC" w:rsidRPr="004976C2" w:rsidRDefault="002A20DC" w:rsidP="00B050AF">
      <w:pPr>
        <w:rPr>
          <w:rFonts w:cs="David"/>
          <w:rtl/>
        </w:rPr>
      </w:pPr>
    </w:p>
    <w:p w:rsidR="002A20DC" w:rsidRPr="004976C2" w:rsidRDefault="002A20DC" w:rsidP="00B050AF">
      <w:pPr>
        <w:rPr>
          <w:rFonts w:cs="David"/>
          <w:rtl/>
        </w:rPr>
      </w:pPr>
    </w:p>
    <w:p w:rsidR="002A20DC" w:rsidRPr="004976C2" w:rsidRDefault="002A20DC" w:rsidP="00B050AF">
      <w:pPr>
        <w:rPr>
          <w:rFonts w:cs="David"/>
          <w:rtl/>
        </w:rPr>
      </w:pPr>
    </w:p>
    <w:p w:rsidR="002A20DC" w:rsidRPr="004976C2" w:rsidRDefault="002A20DC" w:rsidP="00B050AF">
      <w:pPr>
        <w:rPr>
          <w:rFonts w:cs="David"/>
          <w:rtl/>
        </w:rPr>
      </w:pPr>
    </w:p>
    <w:p w:rsidR="00DD0A04" w:rsidRPr="004976C2" w:rsidRDefault="00DD0A04" w:rsidP="00B050AF">
      <w:pPr>
        <w:rPr>
          <w:rFonts w:cs="David"/>
          <w:rtl/>
        </w:rPr>
      </w:pPr>
    </w:p>
    <w:p w:rsidR="00DD0A04" w:rsidRPr="004976C2" w:rsidRDefault="00DD0A04" w:rsidP="00B050AF">
      <w:pPr>
        <w:rPr>
          <w:rFonts w:cs="David"/>
          <w:rtl/>
        </w:rPr>
      </w:pPr>
    </w:p>
    <w:p w:rsidR="00DD0A04" w:rsidRPr="004976C2" w:rsidRDefault="00DD0A04" w:rsidP="00B050AF">
      <w:pPr>
        <w:rPr>
          <w:rFonts w:cs="David"/>
          <w:rtl/>
        </w:rPr>
      </w:pPr>
    </w:p>
    <w:p w:rsidR="00DD0A04" w:rsidRPr="004976C2" w:rsidRDefault="00DD0A04" w:rsidP="00B050AF">
      <w:pPr>
        <w:rPr>
          <w:rFonts w:cs="David"/>
          <w:rtl/>
        </w:rPr>
      </w:pPr>
    </w:p>
    <w:p w:rsidR="00DD0A04" w:rsidRPr="004976C2" w:rsidRDefault="00DD0A04" w:rsidP="00B050AF">
      <w:pPr>
        <w:rPr>
          <w:rFonts w:cs="David"/>
          <w:rtl/>
        </w:rPr>
      </w:pPr>
    </w:p>
    <w:p w:rsidR="002A20DC" w:rsidRPr="004976C2" w:rsidRDefault="002A20DC" w:rsidP="00B050AF">
      <w:pPr>
        <w:rPr>
          <w:rFonts w:cs="David" w:hint="cs"/>
          <w:rtl/>
        </w:rPr>
      </w:pPr>
    </w:p>
    <w:p w:rsidR="0018031E" w:rsidRPr="004976C2" w:rsidRDefault="0018031E" w:rsidP="00B050AF">
      <w:pPr>
        <w:rPr>
          <w:rFonts w:cs="David"/>
          <w:u w:val="single"/>
          <w:rtl/>
        </w:rPr>
      </w:pPr>
    </w:p>
    <w:p w:rsidR="00212A96" w:rsidRPr="004976C2" w:rsidRDefault="00212A96" w:rsidP="00B050AF">
      <w:pPr>
        <w:rPr>
          <w:rFonts w:cs="David" w:hint="cs"/>
          <w:b/>
          <w:bCs/>
          <w:u w:val="single"/>
          <w:rtl/>
        </w:rPr>
      </w:pPr>
      <w:r w:rsidRPr="004976C2">
        <w:rPr>
          <w:rFonts w:cs="David" w:hint="cs"/>
          <w:b/>
          <w:bCs/>
          <w:u w:val="single"/>
          <w:rtl/>
        </w:rPr>
        <w:lastRenderedPageBreak/>
        <w:t>תלונות על הטרדה מינית</w:t>
      </w:r>
      <w:r w:rsidR="0018031E" w:rsidRPr="004976C2">
        <w:rPr>
          <w:rFonts w:cs="David" w:hint="cs"/>
          <w:b/>
          <w:bCs/>
          <w:u w:val="single"/>
          <w:rtl/>
        </w:rPr>
        <w:t xml:space="preserve"> </w:t>
      </w:r>
      <w:r w:rsidR="0018031E" w:rsidRPr="004976C2">
        <w:rPr>
          <w:rFonts w:cs="David"/>
          <w:b/>
          <w:bCs/>
          <w:u w:val="single"/>
          <w:rtl/>
        </w:rPr>
        <w:t>–</w:t>
      </w:r>
      <w:r w:rsidR="0018031E" w:rsidRPr="004976C2">
        <w:rPr>
          <w:rFonts w:cs="David" w:hint="cs"/>
          <w:b/>
          <w:bCs/>
          <w:u w:val="single"/>
          <w:rtl/>
        </w:rPr>
        <w:t xml:space="preserve"> פירוט ואופן הטיפול:</w:t>
      </w:r>
    </w:p>
    <w:p w:rsidR="00212A96" w:rsidRPr="004976C2" w:rsidRDefault="00BC362C" w:rsidP="00B050AF">
      <w:pPr>
        <w:rPr>
          <w:rFonts w:cs="David" w:hint="cs"/>
          <w:rtl/>
        </w:rPr>
      </w:pPr>
      <w:r w:rsidRPr="004976C2">
        <w:rPr>
          <w:rFonts w:cs="David"/>
          <w:noProof/>
        </w:rPr>
        <w:pict>
          <v:shape id="_x0000_s1030" type="#_x0000_t202" style="position:absolute;left:0;text-align:left;margin-left:-16.9pt;margin-top:21.35pt;width:420.55pt;height:136.3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BC362C" w:rsidRDefault="00BC362C" w:rsidP="00BC362C">
                  <w:pPr>
                    <w:rPr>
                      <w:rFonts w:cs="David"/>
                      <w:sz w:val="26"/>
                      <w:szCs w:val="26"/>
                      <w:rtl/>
                    </w:rPr>
                  </w:pPr>
                </w:p>
                <w:p w:rsidR="00DA41CA" w:rsidRPr="00F07CAF" w:rsidRDefault="00DA41CA" w:rsidP="00BC362C">
                  <w:pPr>
                    <w:spacing w:line="360" w:lineRule="auto"/>
                    <w:rPr>
                      <w:rFonts w:cs="David"/>
                      <w:b/>
                      <w:bCs/>
                      <w:sz w:val="26"/>
                      <w:szCs w:val="26"/>
                      <w:rtl/>
                    </w:rPr>
                  </w:pPr>
                </w:p>
                <w:p w:rsidR="00BC362C" w:rsidRPr="00B6320F" w:rsidRDefault="00BC362C" w:rsidP="002F410E">
                  <w:pPr>
                    <w:spacing w:line="360" w:lineRule="auto"/>
                    <w:rPr>
                      <w:rFonts w:cs="David"/>
                      <w:rtl/>
                    </w:rPr>
                  </w:pPr>
                  <w:r w:rsidRPr="00B6320F">
                    <w:rPr>
                      <w:rFonts w:cs="David" w:hint="cs"/>
                      <w:b/>
                      <w:bCs/>
                      <w:rtl/>
                    </w:rPr>
                    <w:t>מספר הפניות לאחראי</w:t>
                  </w:r>
                  <w:r w:rsidR="00BF0D0F" w:rsidRPr="00B6320F">
                    <w:rPr>
                      <w:rFonts w:cs="David" w:hint="cs"/>
                      <w:b/>
                      <w:bCs/>
                      <w:rtl/>
                    </w:rPr>
                    <w:t>ת</w:t>
                  </w:r>
                  <w:r w:rsidRPr="00B6320F">
                    <w:rPr>
                      <w:rFonts w:cs="David" w:hint="cs"/>
                      <w:b/>
                      <w:bCs/>
                      <w:rtl/>
                    </w:rPr>
                    <w:t xml:space="preserve"> בעניין הטרדה מ</w:t>
                  </w:r>
                  <w:r w:rsidR="00C26F44" w:rsidRPr="00B6320F">
                    <w:rPr>
                      <w:rFonts w:cs="David" w:hint="cs"/>
                      <w:b/>
                      <w:bCs/>
                      <w:rtl/>
                    </w:rPr>
                    <w:t>י</w:t>
                  </w:r>
                  <w:r w:rsidRPr="00B6320F">
                    <w:rPr>
                      <w:rFonts w:cs="David" w:hint="cs"/>
                      <w:b/>
                      <w:bCs/>
                      <w:rtl/>
                    </w:rPr>
                    <w:t>נית</w:t>
                  </w:r>
                  <w:r w:rsidRPr="00B6320F">
                    <w:rPr>
                      <w:rFonts w:cs="David" w:hint="cs"/>
                      <w:rtl/>
                    </w:rPr>
                    <w:t xml:space="preserve">: </w:t>
                  </w:r>
                  <w:r w:rsidR="002F410E" w:rsidRPr="003C0815">
                    <w:rPr>
                      <w:rFonts w:cs="David" w:hint="cs"/>
                      <w:rtl/>
                    </w:rPr>
                    <w:t>2</w:t>
                  </w:r>
                </w:p>
                <w:p w:rsidR="00BC362C" w:rsidRPr="00B6320F" w:rsidRDefault="00BC362C" w:rsidP="002F410E">
                  <w:pPr>
                    <w:spacing w:line="360" w:lineRule="auto"/>
                    <w:rPr>
                      <w:rFonts w:cs="David"/>
                      <w:rtl/>
                    </w:rPr>
                  </w:pPr>
                  <w:r w:rsidRPr="00B6320F">
                    <w:rPr>
                      <w:rFonts w:cs="David" w:hint="cs"/>
                      <w:b/>
                      <w:bCs/>
                      <w:rtl/>
                    </w:rPr>
                    <w:t>מספר שמועות</w:t>
                  </w:r>
                  <w:r w:rsidR="00BB04C0" w:rsidRPr="00B6320F">
                    <w:rPr>
                      <w:rFonts w:cs="David" w:hint="cs"/>
                      <w:b/>
                      <w:bCs/>
                      <w:rtl/>
                    </w:rPr>
                    <w:t>,</w:t>
                  </w:r>
                  <w:r w:rsidRPr="00B6320F">
                    <w:rPr>
                      <w:rFonts w:cs="David" w:hint="cs"/>
                      <w:b/>
                      <w:bCs/>
                      <w:rtl/>
                    </w:rPr>
                    <w:t xml:space="preserve"> </w:t>
                  </w:r>
                  <w:r w:rsidR="00DA41CA" w:rsidRPr="00B6320F">
                    <w:rPr>
                      <w:rFonts w:cs="David" w:hint="cs"/>
                      <w:b/>
                      <w:bCs/>
                      <w:rtl/>
                    </w:rPr>
                    <w:t xml:space="preserve">פניות </w:t>
                  </w:r>
                  <w:r w:rsidRPr="00B6320F">
                    <w:rPr>
                      <w:rFonts w:cs="David" w:hint="cs"/>
                      <w:b/>
                      <w:bCs/>
                      <w:rtl/>
                    </w:rPr>
                    <w:t>ותלונות אנונימיות שהגיעו לאחראי</w:t>
                  </w:r>
                  <w:r w:rsidR="00BF0D0F" w:rsidRPr="00B6320F">
                    <w:rPr>
                      <w:rFonts w:cs="David" w:hint="cs"/>
                      <w:b/>
                      <w:bCs/>
                      <w:rtl/>
                    </w:rPr>
                    <w:t>ת</w:t>
                  </w:r>
                  <w:r w:rsidRPr="00B6320F">
                    <w:rPr>
                      <w:rFonts w:cs="David" w:hint="cs"/>
                      <w:rtl/>
                    </w:rPr>
                    <w:t>:</w:t>
                  </w:r>
                  <w:r w:rsidR="00DD0A04">
                    <w:rPr>
                      <w:rFonts w:cs="David" w:hint="cs"/>
                      <w:rtl/>
                    </w:rPr>
                    <w:t xml:space="preserve"> </w:t>
                  </w:r>
                  <w:r w:rsidR="002F410E" w:rsidRPr="003C0815">
                    <w:rPr>
                      <w:rFonts w:cs="David" w:hint="cs"/>
                      <w:rtl/>
                    </w:rPr>
                    <w:t>1</w:t>
                  </w:r>
                  <w:r w:rsidR="008C6DD4" w:rsidRPr="00B6320F">
                    <w:rPr>
                      <w:rFonts w:cs="David" w:hint="cs"/>
                      <w:rtl/>
                    </w:rPr>
                    <w:t xml:space="preserve">  </w:t>
                  </w:r>
                </w:p>
                <w:p w:rsidR="00BC362C" w:rsidRPr="00B6320F" w:rsidRDefault="00BC362C" w:rsidP="00884D14">
                  <w:pPr>
                    <w:spacing w:line="360" w:lineRule="auto"/>
                    <w:rPr>
                      <w:rFonts w:cs="David"/>
                      <w:rtl/>
                    </w:rPr>
                  </w:pPr>
                  <w:r w:rsidRPr="00B6320F">
                    <w:rPr>
                      <w:rFonts w:cs="David" w:hint="cs"/>
                      <w:b/>
                      <w:bCs/>
                      <w:rtl/>
                    </w:rPr>
                    <w:t>מספר התלונות שהוגשו לאחראי</w:t>
                  </w:r>
                  <w:r w:rsidR="00BF0D0F" w:rsidRPr="00B6320F">
                    <w:rPr>
                      <w:rFonts w:cs="David" w:hint="cs"/>
                      <w:b/>
                      <w:bCs/>
                      <w:rtl/>
                    </w:rPr>
                    <w:t>ת</w:t>
                  </w:r>
                  <w:r w:rsidRPr="00B6320F">
                    <w:rPr>
                      <w:rFonts w:cs="David" w:hint="cs"/>
                      <w:rtl/>
                    </w:rPr>
                    <w:t xml:space="preserve">: </w:t>
                  </w:r>
                  <w:r w:rsidR="00884D14" w:rsidRPr="00B6320F">
                    <w:rPr>
                      <w:rFonts w:cs="David" w:hint="cs"/>
                      <w:rtl/>
                    </w:rPr>
                    <w:t>0</w:t>
                  </w:r>
                </w:p>
                <w:p w:rsidR="00BC362C" w:rsidRPr="00B6320F" w:rsidRDefault="00BC362C" w:rsidP="00BC362C">
                  <w:pPr>
                    <w:spacing w:line="360" w:lineRule="auto"/>
                    <w:rPr>
                      <w:rFonts w:cs="David" w:hint="cs"/>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Pr="004976C2" w:rsidRDefault="00C86D06" w:rsidP="00B050AF">
      <w:pPr>
        <w:rPr>
          <w:rFonts w:cs="David"/>
          <w:rtl/>
        </w:rPr>
      </w:pPr>
    </w:p>
    <w:p w:rsidR="00C86D06" w:rsidRPr="004976C2" w:rsidRDefault="00C86D06" w:rsidP="00B050AF">
      <w:pPr>
        <w:rPr>
          <w:rFonts w:cs="David"/>
          <w:rtl/>
        </w:rPr>
      </w:pPr>
    </w:p>
    <w:p w:rsidR="00C86D06" w:rsidRPr="004976C2" w:rsidRDefault="00DA41CA" w:rsidP="00B050AF">
      <w:pPr>
        <w:rPr>
          <w:rFonts w:cs="David"/>
          <w:b/>
          <w:bCs/>
          <w:u w:val="single"/>
          <w:rtl/>
        </w:rPr>
      </w:pPr>
      <w:r w:rsidRPr="004976C2">
        <w:rPr>
          <w:rFonts w:cs="David" w:hint="cs"/>
          <w:b/>
          <w:bCs/>
          <w:u w:val="single"/>
          <w:rtl/>
        </w:rPr>
        <w:t>פירוט לגבי אופן הטיפול בתלונות:</w:t>
      </w:r>
    </w:p>
    <w:p w:rsidR="00BC362C" w:rsidRPr="004976C2" w:rsidRDefault="00BC362C" w:rsidP="00B050AF">
      <w:pPr>
        <w:rPr>
          <w:rFonts w:cs="David"/>
          <w:rtl/>
        </w:rPr>
      </w:pPr>
    </w:p>
    <w:p w:rsidR="00C86D06" w:rsidRPr="004976C2" w:rsidRDefault="00C86D06" w:rsidP="00B050AF">
      <w:pPr>
        <w:rPr>
          <w:rFonts w:cs="David"/>
          <w:rtl/>
        </w:rPr>
      </w:pPr>
    </w:p>
    <w:tbl>
      <w:tblPr>
        <w:bidiVisual/>
        <w:tblW w:w="935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851"/>
        <w:gridCol w:w="850"/>
        <w:gridCol w:w="1843"/>
        <w:gridCol w:w="1276"/>
        <w:gridCol w:w="1134"/>
        <w:gridCol w:w="1134"/>
      </w:tblGrid>
      <w:tr w:rsidR="00E25590" w:rsidRPr="004976C2" w:rsidTr="006F43BB">
        <w:tc>
          <w:tcPr>
            <w:tcW w:w="1134" w:type="dxa"/>
            <w:shd w:val="clear" w:color="auto" w:fill="auto"/>
          </w:tcPr>
          <w:p w:rsidR="00E25590" w:rsidRPr="00223A56" w:rsidRDefault="00E25590" w:rsidP="0096624F">
            <w:pPr>
              <w:rPr>
                <w:rFonts w:cs="David"/>
                <w:b/>
                <w:bCs/>
                <w:sz w:val="22"/>
                <w:szCs w:val="22"/>
                <w:rtl/>
              </w:rPr>
            </w:pPr>
            <w:r w:rsidRPr="00223A56">
              <w:rPr>
                <w:rFonts w:cs="David" w:hint="cs"/>
                <w:b/>
                <w:bCs/>
                <w:sz w:val="22"/>
                <w:szCs w:val="22"/>
                <w:rtl/>
              </w:rPr>
              <w:t xml:space="preserve">המעורבים במקרה נשוא התלונה </w:t>
            </w:r>
            <w:r w:rsidRPr="00223A56">
              <w:rPr>
                <w:rFonts w:cs="David"/>
                <w:b/>
                <w:bCs/>
                <w:sz w:val="22"/>
                <w:szCs w:val="22"/>
                <w:rtl/>
              </w:rPr>
              <w:t>–</w:t>
            </w:r>
            <w:r w:rsidRPr="00223A56">
              <w:rPr>
                <w:rFonts w:cs="David" w:hint="cs"/>
                <w:b/>
                <w:bCs/>
                <w:sz w:val="22"/>
                <w:szCs w:val="22"/>
                <w:rtl/>
              </w:rPr>
              <w:t xml:space="preserve"> שיוך (סטודנט, איש סגל וכו') </w:t>
            </w:r>
          </w:p>
          <w:p w:rsidR="00E25590" w:rsidRPr="00223A56" w:rsidRDefault="00E25590" w:rsidP="001B247C">
            <w:pPr>
              <w:rPr>
                <w:rFonts w:cs="David" w:hint="cs"/>
                <w:b/>
                <w:bCs/>
                <w:sz w:val="22"/>
                <w:szCs w:val="22"/>
                <w:rtl/>
              </w:rPr>
            </w:pPr>
            <w:r w:rsidRPr="00223A56">
              <w:rPr>
                <w:rFonts w:cs="David" w:hint="cs"/>
                <w:b/>
                <w:bCs/>
                <w:sz w:val="22"/>
                <w:szCs w:val="22"/>
                <w:rtl/>
              </w:rPr>
              <w:t xml:space="preserve">ללא </w:t>
            </w:r>
            <w:r w:rsidR="001B247C" w:rsidRPr="00223A56">
              <w:rPr>
                <w:rFonts w:cs="David" w:hint="cs"/>
                <w:b/>
                <w:bCs/>
                <w:sz w:val="22"/>
                <w:szCs w:val="22"/>
                <w:rtl/>
              </w:rPr>
              <w:t>פרטים מזהים</w:t>
            </w:r>
          </w:p>
        </w:tc>
        <w:tc>
          <w:tcPr>
            <w:tcW w:w="1134" w:type="dxa"/>
          </w:tcPr>
          <w:p w:rsidR="00E25590" w:rsidRPr="00223A56" w:rsidRDefault="00E25590" w:rsidP="0096624F">
            <w:pPr>
              <w:rPr>
                <w:rFonts w:cs="David" w:hint="cs"/>
                <w:b/>
                <w:bCs/>
                <w:sz w:val="22"/>
                <w:szCs w:val="22"/>
                <w:rtl/>
              </w:rPr>
            </w:pPr>
            <w:r w:rsidRPr="00223A56">
              <w:rPr>
                <w:rFonts w:cs="David" w:hint="cs"/>
                <w:b/>
                <w:bCs/>
                <w:sz w:val="22"/>
                <w:szCs w:val="22"/>
                <w:rtl/>
              </w:rPr>
              <w:t>מהות התלונה ופירוט המקרה</w:t>
            </w:r>
            <w:r w:rsidR="001B247C" w:rsidRPr="00223A56">
              <w:rPr>
                <w:rFonts w:cs="David" w:hint="cs"/>
                <w:b/>
                <w:bCs/>
                <w:sz w:val="22"/>
                <w:szCs w:val="22"/>
                <w:rtl/>
              </w:rPr>
              <w:t xml:space="preserve"> </w:t>
            </w:r>
            <w:r w:rsidR="001B247C" w:rsidRPr="00223A56">
              <w:rPr>
                <w:rFonts w:cs="David"/>
                <w:b/>
                <w:bCs/>
                <w:sz w:val="22"/>
                <w:szCs w:val="22"/>
                <w:rtl/>
              </w:rPr>
              <w:t>–</w:t>
            </w:r>
            <w:r w:rsidR="001B247C" w:rsidRPr="00223A56">
              <w:rPr>
                <w:rFonts w:cs="David" w:hint="cs"/>
                <w:b/>
                <w:bCs/>
                <w:sz w:val="22"/>
                <w:szCs w:val="22"/>
                <w:rtl/>
              </w:rPr>
              <w:t xml:space="preserve"> ללא פרטים מזהים</w:t>
            </w:r>
          </w:p>
        </w:tc>
        <w:tc>
          <w:tcPr>
            <w:tcW w:w="851" w:type="dxa"/>
            <w:shd w:val="clear" w:color="auto" w:fill="auto"/>
          </w:tcPr>
          <w:p w:rsidR="00E25590" w:rsidRPr="00223A56" w:rsidRDefault="00E25590" w:rsidP="0096624F">
            <w:pPr>
              <w:rPr>
                <w:rFonts w:cs="David" w:hint="cs"/>
                <w:b/>
                <w:bCs/>
                <w:sz w:val="22"/>
                <w:szCs w:val="22"/>
                <w:rtl/>
              </w:rPr>
            </w:pPr>
            <w:r w:rsidRPr="00223A56">
              <w:rPr>
                <w:rFonts w:cs="David" w:hint="cs"/>
                <w:b/>
                <w:bCs/>
                <w:sz w:val="22"/>
                <w:szCs w:val="22"/>
                <w:rtl/>
              </w:rPr>
              <w:t>מועד הגשת התלונה</w:t>
            </w:r>
          </w:p>
        </w:tc>
        <w:tc>
          <w:tcPr>
            <w:tcW w:w="850" w:type="dxa"/>
          </w:tcPr>
          <w:p w:rsidR="00E25590" w:rsidRPr="00223A56" w:rsidRDefault="00E25590" w:rsidP="0096624F">
            <w:pPr>
              <w:rPr>
                <w:rFonts w:cs="David" w:hint="cs"/>
                <w:b/>
                <w:bCs/>
                <w:sz w:val="22"/>
                <w:szCs w:val="22"/>
                <w:rtl/>
              </w:rPr>
            </w:pPr>
            <w:r w:rsidRPr="00223A56">
              <w:rPr>
                <w:rFonts w:cs="David" w:hint="cs"/>
                <w:b/>
                <w:bCs/>
                <w:sz w:val="22"/>
                <w:szCs w:val="22"/>
                <w:rtl/>
              </w:rPr>
              <w:t>מועד סיום הטיפול</w:t>
            </w:r>
          </w:p>
        </w:tc>
        <w:tc>
          <w:tcPr>
            <w:tcW w:w="1843" w:type="dxa"/>
            <w:shd w:val="clear" w:color="auto" w:fill="auto"/>
          </w:tcPr>
          <w:p w:rsidR="00E25590" w:rsidRPr="00223A56" w:rsidRDefault="00E25590" w:rsidP="001B247C">
            <w:pPr>
              <w:rPr>
                <w:rFonts w:cs="David" w:hint="cs"/>
                <w:b/>
                <w:bCs/>
                <w:sz w:val="22"/>
                <w:szCs w:val="22"/>
                <w:rtl/>
              </w:rPr>
            </w:pPr>
            <w:r w:rsidRPr="00223A56">
              <w:rPr>
                <w:rFonts w:cs="David" w:hint="cs"/>
                <w:b/>
                <w:bCs/>
                <w:sz w:val="22"/>
                <w:szCs w:val="22"/>
                <w:rtl/>
              </w:rPr>
              <w:t xml:space="preserve">אופן הטיפול לרבות פירוט צעדי הביניים שננקטו וכן אמצעים נוספים שננקטו </w:t>
            </w:r>
            <w:r w:rsidR="001B247C" w:rsidRPr="00223A56">
              <w:rPr>
                <w:rFonts w:cs="David"/>
                <w:b/>
                <w:bCs/>
                <w:sz w:val="22"/>
                <w:szCs w:val="22"/>
                <w:rtl/>
              </w:rPr>
              <w:t>–</w:t>
            </w:r>
            <w:r w:rsidRPr="00223A56">
              <w:rPr>
                <w:rFonts w:cs="David" w:hint="cs"/>
                <w:b/>
                <w:bCs/>
                <w:sz w:val="22"/>
                <w:szCs w:val="22"/>
                <w:rtl/>
              </w:rPr>
              <w:t xml:space="preserve"> כ</w:t>
            </w:r>
            <w:r w:rsidR="001B247C" w:rsidRPr="00223A56">
              <w:rPr>
                <w:rFonts w:cs="David" w:hint="cs"/>
                <w:b/>
                <w:bCs/>
                <w:sz w:val="22"/>
                <w:szCs w:val="22"/>
                <w:rtl/>
              </w:rPr>
              <w:t xml:space="preserve">גון </w:t>
            </w:r>
            <w:r w:rsidRPr="00223A56">
              <w:rPr>
                <w:rFonts w:cs="David" w:hint="cs"/>
                <w:b/>
                <w:bCs/>
                <w:sz w:val="22"/>
                <w:szCs w:val="22"/>
                <w:rtl/>
              </w:rPr>
              <w:t>הגנה על המתלונן</w:t>
            </w:r>
            <w:r w:rsidR="001B247C" w:rsidRPr="00223A56">
              <w:rPr>
                <w:rFonts w:cs="David" w:hint="cs"/>
                <w:b/>
                <w:bCs/>
                <w:sz w:val="22"/>
                <w:szCs w:val="22"/>
                <w:rtl/>
              </w:rPr>
              <w:t>, ככל שננקטו</w:t>
            </w:r>
          </w:p>
        </w:tc>
        <w:tc>
          <w:tcPr>
            <w:tcW w:w="1276" w:type="dxa"/>
            <w:shd w:val="clear" w:color="auto" w:fill="auto"/>
          </w:tcPr>
          <w:p w:rsidR="00E25590" w:rsidRPr="00223A56" w:rsidRDefault="00E25590" w:rsidP="00DA41CA">
            <w:pPr>
              <w:rPr>
                <w:rFonts w:cs="David"/>
                <w:b/>
                <w:bCs/>
                <w:sz w:val="22"/>
                <w:szCs w:val="22"/>
                <w:rtl/>
              </w:rPr>
            </w:pPr>
            <w:r w:rsidRPr="00223A56">
              <w:rPr>
                <w:rFonts w:cs="David" w:hint="cs"/>
                <w:b/>
                <w:bCs/>
                <w:sz w:val="22"/>
                <w:szCs w:val="22"/>
                <w:rtl/>
              </w:rPr>
              <w:t>המלצת האחראי</w:t>
            </w:r>
            <w:r w:rsidR="00223A56">
              <w:rPr>
                <w:rFonts w:cs="David" w:hint="cs"/>
                <w:b/>
                <w:bCs/>
                <w:sz w:val="22"/>
                <w:szCs w:val="22"/>
                <w:rtl/>
              </w:rPr>
              <w:t>ת</w:t>
            </w:r>
          </w:p>
          <w:p w:rsidR="007720E4" w:rsidRPr="00223A56" w:rsidRDefault="007720E4" w:rsidP="00DA41CA">
            <w:pPr>
              <w:rPr>
                <w:rFonts w:cs="David" w:hint="cs"/>
                <w:b/>
                <w:bCs/>
                <w:sz w:val="22"/>
                <w:szCs w:val="22"/>
                <w:rtl/>
              </w:rPr>
            </w:pPr>
          </w:p>
        </w:tc>
        <w:tc>
          <w:tcPr>
            <w:tcW w:w="1134" w:type="dxa"/>
            <w:shd w:val="clear" w:color="auto" w:fill="auto"/>
          </w:tcPr>
          <w:p w:rsidR="00E25590" w:rsidRPr="00223A56" w:rsidRDefault="00E25590" w:rsidP="007E7048">
            <w:pPr>
              <w:rPr>
                <w:rFonts w:cs="David" w:hint="cs"/>
                <w:b/>
                <w:bCs/>
                <w:sz w:val="22"/>
                <w:szCs w:val="22"/>
                <w:rtl/>
              </w:rPr>
            </w:pPr>
            <w:r w:rsidRPr="00223A56">
              <w:rPr>
                <w:rFonts w:cs="David" w:hint="cs"/>
                <w:b/>
                <w:bCs/>
                <w:sz w:val="22"/>
                <w:szCs w:val="22"/>
                <w:rtl/>
              </w:rPr>
              <w:t xml:space="preserve">החלטת </w:t>
            </w:r>
            <w:r w:rsidR="007E7048" w:rsidRPr="00223A56">
              <w:rPr>
                <w:rFonts w:cs="David" w:hint="cs"/>
                <w:b/>
                <w:bCs/>
                <w:sz w:val="22"/>
                <w:szCs w:val="22"/>
                <w:rtl/>
              </w:rPr>
              <w:t>המוסד</w:t>
            </w:r>
          </w:p>
        </w:tc>
        <w:tc>
          <w:tcPr>
            <w:tcW w:w="1134" w:type="dxa"/>
            <w:shd w:val="clear" w:color="auto" w:fill="auto"/>
          </w:tcPr>
          <w:p w:rsidR="00E25590" w:rsidRPr="00223A56" w:rsidRDefault="00E25590" w:rsidP="001B247C">
            <w:pPr>
              <w:rPr>
                <w:rFonts w:cs="David"/>
                <w:b/>
                <w:bCs/>
                <w:sz w:val="22"/>
                <w:szCs w:val="22"/>
                <w:rtl/>
              </w:rPr>
            </w:pPr>
            <w:r w:rsidRPr="00223A56">
              <w:rPr>
                <w:rFonts w:cs="David" w:hint="cs"/>
                <w:b/>
                <w:bCs/>
                <w:sz w:val="22"/>
                <w:szCs w:val="22"/>
                <w:rtl/>
              </w:rPr>
              <w:t xml:space="preserve">החלטת </w:t>
            </w:r>
            <w:r w:rsidR="001B247C" w:rsidRPr="00223A56">
              <w:rPr>
                <w:rFonts w:cs="David" w:hint="cs"/>
                <w:b/>
                <w:bCs/>
                <w:sz w:val="22"/>
                <w:szCs w:val="22"/>
                <w:rtl/>
              </w:rPr>
              <w:t>הגוף המשמעתי</w:t>
            </w:r>
            <w:r w:rsidRPr="00223A56">
              <w:rPr>
                <w:rFonts w:cs="David" w:hint="cs"/>
                <w:b/>
                <w:bCs/>
                <w:sz w:val="22"/>
                <w:szCs w:val="22"/>
                <w:rtl/>
              </w:rPr>
              <w:t>/</w:t>
            </w:r>
          </w:p>
          <w:p w:rsidR="00E25590" w:rsidRPr="00223A56" w:rsidRDefault="00E25590" w:rsidP="001B247C">
            <w:pPr>
              <w:rPr>
                <w:rFonts w:cs="David" w:hint="cs"/>
                <w:b/>
                <w:bCs/>
                <w:sz w:val="22"/>
                <w:szCs w:val="22"/>
                <w:rtl/>
              </w:rPr>
            </w:pPr>
            <w:r w:rsidRPr="00223A56">
              <w:rPr>
                <w:rFonts w:cs="David" w:hint="cs"/>
                <w:b/>
                <w:bCs/>
                <w:sz w:val="22"/>
                <w:szCs w:val="22"/>
                <w:rtl/>
              </w:rPr>
              <w:t xml:space="preserve">עונש, </w:t>
            </w:r>
            <w:r w:rsidR="001B247C" w:rsidRPr="00223A56">
              <w:rPr>
                <w:rFonts w:cs="David" w:hint="cs"/>
                <w:b/>
                <w:bCs/>
                <w:sz w:val="22"/>
                <w:szCs w:val="22"/>
                <w:rtl/>
              </w:rPr>
              <w:t>ככל שננקטו הליכי משמעת</w:t>
            </w:r>
          </w:p>
        </w:tc>
      </w:tr>
      <w:tr w:rsidR="00E25590" w:rsidRPr="004976C2" w:rsidTr="006F43BB">
        <w:tc>
          <w:tcPr>
            <w:tcW w:w="1134" w:type="dxa"/>
            <w:shd w:val="clear" w:color="auto" w:fill="auto"/>
          </w:tcPr>
          <w:p w:rsidR="00E25590" w:rsidRPr="00223A56" w:rsidRDefault="00101376" w:rsidP="0096624F">
            <w:pPr>
              <w:rPr>
                <w:rFonts w:cs="David" w:hint="cs"/>
                <w:sz w:val="22"/>
                <w:szCs w:val="22"/>
                <w:rtl/>
              </w:rPr>
            </w:pPr>
            <w:r w:rsidRPr="00223A56">
              <w:rPr>
                <w:rFonts w:cs="David" w:hint="cs"/>
                <w:sz w:val="22"/>
                <w:szCs w:val="22"/>
                <w:rtl/>
              </w:rPr>
              <w:t>סטודנטית וסטודנט</w:t>
            </w:r>
          </w:p>
        </w:tc>
        <w:tc>
          <w:tcPr>
            <w:tcW w:w="1134" w:type="dxa"/>
          </w:tcPr>
          <w:p w:rsidR="00E25590" w:rsidRPr="00223A56" w:rsidRDefault="007720E4" w:rsidP="0096624F">
            <w:pPr>
              <w:rPr>
                <w:rFonts w:cs="David" w:hint="cs"/>
                <w:sz w:val="22"/>
                <w:szCs w:val="22"/>
                <w:rtl/>
              </w:rPr>
            </w:pPr>
            <w:r w:rsidRPr="00223A56">
              <w:rPr>
                <w:rFonts w:cs="David"/>
                <w:sz w:val="22"/>
                <w:szCs w:val="22"/>
                <w:rtl/>
              </w:rPr>
              <w:t>סטודנטית הגיעה להתייעץ לגבי פגיעה בה על ידי סטודנט מחוץ למסגרת יחסי הלימודים</w:t>
            </w:r>
            <w:r w:rsidR="006F43BB">
              <w:rPr>
                <w:rFonts w:cs="David" w:hint="cs"/>
                <w:sz w:val="22"/>
                <w:szCs w:val="22"/>
                <w:rtl/>
              </w:rPr>
              <w:t>.</w:t>
            </w:r>
          </w:p>
        </w:tc>
        <w:tc>
          <w:tcPr>
            <w:tcW w:w="851" w:type="dxa"/>
            <w:shd w:val="clear" w:color="auto" w:fill="auto"/>
          </w:tcPr>
          <w:p w:rsidR="00E25590" w:rsidRPr="00223A56" w:rsidRDefault="00736F9B" w:rsidP="0096624F">
            <w:pPr>
              <w:rPr>
                <w:rFonts w:cs="David" w:hint="cs"/>
                <w:sz w:val="22"/>
                <w:szCs w:val="22"/>
                <w:rtl/>
              </w:rPr>
            </w:pPr>
            <w:r w:rsidRPr="00223A56">
              <w:rPr>
                <w:rFonts w:cs="David" w:hint="cs"/>
                <w:sz w:val="22"/>
                <w:szCs w:val="22"/>
                <w:rtl/>
              </w:rPr>
              <w:t>מאי 2018</w:t>
            </w:r>
          </w:p>
        </w:tc>
        <w:tc>
          <w:tcPr>
            <w:tcW w:w="850" w:type="dxa"/>
          </w:tcPr>
          <w:p w:rsidR="00E25590" w:rsidRPr="00223A56" w:rsidRDefault="00736F9B" w:rsidP="0096624F">
            <w:pPr>
              <w:rPr>
                <w:rFonts w:cs="David" w:hint="cs"/>
                <w:sz w:val="22"/>
                <w:szCs w:val="22"/>
                <w:rtl/>
              </w:rPr>
            </w:pPr>
            <w:r w:rsidRPr="00223A56">
              <w:rPr>
                <w:rFonts w:cs="David" w:hint="cs"/>
                <w:sz w:val="22"/>
                <w:szCs w:val="22"/>
                <w:rtl/>
              </w:rPr>
              <w:t>מאי 2018</w:t>
            </w:r>
          </w:p>
        </w:tc>
        <w:tc>
          <w:tcPr>
            <w:tcW w:w="1843" w:type="dxa"/>
            <w:shd w:val="clear" w:color="auto" w:fill="auto"/>
          </w:tcPr>
          <w:p w:rsidR="00E25590" w:rsidRPr="00223A56" w:rsidRDefault="00101376" w:rsidP="00101376">
            <w:pPr>
              <w:rPr>
                <w:rFonts w:cs="David" w:hint="cs"/>
                <w:sz w:val="22"/>
                <w:szCs w:val="22"/>
                <w:rtl/>
              </w:rPr>
            </w:pPr>
            <w:r w:rsidRPr="00223A56">
              <w:rPr>
                <w:rFonts w:cs="David" w:hint="cs"/>
                <w:sz w:val="22"/>
                <w:szCs w:val="22"/>
                <w:rtl/>
              </w:rPr>
              <w:t xml:space="preserve">התייעצות עם גורמים מקצועיים בנוגע לפנייה ומתן סיוע לסטודנטית במתן הקלות מבחינה אקדמית. </w:t>
            </w:r>
          </w:p>
        </w:tc>
        <w:tc>
          <w:tcPr>
            <w:tcW w:w="1276" w:type="dxa"/>
            <w:shd w:val="clear" w:color="auto" w:fill="auto"/>
          </w:tcPr>
          <w:p w:rsidR="00E25590" w:rsidRPr="00223A56" w:rsidRDefault="007720E4" w:rsidP="00FE0117">
            <w:pPr>
              <w:rPr>
                <w:rFonts w:cs="David" w:hint="cs"/>
                <w:sz w:val="22"/>
                <w:szCs w:val="22"/>
                <w:rtl/>
              </w:rPr>
            </w:pPr>
            <w:r w:rsidRPr="00223A56">
              <w:rPr>
                <w:rFonts w:cs="David"/>
                <w:sz w:val="22"/>
                <w:szCs w:val="22"/>
                <w:rtl/>
              </w:rPr>
              <w:t>מדובר בפניה לסיוע לגבי עניין שאינו בסמכות בירור האחראית כיוון שאירע מחוץ למסגרת יחסי הלימודים. הפנ</w:t>
            </w:r>
            <w:r w:rsidR="00FE0117">
              <w:rPr>
                <w:rFonts w:cs="David"/>
                <w:sz w:val="22"/>
                <w:szCs w:val="22"/>
                <w:rtl/>
              </w:rPr>
              <w:t>יה נסגרה לאחר מתן סיוע לסטודנטי</w:t>
            </w:r>
            <w:r w:rsidR="00FE0117">
              <w:rPr>
                <w:rFonts w:cs="David" w:hint="cs"/>
                <w:sz w:val="22"/>
                <w:szCs w:val="22"/>
                <w:rtl/>
              </w:rPr>
              <w:t>ת.</w:t>
            </w:r>
          </w:p>
        </w:tc>
        <w:tc>
          <w:tcPr>
            <w:tcW w:w="1134" w:type="dxa"/>
            <w:shd w:val="clear" w:color="auto" w:fill="auto"/>
          </w:tcPr>
          <w:p w:rsidR="00E25590" w:rsidRPr="00223A56" w:rsidRDefault="007720E4" w:rsidP="0096624F">
            <w:pPr>
              <w:rPr>
                <w:rFonts w:cs="David" w:hint="cs"/>
                <w:sz w:val="22"/>
                <w:szCs w:val="22"/>
                <w:rtl/>
              </w:rPr>
            </w:pPr>
            <w:r w:rsidRPr="00223A56">
              <w:rPr>
                <w:rFonts w:cs="David" w:hint="cs"/>
                <w:sz w:val="22"/>
                <w:szCs w:val="22"/>
                <w:rtl/>
              </w:rPr>
              <w:t>ניתן סיוע לסטודנטית</w:t>
            </w:r>
          </w:p>
        </w:tc>
        <w:tc>
          <w:tcPr>
            <w:tcW w:w="1134" w:type="dxa"/>
            <w:shd w:val="clear" w:color="auto" w:fill="auto"/>
          </w:tcPr>
          <w:p w:rsidR="00E25590" w:rsidRPr="00223A56" w:rsidRDefault="007720E4" w:rsidP="005E5423">
            <w:pPr>
              <w:rPr>
                <w:rFonts w:cs="David" w:hint="cs"/>
                <w:sz w:val="22"/>
                <w:szCs w:val="22"/>
                <w:rtl/>
              </w:rPr>
            </w:pPr>
            <w:r w:rsidRPr="00223A56">
              <w:rPr>
                <w:rFonts w:cs="David" w:hint="cs"/>
                <w:sz w:val="22"/>
                <w:szCs w:val="22"/>
                <w:rtl/>
              </w:rPr>
              <w:t>לא רל</w:t>
            </w:r>
            <w:r w:rsidR="005E5423" w:rsidRPr="00223A56">
              <w:rPr>
                <w:rFonts w:cs="David" w:hint="cs"/>
                <w:sz w:val="22"/>
                <w:szCs w:val="22"/>
                <w:rtl/>
              </w:rPr>
              <w:t>ב</w:t>
            </w:r>
            <w:r w:rsidRPr="00223A56">
              <w:rPr>
                <w:rFonts w:cs="David" w:hint="cs"/>
                <w:sz w:val="22"/>
                <w:szCs w:val="22"/>
                <w:rtl/>
              </w:rPr>
              <w:t>נטי</w:t>
            </w:r>
          </w:p>
        </w:tc>
      </w:tr>
      <w:tr w:rsidR="00E25590" w:rsidRPr="004976C2" w:rsidTr="006F43BB">
        <w:tc>
          <w:tcPr>
            <w:tcW w:w="1134" w:type="dxa"/>
            <w:shd w:val="clear" w:color="auto" w:fill="auto"/>
          </w:tcPr>
          <w:p w:rsidR="00E25590" w:rsidRPr="00223A56" w:rsidRDefault="00B41A9E" w:rsidP="0096624F">
            <w:pPr>
              <w:rPr>
                <w:rFonts w:cs="David" w:hint="cs"/>
                <w:sz w:val="22"/>
                <w:szCs w:val="22"/>
                <w:rtl/>
              </w:rPr>
            </w:pPr>
            <w:r w:rsidRPr="00223A56">
              <w:rPr>
                <w:rFonts w:cs="David" w:hint="cs"/>
                <w:sz w:val="22"/>
                <w:szCs w:val="22"/>
                <w:rtl/>
              </w:rPr>
              <w:t>אשת סגל ואשת סגל</w:t>
            </w:r>
          </w:p>
        </w:tc>
        <w:tc>
          <w:tcPr>
            <w:tcW w:w="1134" w:type="dxa"/>
          </w:tcPr>
          <w:p w:rsidR="00E25590" w:rsidRPr="00223A56" w:rsidRDefault="001F20F6" w:rsidP="0096624F">
            <w:pPr>
              <w:rPr>
                <w:rFonts w:cs="David" w:hint="cs"/>
                <w:sz w:val="22"/>
                <w:szCs w:val="22"/>
                <w:rtl/>
              </w:rPr>
            </w:pPr>
            <w:r w:rsidRPr="00223A56">
              <w:rPr>
                <w:rFonts w:cs="David"/>
                <w:sz w:val="22"/>
                <w:szCs w:val="22"/>
                <w:rtl/>
              </w:rPr>
              <w:t>פניה של אשת סגל אודות התדיינות פוגענית עם אשת סגל אחרת, סביב מאבק ציבורי מתוקשר, מחוץ למסגרת יחסי העבודה</w:t>
            </w:r>
            <w:r w:rsidR="004976C2" w:rsidRPr="00223A56">
              <w:rPr>
                <w:rFonts w:cs="David" w:hint="cs"/>
                <w:sz w:val="22"/>
                <w:szCs w:val="22"/>
                <w:rtl/>
              </w:rPr>
              <w:t>.</w:t>
            </w:r>
          </w:p>
        </w:tc>
        <w:tc>
          <w:tcPr>
            <w:tcW w:w="851" w:type="dxa"/>
            <w:shd w:val="clear" w:color="auto" w:fill="auto"/>
          </w:tcPr>
          <w:p w:rsidR="00E25590" w:rsidRPr="00223A56" w:rsidRDefault="00736F9B" w:rsidP="0096624F">
            <w:pPr>
              <w:rPr>
                <w:rFonts w:cs="David" w:hint="cs"/>
                <w:sz w:val="22"/>
                <w:szCs w:val="22"/>
                <w:rtl/>
              </w:rPr>
            </w:pPr>
            <w:r w:rsidRPr="00223A56">
              <w:rPr>
                <w:rFonts w:cs="David" w:hint="cs"/>
                <w:sz w:val="22"/>
                <w:szCs w:val="22"/>
                <w:rtl/>
              </w:rPr>
              <w:t>יולי 2018</w:t>
            </w:r>
          </w:p>
        </w:tc>
        <w:tc>
          <w:tcPr>
            <w:tcW w:w="850" w:type="dxa"/>
          </w:tcPr>
          <w:p w:rsidR="00E25590" w:rsidRPr="00223A56" w:rsidRDefault="007821FE" w:rsidP="0096624F">
            <w:pPr>
              <w:rPr>
                <w:rFonts w:cs="David" w:hint="cs"/>
                <w:sz w:val="22"/>
                <w:szCs w:val="22"/>
                <w:rtl/>
              </w:rPr>
            </w:pPr>
            <w:r w:rsidRPr="00223A56">
              <w:rPr>
                <w:rFonts w:cs="David" w:hint="cs"/>
                <w:sz w:val="22"/>
                <w:szCs w:val="22"/>
                <w:rtl/>
              </w:rPr>
              <w:t>אוקטובר 2018</w:t>
            </w:r>
          </w:p>
        </w:tc>
        <w:tc>
          <w:tcPr>
            <w:tcW w:w="1843" w:type="dxa"/>
            <w:shd w:val="clear" w:color="auto" w:fill="auto"/>
          </w:tcPr>
          <w:p w:rsidR="00E25590" w:rsidRPr="00223A56" w:rsidRDefault="001F20F6" w:rsidP="0096624F">
            <w:pPr>
              <w:rPr>
                <w:rFonts w:cs="David" w:hint="cs"/>
                <w:sz w:val="22"/>
                <w:szCs w:val="22"/>
                <w:rtl/>
              </w:rPr>
            </w:pPr>
            <w:r w:rsidRPr="00223A56">
              <w:rPr>
                <w:rFonts w:cs="David"/>
                <w:sz w:val="22"/>
                <w:szCs w:val="22"/>
                <w:rtl/>
              </w:rPr>
              <w:t>אשת הסגל הוזמנה להגיש תלונה ולמסור פרטים נוספים והחליטה שלא להעביר פרטים אלו ולא להתלונן. ביקשה לקיים דיון ציבורי בעניין</w:t>
            </w:r>
            <w:r w:rsidR="004976C2" w:rsidRPr="00223A56">
              <w:rPr>
                <w:rFonts w:cs="David" w:hint="cs"/>
                <w:sz w:val="22"/>
                <w:szCs w:val="22"/>
                <w:rtl/>
              </w:rPr>
              <w:t>.</w:t>
            </w:r>
          </w:p>
        </w:tc>
        <w:tc>
          <w:tcPr>
            <w:tcW w:w="1276" w:type="dxa"/>
            <w:shd w:val="clear" w:color="auto" w:fill="auto"/>
          </w:tcPr>
          <w:p w:rsidR="00E25590" w:rsidRPr="00223A56" w:rsidRDefault="001F20F6" w:rsidP="000E38D7">
            <w:pPr>
              <w:rPr>
                <w:rFonts w:cs="David" w:hint="cs"/>
                <w:sz w:val="22"/>
                <w:szCs w:val="22"/>
                <w:rtl/>
              </w:rPr>
            </w:pPr>
            <w:r w:rsidRPr="00223A56">
              <w:rPr>
                <w:rFonts w:cs="David"/>
                <w:sz w:val="22"/>
                <w:szCs w:val="22"/>
                <w:rtl/>
              </w:rPr>
              <w:t xml:space="preserve">לא ניתן לברר את התלונה במסגרת המידע שנמסר. נראה כי המקרה אירע מחוץ למסגרת יחסי עבודה ולכן אינו בסמכות הממונה, ולא ברור אם התלונה </w:t>
            </w:r>
            <w:r w:rsidRPr="00223A56">
              <w:rPr>
                <w:rFonts w:cs="David"/>
                <w:sz w:val="22"/>
                <w:szCs w:val="22"/>
                <w:rtl/>
              </w:rPr>
              <w:lastRenderedPageBreak/>
              <w:t>נוגעת להטרדה מינית כמשמעה בחוק. לגבי דיון ציבורי נראה כי אין מקום לקיים דיון כללי במקרה פרטני. הובהר לאשת הסגל כי המוסד מקיים הדרכות שוטפות</w:t>
            </w:r>
            <w:r w:rsidR="004976C2" w:rsidRPr="00223A56">
              <w:rPr>
                <w:rFonts w:cs="David" w:hint="cs"/>
                <w:sz w:val="22"/>
                <w:szCs w:val="22"/>
                <w:rtl/>
              </w:rPr>
              <w:t>.</w:t>
            </w:r>
          </w:p>
        </w:tc>
        <w:tc>
          <w:tcPr>
            <w:tcW w:w="1134" w:type="dxa"/>
            <w:shd w:val="clear" w:color="auto" w:fill="auto"/>
          </w:tcPr>
          <w:p w:rsidR="00E25590" w:rsidRPr="00223A56" w:rsidRDefault="001F20F6" w:rsidP="005E5423">
            <w:pPr>
              <w:rPr>
                <w:rFonts w:cs="David" w:hint="cs"/>
                <w:sz w:val="22"/>
                <w:szCs w:val="22"/>
                <w:rtl/>
              </w:rPr>
            </w:pPr>
            <w:r w:rsidRPr="00223A56">
              <w:rPr>
                <w:rFonts w:cs="David" w:hint="cs"/>
                <w:sz w:val="22"/>
                <w:szCs w:val="22"/>
                <w:rtl/>
              </w:rPr>
              <w:lastRenderedPageBreak/>
              <w:t>לא רל</w:t>
            </w:r>
            <w:r w:rsidR="005E5423" w:rsidRPr="00223A56">
              <w:rPr>
                <w:rFonts w:cs="David" w:hint="cs"/>
                <w:sz w:val="22"/>
                <w:szCs w:val="22"/>
                <w:rtl/>
              </w:rPr>
              <w:t>ב</w:t>
            </w:r>
            <w:r w:rsidRPr="00223A56">
              <w:rPr>
                <w:rFonts w:cs="David" w:hint="cs"/>
                <w:sz w:val="22"/>
                <w:szCs w:val="22"/>
                <w:rtl/>
              </w:rPr>
              <w:t>נטי</w:t>
            </w:r>
          </w:p>
        </w:tc>
        <w:tc>
          <w:tcPr>
            <w:tcW w:w="1134" w:type="dxa"/>
            <w:shd w:val="clear" w:color="auto" w:fill="auto"/>
          </w:tcPr>
          <w:p w:rsidR="00E25590" w:rsidRPr="00223A56" w:rsidRDefault="001F20F6" w:rsidP="005E5423">
            <w:pPr>
              <w:rPr>
                <w:rFonts w:cs="David" w:hint="cs"/>
                <w:sz w:val="22"/>
                <w:szCs w:val="22"/>
                <w:rtl/>
              </w:rPr>
            </w:pPr>
            <w:r w:rsidRPr="00223A56">
              <w:rPr>
                <w:rFonts w:cs="David" w:hint="cs"/>
                <w:sz w:val="22"/>
                <w:szCs w:val="22"/>
                <w:rtl/>
              </w:rPr>
              <w:t>לא רל</w:t>
            </w:r>
            <w:r w:rsidR="005E5423" w:rsidRPr="00223A56">
              <w:rPr>
                <w:rFonts w:cs="David" w:hint="cs"/>
                <w:sz w:val="22"/>
                <w:szCs w:val="22"/>
                <w:rtl/>
              </w:rPr>
              <w:t>ב</w:t>
            </w:r>
            <w:r w:rsidRPr="00223A56">
              <w:rPr>
                <w:rFonts w:cs="David" w:hint="cs"/>
                <w:sz w:val="22"/>
                <w:szCs w:val="22"/>
                <w:rtl/>
              </w:rPr>
              <w:t>נטי</w:t>
            </w:r>
          </w:p>
        </w:tc>
      </w:tr>
      <w:tr w:rsidR="00E25590" w:rsidRPr="004976C2" w:rsidTr="006F43BB">
        <w:tc>
          <w:tcPr>
            <w:tcW w:w="1134" w:type="dxa"/>
            <w:shd w:val="clear" w:color="auto" w:fill="auto"/>
          </w:tcPr>
          <w:p w:rsidR="00E25590" w:rsidRPr="00223A56" w:rsidRDefault="00685498" w:rsidP="0096624F">
            <w:pPr>
              <w:rPr>
                <w:rFonts w:cs="David" w:hint="cs"/>
                <w:sz w:val="22"/>
                <w:szCs w:val="22"/>
                <w:rtl/>
              </w:rPr>
            </w:pPr>
            <w:r>
              <w:rPr>
                <w:rFonts w:cs="David" w:hint="cs"/>
                <w:sz w:val="22"/>
                <w:szCs w:val="22"/>
                <w:rtl/>
              </w:rPr>
              <w:t>סטודנטים ואיש סגל</w:t>
            </w:r>
          </w:p>
        </w:tc>
        <w:tc>
          <w:tcPr>
            <w:tcW w:w="1134" w:type="dxa"/>
          </w:tcPr>
          <w:p w:rsidR="00E25590" w:rsidRPr="00223A56" w:rsidRDefault="002E79C5" w:rsidP="002E79C5">
            <w:pPr>
              <w:rPr>
                <w:rFonts w:cs="David" w:hint="cs"/>
                <w:sz w:val="22"/>
                <w:szCs w:val="22"/>
                <w:rtl/>
              </w:rPr>
            </w:pPr>
            <w:r>
              <w:rPr>
                <w:rFonts w:cs="David" w:hint="cs"/>
                <w:sz w:val="22"/>
                <w:szCs w:val="22"/>
                <w:rtl/>
              </w:rPr>
              <w:t>התבטאויות לא ראויות של</w:t>
            </w:r>
            <w:r w:rsidR="00816B26">
              <w:rPr>
                <w:rFonts w:cs="David" w:hint="cs"/>
                <w:sz w:val="22"/>
                <w:szCs w:val="22"/>
                <w:rtl/>
              </w:rPr>
              <w:t xml:space="preserve"> </w:t>
            </w:r>
            <w:proofErr w:type="spellStart"/>
            <w:r w:rsidR="00816B26">
              <w:rPr>
                <w:rFonts w:cs="David" w:hint="cs"/>
                <w:sz w:val="22"/>
                <w:szCs w:val="22"/>
                <w:rtl/>
              </w:rPr>
              <w:t>המרצה</w:t>
            </w:r>
            <w:proofErr w:type="spellEnd"/>
            <w:r w:rsidR="00816B26">
              <w:rPr>
                <w:rFonts w:cs="David" w:hint="cs"/>
                <w:sz w:val="22"/>
                <w:szCs w:val="22"/>
                <w:rtl/>
              </w:rPr>
              <w:t xml:space="preserve"> במהלך שיעוריו </w:t>
            </w:r>
          </w:p>
        </w:tc>
        <w:tc>
          <w:tcPr>
            <w:tcW w:w="851" w:type="dxa"/>
            <w:shd w:val="clear" w:color="auto" w:fill="auto"/>
          </w:tcPr>
          <w:p w:rsidR="00227672" w:rsidRDefault="00227672" w:rsidP="0096624F">
            <w:pPr>
              <w:rPr>
                <w:rFonts w:cs="David"/>
                <w:sz w:val="22"/>
                <w:szCs w:val="22"/>
                <w:rtl/>
              </w:rPr>
            </w:pPr>
          </w:p>
          <w:p w:rsidR="00E25590" w:rsidRDefault="00DD7895" w:rsidP="00DD7895">
            <w:pPr>
              <w:rPr>
                <w:rFonts w:cs="David" w:hint="cs"/>
                <w:sz w:val="22"/>
                <w:szCs w:val="22"/>
                <w:rtl/>
              </w:rPr>
            </w:pPr>
            <w:r>
              <w:rPr>
                <w:rFonts w:cs="David" w:hint="cs"/>
                <w:sz w:val="22"/>
                <w:szCs w:val="22"/>
                <w:rtl/>
              </w:rPr>
              <w:t>מאי- יוני2018</w:t>
            </w:r>
          </w:p>
          <w:p w:rsidR="002E79C5" w:rsidRPr="00223A56" w:rsidRDefault="002E79C5" w:rsidP="0096624F">
            <w:pPr>
              <w:rPr>
                <w:rFonts w:cs="David" w:hint="cs"/>
                <w:sz w:val="22"/>
                <w:szCs w:val="22"/>
                <w:rtl/>
              </w:rPr>
            </w:pPr>
          </w:p>
        </w:tc>
        <w:tc>
          <w:tcPr>
            <w:tcW w:w="850" w:type="dxa"/>
          </w:tcPr>
          <w:p w:rsidR="00E25590" w:rsidRPr="00223A56" w:rsidRDefault="00DD7895" w:rsidP="0096624F">
            <w:pPr>
              <w:rPr>
                <w:rFonts w:cs="David" w:hint="cs"/>
                <w:sz w:val="22"/>
                <w:szCs w:val="22"/>
                <w:rtl/>
              </w:rPr>
            </w:pPr>
            <w:r>
              <w:rPr>
                <w:rFonts w:cs="David" w:hint="cs"/>
                <w:sz w:val="22"/>
                <w:szCs w:val="22"/>
                <w:rtl/>
              </w:rPr>
              <w:t>אוקטובר 2018</w:t>
            </w:r>
          </w:p>
        </w:tc>
        <w:tc>
          <w:tcPr>
            <w:tcW w:w="1843" w:type="dxa"/>
            <w:shd w:val="clear" w:color="auto" w:fill="auto"/>
          </w:tcPr>
          <w:p w:rsidR="00E25590" w:rsidRPr="00223A56" w:rsidRDefault="00F05901" w:rsidP="0096624F">
            <w:pPr>
              <w:rPr>
                <w:rFonts w:cs="David" w:hint="cs"/>
                <w:sz w:val="22"/>
                <w:szCs w:val="22"/>
                <w:rtl/>
              </w:rPr>
            </w:pPr>
            <w:r>
              <w:rPr>
                <w:rFonts w:cs="David" w:hint="cs"/>
                <w:sz w:val="22"/>
                <w:szCs w:val="22"/>
                <w:rtl/>
              </w:rPr>
              <w:t>התייעצות עם גורמים מקצועיים</w:t>
            </w:r>
          </w:p>
        </w:tc>
        <w:tc>
          <w:tcPr>
            <w:tcW w:w="1276" w:type="dxa"/>
            <w:shd w:val="clear" w:color="auto" w:fill="auto"/>
          </w:tcPr>
          <w:p w:rsidR="00E25590" w:rsidRPr="00F05901" w:rsidRDefault="00F05901" w:rsidP="00F05901">
            <w:pPr>
              <w:rPr>
                <w:rFonts w:cs="David" w:hint="cs"/>
                <w:sz w:val="22"/>
                <w:szCs w:val="22"/>
                <w:rtl/>
              </w:rPr>
            </w:pPr>
            <w:r w:rsidRPr="00F05901">
              <w:rPr>
                <w:rFonts w:cs="David" w:hint="cs"/>
                <w:sz w:val="22"/>
                <w:szCs w:val="22"/>
                <w:rtl/>
              </w:rPr>
              <w:t xml:space="preserve">בפועל לא </w:t>
            </w:r>
            <w:proofErr w:type="spellStart"/>
            <w:r w:rsidRPr="00F05901">
              <w:rPr>
                <w:rFonts w:cs="David" w:hint="cs"/>
                <w:sz w:val="22"/>
                <w:szCs w:val="22"/>
                <w:rtl/>
              </w:rPr>
              <w:t>היתה</w:t>
            </w:r>
            <w:proofErr w:type="spellEnd"/>
            <w:r w:rsidRPr="00F05901">
              <w:rPr>
                <w:rFonts w:cs="David" w:hint="cs"/>
                <w:sz w:val="22"/>
                <w:szCs w:val="22"/>
                <w:rtl/>
              </w:rPr>
              <w:t xml:space="preserve"> תלונה על הטרדה מינית ועל פניו לא היה חשש על הטרדה מינית אלא יותר עניין הקשור לטשטוש גבולות באופן אחר – בוטה אבל לא מינ</w:t>
            </w:r>
            <w:r w:rsidR="001D54E8">
              <w:rPr>
                <w:rFonts w:cs="David" w:hint="cs"/>
                <w:sz w:val="22"/>
                <w:szCs w:val="22"/>
                <w:rtl/>
              </w:rPr>
              <w:t>י.</w:t>
            </w:r>
          </w:p>
        </w:tc>
        <w:tc>
          <w:tcPr>
            <w:tcW w:w="1134" w:type="dxa"/>
            <w:shd w:val="clear" w:color="auto" w:fill="auto"/>
          </w:tcPr>
          <w:p w:rsidR="00E25590" w:rsidRPr="00A373F6" w:rsidRDefault="00F97DC7" w:rsidP="0096624F">
            <w:pPr>
              <w:rPr>
                <w:rFonts w:cs="David" w:hint="cs"/>
                <w:sz w:val="22"/>
                <w:szCs w:val="22"/>
                <w:rtl/>
              </w:rPr>
            </w:pPr>
            <w:r>
              <w:rPr>
                <w:rFonts w:cs="David" w:hint="cs"/>
                <w:sz w:val="22"/>
                <w:szCs w:val="22"/>
                <w:rtl/>
              </w:rPr>
              <w:t xml:space="preserve">קיום שיחת בירור והתראה עם המרצה. </w:t>
            </w:r>
            <w:r w:rsidR="000A0F93">
              <w:rPr>
                <w:rFonts w:cs="David" w:hint="cs"/>
                <w:sz w:val="22"/>
                <w:szCs w:val="22"/>
                <w:rtl/>
              </w:rPr>
              <w:t xml:space="preserve"> </w:t>
            </w:r>
          </w:p>
        </w:tc>
        <w:tc>
          <w:tcPr>
            <w:tcW w:w="1134" w:type="dxa"/>
            <w:shd w:val="clear" w:color="auto" w:fill="auto"/>
          </w:tcPr>
          <w:p w:rsidR="00E25590" w:rsidRPr="00223A56" w:rsidRDefault="00A373F6" w:rsidP="0096624F">
            <w:pPr>
              <w:rPr>
                <w:rFonts w:cs="David" w:hint="cs"/>
                <w:sz w:val="22"/>
                <w:szCs w:val="22"/>
                <w:rtl/>
              </w:rPr>
            </w:pPr>
            <w:r>
              <w:rPr>
                <w:rFonts w:cs="David" w:hint="cs"/>
                <w:sz w:val="22"/>
                <w:szCs w:val="22"/>
                <w:rtl/>
              </w:rPr>
              <w:t>לא רלבנטי</w:t>
            </w:r>
          </w:p>
        </w:tc>
      </w:tr>
      <w:tr w:rsidR="00E25590" w:rsidRPr="004976C2" w:rsidTr="006F43BB">
        <w:tc>
          <w:tcPr>
            <w:tcW w:w="1134" w:type="dxa"/>
            <w:shd w:val="clear" w:color="auto" w:fill="auto"/>
          </w:tcPr>
          <w:p w:rsidR="00E25590" w:rsidRPr="00223A56" w:rsidRDefault="00E25590" w:rsidP="0096624F">
            <w:pPr>
              <w:rPr>
                <w:rFonts w:cs="David" w:hint="cs"/>
                <w:sz w:val="22"/>
                <w:szCs w:val="22"/>
                <w:rtl/>
              </w:rPr>
            </w:pPr>
          </w:p>
        </w:tc>
        <w:tc>
          <w:tcPr>
            <w:tcW w:w="1134" w:type="dxa"/>
          </w:tcPr>
          <w:p w:rsidR="00E25590" w:rsidRPr="00223A56" w:rsidRDefault="00E25590" w:rsidP="0096624F">
            <w:pPr>
              <w:rPr>
                <w:rFonts w:cs="David" w:hint="cs"/>
                <w:sz w:val="22"/>
                <w:szCs w:val="22"/>
                <w:rtl/>
              </w:rPr>
            </w:pPr>
          </w:p>
        </w:tc>
        <w:tc>
          <w:tcPr>
            <w:tcW w:w="851" w:type="dxa"/>
            <w:shd w:val="clear" w:color="auto" w:fill="auto"/>
          </w:tcPr>
          <w:p w:rsidR="00E25590" w:rsidRPr="00223A56" w:rsidRDefault="00E25590" w:rsidP="0096624F">
            <w:pPr>
              <w:rPr>
                <w:rFonts w:cs="David" w:hint="cs"/>
                <w:sz w:val="22"/>
                <w:szCs w:val="22"/>
                <w:rtl/>
              </w:rPr>
            </w:pPr>
          </w:p>
        </w:tc>
        <w:tc>
          <w:tcPr>
            <w:tcW w:w="850" w:type="dxa"/>
          </w:tcPr>
          <w:p w:rsidR="00E25590" w:rsidRPr="00223A56" w:rsidRDefault="00E25590" w:rsidP="0096624F">
            <w:pPr>
              <w:rPr>
                <w:rFonts w:cs="David" w:hint="cs"/>
                <w:sz w:val="22"/>
                <w:szCs w:val="22"/>
                <w:rtl/>
              </w:rPr>
            </w:pPr>
          </w:p>
        </w:tc>
        <w:tc>
          <w:tcPr>
            <w:tcW w:w="1843" w:type="dxa"/>
            <w:shd w:val="clear" w:color="auto" w:fill="auto"/>
          </w:tcPr>
          <w:p w:rsidR="00E25590" w:rsidRPr="00223A56" w:rsidRDefault="00E25590" w:rsidP="0096624F">
            <w:pPr>
              <w:rPr>
                <w:rFonts w:cs="David" w:hint="cs"/>
                <w:sz w:val="22"/>
                <w:szCs w:val="22"/>
                <w:rtl/>
              </w:rPr>
            </w:pPr>
          </w:p>
        </w:tc>
        <w:tc>
          <w:tcPr>
            <w:tcW w:w="1276" w:type="dxa"/>
            <w:shd w:val="clear" w:color="auto" w:fill="auto"/>
          </w:tcPr>
          <w:p w:rsidR="00E25590" w:rsidRPr="00223A56" w:rsidRDefault="00E25590" w:rsidP="00DA41CA">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r>
      <w:tr w:rsidR="00E25590" w:rsidRPr="004976C2" w:rsidTr="006F43BB">
        <w:tc>
          <w:tcPr>
            <w:tcW w:w="1134" w:type="dxa"/>
            <w:shd w:val="clear" w:color="auto" w:fill="auto"/>
          </w:tcPr>
          <w:p w:rsidR="00E25590" w:rsidRPr="00223A56" w:rsidRDefault="00E25590" w:rsidP="0096624F">
            <w:pPr>
              <w:rPr>
                <w:rFonts w:cs="David" w:hint="cs"/>
                <w:sz w:val="22"/>
                <w:szCs w:val="22"/>
                <w:rtl/>
              </w:rPr>
            </w:pPr>
          </w:p>
        </w:tc>
        <w:tc>
          <w:tcPr>
            <w:tcW w:w="1134" w:type="dxa"/>
          </w:tcPr>
          <w:p w:rsidR="00E25590" w:rsidRPr="00223A56" w:rsidRDefault="00E25590" w:rsidP="0096624F">
            <w:pPr>
              <w:rPr>
                <w:rFonts w:cs="David" w:hint="cs"/>
                <w:sz w:val="22"/>
                <w:szCs w:val="22"/>
                <w:rtl/>
              </w:rPr>
            </w:pPr>
          </w:p>
        </w:tc>
        <w:tc>
          <w:tcPr>
            <w:tcW w:w="851" w:type="dxa"/>
            <w:shd w:val="clear" w:color="auto" w:fill="auto"/>
          </w:tcPr>
          <w:p w:rsidR="00E25590" w:rsidRPr="00223A56" w:rsidRDefault="00E25590" w:rsidP="0096624F">
            <w:pPr>
              <w:rPr>
                <w:rFonts w:cs="David" w:hint="cs"/>
                <w:sz w:val="22"/>
                <w:szCs w:val="22"/>
                <w:rtl/>
              </w:rPr>
            </w:pPr>
          </w:p>
        </w:tc>
        <w:tc>
          <w:tcPr>
            <w:tcW w:w="850" w:type="dxa"/>
          </w:tcPr>
          <w:p w:rsidR="00E25590" w:rsidRPr="00223A56" w:rsidRDefault="00E25590" w:rsidP="0096624F">
            <w:pPr>
              <w:rPr>
                <w:rFonts w:cs="David" w:hint="cs"/>
                <w:sz w:val="22"/>
                <w:szCs w:val="22"/>
                <w:rtl/>
              </w:rPr>
            </w:pPr>
          </w:p>
        </w:tc>
        <w:tc>
          <w:tcPr>
            <w:tcW w:w="1843" w:type="dxa"/>
            <w:shd w:val="clear" w:color="auto" w:fill="auto"/>
          </w:tcPr>
          <w:p w:rsidR="00E25590" w:rsidRPr="00223A56" w:rsidRDefault="00E25590" w:rsidP="0096624F">
            <w:pPr>
              <w:rPr>
                <w:rFonts w:cs="David" w:hint="cs"/>
                <w:sz w:val="22"/>
                <w:szCs w:val="22"/>
                <w:rtl/>
              </w:rPr>
            </w:pPr>
          </w:p>
        </w:tc>
        <w:tc>
          <w:tcPr>
            <w:tcW w:w="1276" w:type="dxa"/>
            <w:shd w:val="clear" w:color="auto" w:fill="auto"/>
          </w:tcPr>
          <w:p w:rsidR="00E25590" w:rsidRPr="00223A56" w:rsidRDefault="00E25590" w:rsidP="00DA41CA">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r>
      <w:tr w:rsidR="00E25590" w:rsidRPr="004976C2" w:rsidTr="006F43BB">
        <w:tc>
          <w:tcPr>
            <w:tcW w:w="1134" w:type="dxa"/>
            <w:shd w:val="clear" w:color="auto" w:fill="auto"/>
          </w:tcPr>
          <w:p w:rsidR="00E25590" w:rsidRPr="00223A56" w:rsidRDefault="00E25590" w:rsidP="0096624F">
            <w:pPr>
              <w:rPr>
                <w:rFonts w:cs="David" w:hint="cs"/>
                <w:sz w:val="22"/>
                <w:szCs w:val="22"/>
                <w:rtl/>
              </w:rPr>
            </w:pPr>
          </w:p>
        </w:tc>
        <w:tc>
          <w:tcPr>
            <w:tcW w:w="1134" w:type="dxa"/>
          </w:tcPr>
          <w:p w:rsidR="00E25590" w:rsidRPr="00223A56" w:rsidRDefault="00E25590" w:rsidP="0096624F">
            <w:pPr>
              <w:rPr>
                <w:rFonts w:cs="David" w:hint="cs"/>
                <w:sz w:val="22"/>
                <w:szCs w:val="22"/>
                <w:rtl/>
              </w:rPr>
            </w:pPr>
          </w:p>
        </w:tc>
        <w:tc>
          <w:tcPr>
            <w:tcW w:w="851" w:type="dxa"/>
            <w:shd w:val="clear" w:color="auto" w:fill="auto"/>
          </w:tcPr>
          <w:p w:rsidR="00E25590" w:rsidRPr="00223A56" w:rsidRDefault="00E25590" w:rsidP="0096624F">
            <w:pPr>
              <w:rPr>
                <w:rFonts w:cs="David" w:hint="cs"/>
                <w:sz w:val="22"/>
                <w:szCs w:val="22"/>
                <w:rtl/>
              </w:rPr>
            </w:pPr>
          </w:p>
        </w:tc>
        <w:tc>
          <w:tcPr>
            <w:tcW w:w="850" w:type="dxa"/>
          </w:tcPr>
          <w:p w:rsidR="00E25590" w:rsidRPr="00223A56" w:rsidRDefault="00E25590" w:rsidP="0096624F">
            <w:pPr>
              <w:rPr>
                <w:rFonts w:cs="David" w:hint="cs"/>
                <w:sz w:val="22"/>
                <w:szCs w:val="22"/>
                <w:rtl/>
              </w:rPr>
            </w:pPr>
          </w:p>
        </w:tc>
        <w:tc>
          <w:tcPr>
            <w:tcW w:w="1843" w:type="dxa"/>
            <w:shd w:val="clear" w:color="auto" w:fill="auto"/>
          </w:tcPr>
          <w:p w:rsidR="00E25590" w:rsidRPr="00223A56" w:rsidRDefault="00E25590" w:rsidP="0096624F">
            <w:pPr>
              <w:rPr>
                <w:rFonts w:cs="David" w:hint="cs"/>
                <w:sz w:val="22"/>
                <w:szCs w:val="22"/>
                <w:rtl/>
              </w:rPr>
            </w:pPr>
          </w:p>
        </w:tc>
        <w:tc>
          <w:tcPr>
            <w:tcW w:w="1276" w:type="dxa"/>
            <w:shd w:val="clear" w:color="auto" w:fill="auto"/>
          </w:tcPr>
          <w:p w:rsidR="00E25590" w:rsidRPr="00223A56" w:rsidRDefault="00E25590" w:rsidP="00DA41CA">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r>
      <w:tr w:rsidR="00E25590" w:rsidRPr="004976C2" w:rsidTr="006F43BB">
        <w:tc>
          <w:tcPr>
            <w:tcW w:w="1134" w:type="dxa"/>
            <w:shd w:val="clear" w:color="auto" w:fill="auto"/>
          </w:tcPr>
          <w:p w:rsidR="00E25590" w:rsidRPr="00223A56" w:rsidRDefault="00E25590" w:rsidP="0096624F">
            <w:pPr>
              <w:rPr>
                <w:rFonts w:cs="David" w:hint="cs"/>
                <w:sz w:val="22"/>
                <w:szCs w:val="22"/>
                <w:rtl/>
              </w:rPr>
            </w:pPr>
          </w:p>
        </w:tc>
        <w:tc>
          <w:tcPr>
            <w:tcW w:w="1134" w:type="dxa"/>
          </w:tcPr>
          <w:p w:rsidR="00E25590" w:rsidRPr="00223A56" w:rsidRDefault="00E25590" w:rsidP="0096624F">
            <w:pPr>
              <w:rPr>
                <w:rFonts w:cs="David" w:hint="cs"/>
                <w:sz w:val="22"/>
                <w:szCs w:val="22"/>
                <w:rtl/>
              </w:rPr>
            </w:pPr>
          </w:p>
        </w:tc>
        <w:tc>
          <w:tcPr>
            <w:tcW w:w="851" w:type="dxa"/>
            <w:shd w:val="clear" w:color="auto" w:fill="auto"/>
          </w:tcPr>
          <w:p w:rsidR="00E25590" w:rsidRPr="00223A56" w:rsidRDefault="00E25590" w:rsidP="0096624F">
            <w:pPr>
              <w:rPr>
                <w:rFonts w:cs="David" w:hint="cs"/>
                <w:sz w:val="22"/>
                <w:szCs w:val="22"/>
                <w:rtl/>
              </w:rPr>
            </w:pPr>
          </w:p>
        </w:tc>
        <w:tc>
          <w:tcPr>
            <w:tcW w:w="850" w:type="dxa"/>
          </w:tcPr>
          <w:p w:rsidR="00E25590" w:rsidRPr="00223A56" w:rsidRDefault="00E25590" w:rsidP="0096624F">
            <w:pPr>
              <w:rPr>
                <w:rFonts w:cs="David" w:hint="cs"/>
                <w:sz w:val="22"/>
                <w:szCs w:val="22"/>
                <w:rtl/>
              </w:rPr>
            </w:pPr>
          </w:p>
        </w:tc>
        <w:tc>
          <w:tcPr>
            <w:tcW w:w="1843" w:type="dxa"/>
            <w:shd w:val="clear" w:color="auto" w:fill="auto"/>
          </w:tcPr>
          <w:p w:rsidR="00E25590" w:rsidRPr="00223A56" w:rsidRDefault="00E25590" w:rsidP="0096624F">
            <w:pPr>
              <w:rPr>
                <w:rFonts w:cs="David" w:hint="cs"/>
                <w:sz w:val="22"/>
                <w:szCs w:val="22"/>
                <w:rtl/>
              </w:rPr>
            </w:pPr>
          </w:p>
        </w:tc>
        <w:tc>
          <w:tcPr>
            <w:tcW w:w="1276" w:type="dxa"/>
            <w:shd w:val="clear" w:color="auto" w:fill="auto"/>
          </w:tcPr>
          <w:p w:rsidR="00E25590" w:rsidRPr="00223A56" w:rsidRDefault="00E25590" w:rsidP="00DA41CA">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c>
          <w:tcPr>
            <w:tcW w:w="1134" w:type="dxa"/>
            <w:shd w:val="clear" w:color="auto" w:fill="auto"/>
          </w:tcPr>
          <w:p w:rsidR="00E25590" w:rsidRPr="00223A56" w:rsidRDefault="00E25590" w:rsidP="0096624F">
            <w:pPr>
              <w:rPr>
                <w:rFonts w:cs="David" w:hint="cs"/>
                <w:sz w:val="22"/>
                <w:szCs w:val="22"/>
                <w:rtl/>
              </w:rPr>
            </w:pPr>
          </w:p>
        </w:tc>
      </w:tr>
    </w:tbl>
    <w:p w:rsidR="00C86D06" w:rsidRPr="004976C2" w:rsidRDefault="00C86D06" w:rsidP="00B050AF">
      <w:pPr>
        <w:rPr>
          <w:rFonts w:cs="David"/>
          <w:rtl/>
        </w:rPr>
      </w:pPr>
    </w:p>
    <w:p w:rsidR="00C86D06" w:rsidRPr="004976C2" w:rsidRDefault="00C86D06" w:rsidP="00B050AF">
      <w:pPr>
        <w:rPr>
          <w:rFonts w:cs="David"/>
          <w:rtl/>
        </w:rPr>
      </w:pPr>
    </w:p>
    <w:p w:rsidR="00C86D06" w:rsidRPr="004976C2" w:rsidRDefault="00C86D06" w:rsidP="00B050AF">
      <w:pPr>
        <w:rPr>
          <w:rFonts w:cs="David"/>
          <w:rtl/>
        </w:rPr>
      </w:pPr>
    </w:p>
    <w:p w:rsidR="00C86D06" w:rsidRPr="004976C2" w:rsidRDefault="00C86D06" w:rsidP="00B050AF">
      <w:pPr>
        <w:rPr>
          <w:rFonts w:cs="David"/>
          <w:rtl/>
        </w:rPr>
      </w:pPr>
    </w:p>
    <w:p w:rsidR="00212A96" w:rsidRPr="004976C2" w:rsidRDefault="007E7048" w:rsidP="00B050AF">
      <w:pPr>
        <w:rPr>
          <w:rFonts w:cs="David" w:hint="cs"/>
          <w:b/>
          <w:bCs/>
          <w:u w:val="single"/>
          <w:rtl/>
        </w:rPr>
      </w:pPr>
      <w:r w:rsidRPr="004976C2">
        <w:rPr>
          <w:rFonts w:cs="David" w:hint="cs"/>
          <w:b/>
          <w:bCs/>
          <w:u w:val="single"/>
          <w:rtl/>
        </w:rPr>
        <w:t>הערות ותוספות:</w:t>
      </w:r>
    </w:p>
    <w:p w:rsidR="004C04E2" w:rsidRPr="004976C2" w:rsidRDefault="004C04E2" w:rsidP="00B050AF">
      <w:pPr>
        <w:rPr>
          <w:rFonts w:cs="David" w:hint="cs"/>
          <w:rtl/>
        </w:rPr>
      </w:pPr>
    </w:p>
    <w:p w:rsidR="00747DFB" w:rsidRPr="004976C2" w:rsidRDefault="007E7048" w:rsidP="007E7048">
      <w:pPr>
        <w:rPr>
          <w:rFonts w:cs="David" w:hint="cs"/>
          <w:rtl/>
        </w:rPr>
      </w:pPr>
      <w:r w:rsidRPr="004976C2">
        <w:rPr>
          <w:rFonts w:cs="David"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7DFB" w:rsidRPr="004976C2" w:rsidRDefault="00B5340C" w:rsidP="00B050AF">
      <w:pPr>
        <w:tabs>
          <w:tab w:val="left" w:pos="3445"/>
        </w:tabs>
        <w:rPr>
          <w:rFonts w:cs="David" w:hint="cs"/>
          <w:rtl/>
        </w:rPr>
      </w:pPr>
      <w:r w:rsidRPr="004976C2">
        <w:rPr>
          <w:rFonts w:cs="David"/>
          <w:rtl/>
        </w:rPr>
        <w:tab/>
      </w:r>
    </w:p>
    <w:p w:rsidR="00E579CE" w:rsidRPr="004976C2" w:rsidRDefault="00E579CE">
      <w:pPr>
        <w:tabs>
          <w:tab w:val="left" w:pos="3445"/>
        </w:tabs>
        <w:rPr>
          <w:rFonts w:cs="David"/>
        </w:rPr>
      </w:pPr>
    </w:p>
    <w:sectPr w:rsidR="00E579CE" w:rsidRPr="004976C2" w:rsidSect="00FD55C5">
      <w:headerReference w:type="default" r:id="rId12"/>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34A" w:rsidRDefault="0060134A" w:rsidP="00F122BE">
      <w:r>
        <w:separator/>
      </w:r>
    </w:p>
  </w:endnote>
  <w:endnote w:type="continuationSeparator" w:id="0">
    <w:p w:rsidR="0060134A" w:rsidRDefault="0060134A"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34A" w:rsidRDefault="0060134A" w:rsidP="00F122BE">
      <w:r>
        <w:separator/>
      </w:r>
    </w:p>
  </w:footnote>
  <w:footnote w:type="continuationSeparator" w:id="0">
    <w:p w:rsidR="0060134A" w:rsidRDefault="0060134A"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823837">
    <w:abstractNumId w:val="0"/>
  </w:num>
  <w:num w:numId="2" w16cid:durableId="179340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04F1E"/>
    <w:rsid w:val="00071CA6"/>
    <w:rsid w:val="00074E0C"/>
    <w:rsid w:val="000A0F93"/>
    <w:rsid w:val="000C3ED3"/>
    <w:rsid w:val="000D06F9"/>
    <w:rsid w:val="000D0D94"/>
    <w:rsid w:val="000E38D7"/>
    <w:rsid w:val="00101376"/>
    <w:rsid w:val="00107A91"/>
    <w:rsid w:val="001673CC"/>
    <w:rsid w:val="0018031E"/>
    <w:rsid w:val="001B247C"/>
    <w:rsid w:val="001C09D3"/>
    <w:rsid w:val="001C4741"/>
    <w:rsid w:val="001D36AD"/>
    <w:rsid w:val="001D54E8"/>
    <w:rsid w:val="001F20F6"/>
    <w:rsid w:val="00212A96"/>
    <w:rsid w:val="002161BC"/>
    <w:rsid w:val="00223A56"/>
    <w:rsid w:val="00227672"/>
    <w:rsid w:val="00251BD2"/>
    <w:rsid w:val="00294722"/>
    <w:rsid w:val="002A20DC"/>
    <w:rsid w:val="002E79C5"/>
    <w:rsid w:val="002F410E"/>
    <w:rsid w:val="00306B77"/>
    <w:rsid w:val="00324BAD"/>
    <w:rsid w:val="003C0815"/>
    <w:rsid w:val="00407CAD"/>
    <w:rsid w:val="00422F6D"/>
    <w:rsid w:val="00455F7C"/>
    <w:rsid w:val="004644EF"/>
    <w:rsid w:val="004714B7"/>
    <w:rsid w:val="004976C2"/>
    <w:rsid w:val="00497C36"/>
    <w:rsid w:val="004B45BC"/>
    <w:rsid w:val="004C04E2"/>
    <w:rsid w:val="004C1149"/>
    <w:rsid w:val="004D132E"/>
    <w:rsid w:val="005356D2"/>
    <w:rsid w:val="00537EE3"/>
    <w:rsid w:val="0056013C"/>
    <w:rsid w:val="005C4C6D"/>
    <w:rsid w:val="005E5423"/>
    <w:rsid w:val="0060134A"/>
    <w:rsid w:val="006076EB"/>
    <w:rsid w:val="0062546A"/>
    <w:rsid w:val="006513E6"/>
    <w:rsid w:val="006549C9"/>
    <w:rsid w:val="006557B7"/>
    <w:rsid w:val="00661480"/>
    <w:rsid w:val="00685498"/>
    <w:rsid w:val="006B049D"/>
    <w:rsid w:val="006F43BB"/>
    <w:rsid w:val="0070031C"/>
    <w:rsid w:val="00736F9B"/>
    <w:rsid w:val="0074396D"/>
    <w:rsid w:val="00747DFB"/>
    <w:rsid w:val="007720E4"/>
    <w:rsid w:val="0077358E"/>
    <w:rsid w:val="007821FE"/>
    <w:rsid w:val="007A4336"/>
    <w:rsid w:val="007D27B5"/>
    <w:rsid w:val="007E7048"/>
    <w:rsid w:val="007F4C3D"/>
    <w:rsid w:val="00816B26"/>
    <w:rsid w:val="00851DE9"/>
    <w:rsid w:val="0086140A"/>
    <w:rsid w:val="008657F6"/>
    <w:rsid w:val="00871544"/>
    <w:rsid w:val="00883EA8"/>
    <w:rsid w:val="00884D14"/>
    <w:rsid w:val="008C61FE"/>
    <w:rsid w:val="008C6DD4"/>
    <w:rsid w:val="008D2DF3"/>
    <w:rsid w:val="00921116"/>
    <w:rsid w:val="009213DD"/>
    <w:rsid w:val="00945E88"/>
    <w:rsid w:val="0096624F"/>
    <w:rsid w:val="0097053A"/>
    <w:rsid w:val="009772BA"/>
    <w:rsid w:val="0097784B"/>
    <w:rsid w:val="009C7F47"/>
    <w:rsid w:val="009D75B0"/>
    <w:rsid w:val="009E54AB"/>
    <w:rsid w:val="009E75E8"/>
    <w:rsid w:val="00A32E14"/>
    <w:rsid w:val="00A373F6"/>
    <w:rsid w:val="00B050AF"/>
    <w:rsid w:val="00B41A9E"/>
    <w:rsid w:val="00B441CA"/>
    <w:rsid w:val="00B5340C"/>
    <w:rsid w:val="00B6320F"/>
    <w:rsid w:val="00B93C6F"/>
    <w:rsid w:val="00BB04C0"/>
    <w:rsid w:val="00BC138A"/>
    <w:rsid w:val="00BC362C"/>
    <w:rsid w:val="00BF0D0F"/>
    <w:rsid w:val="00BF4D96"/>
    <w:rsid w:val="00C17833"/>
    <w:rsid w:val="00C26F44"/>
    <w:rsid w:val="00C37616"/>
    <w:rsid w:val="00C5451F"/>
    <w:rsid w:val="00C86D06"/>
    <w:rsid w:val="00CC060D"/>
    <w:rsid w:val="00CE7B1A"/>
    <w:rsid w:val="00CF1394"/>
    <w:rsid w:val="00D0508C"/>
    <w:rsid w:val="00D15485"/>
    <w:rsid w:val="00D201D4"/>
    <w:rsid w:val="00D24403"/>
    <w:rsid w:val="00D62148"/>
    <w:rsid w:val="00D64A1D"/>
    <w:rsid w:val="00DA41CA"/>
    <w:rsid w:val="00DC6F73"/>
    <w:rsid w:val="00DD0A04"/>
    <w:rsid w:val="00DD7895"/>
    <w:rsid w:val="00DE2636"/>
    <w:rsid w:val="00E21A48"/>
    <w:rsid w:val="00E25590"/>
    <w:rsid w:val="00E579CE"/>
    <w:rsid w:val="00E91003"/>
    <w:rsid w:val="00EA3BB4"/>
    <w:rsid w:val="00EB4B96"/>
    <w:rsid w:val="00EC1610"/>
    <w:rsid w:val="00EE7EAD"/>
    <w:rsid w:val="00EF79C7"/>
    <w:rsid w:val="00F05901"/>
    <w:rsid w:val="00F07CAF"/>
    <w:rsid w:val="00F122BE"/>
    <w:rsid w:val="00F45C5D"/>
    <w:rsid w:val="00F717B1"/>
    <w:rsid w:val="00F97DC7"/>
    <w:rsid w:val="00FC5398"/>
    <w:rsid w:val="00FC64F0"/>
    <w:rsid w:val="00FD55C5"/>
    <w:rsid w:val="00FE01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743B443-625D-4EB2-A008-5B58CB14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Table Grid"/>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657F6"/>
    <w:pPr>
      <w:spacing w:after="200" w:line="276" w:lineRule="auto"/>
      <w:ind w:left="720"/>
      <w:contextualSpacing/>
    </w:pPr>
    <w:rPr>
      <w:rFonts w:ascii="Calibri" w:eastAsia="Calibri" w:hAnsi="Calibri" w:cs="Arial"/>
      <w:sz w:val="22"/>
      <w:szCs w:val="22"/>
      <w:lang w:eastAsia="en-US"/>
    </w:rPr>
  </w:style>
  <w:style w:type="paragraph" w:styleId="a9">
    <w:name w:val="Balloon Text"/>
    <w:basedOn w:val="a"/>
    <w:link w:val="aa"/>
    <w:rsid w:val="002F410E"/>
    <w:rPr>
      <w:rFonts w:ascii="Segoe UI" w:hAnsi="Segoe UI" w:cs="Segoe UI"/>
      <w:sz w:val="18"/>
      <w:szCs w:val="18"/>
    </w:rPr>
  </w:style>
  <w:style w:type="character" w:customStyle="1" w:styleId="aa">
    <w:name w:val="טקסט בלונים תו"/>
    <w:link w:val="a9"/>
    <w:rsid w:val="002F410E"/>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62</PlaceInList>
    <DateOfDoc xmlns="0a41c117-eb4e-49f5-860f-8caddc9ef00f">2018-09-30T21:00:00+00:00</DateOfDoc>
  </documentManagement>
</p:properties>
</file>

<file path=customXml/itemProps1.xml><?xml version="1.0" encoding="utf-8"?>
<ds:datastoreItem xmlns:ds="http://schemas.openxmlformats.org/officeDocument/2006/customXml" ds:itemID="{3EF3C11D-94BB-406A-BBF2-950C42EE3F99}">
  <ds:schemaRefs>
    <ds:schemaRef ds:uri="http://schemas.microsoft.com/sharepoint/v3/contenttype/forms"/>
  </ds:schemaRefs>
</ds:datastoreItem>
</file>

<file path=customXml/itemProps2.xml><?xml version="1.0" encoding="utf-8"?>
<ds:datastoreItem xmlns:ds="http://schemas.openxmlformats.org/officeDocument/2006/customXml" ds:itemID="{A80C241D-CDB2-4D74-A053-86D05E475B45}">
  <ds:schemaRefs>
    <ds:schemaRef ds:uri="http://schemas.openxmlformats.org/officeDocument/2006/bibliography"/>
  </ds:schemaRefs>
</ds:datastoreItem>
</file>

<file path=customXml/itemProps3.xml><?xml version="1.0" encoding="utf-8"?>
<ds:datastoreItem xmlns:ds="http://schemas.openxmlformats.org/officeDocument/2006/customXml" ds:itemID="{376F8AE4-EFDB-490A-83E6-5CF1B7B2DCA8}">
  <ds:schemaRefs>
    <ds:schemaRef ds:uri="http://schemas.microsoft.com/office/2006/metadata/longProperties"/>
  </ds:schemaRefs>
</ds:datastoreItem>
</file>

<file path=customXml/itemProps4.xml><?xml version="1.0" encoding="utf-8"?>
<ds:datastoreItem xmlns:ds="http://schemas.openxmlformats.org/officeDocument/2006/customXml" ds:itemID="{D1411DF1-EBA0-4EC5-A9AC-BFE638BF4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C37438-09DE-4CAA-9DD1-C29B2FA216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1867</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פורמט דיווח מוסדות להשכלה גבוהה בנושא פעילות למניעת הטרדה מינית</vt:lpstr>
      <vt:lpstr>פורמט דיווח מוסדות להשכלה גבוהה בנושא פעילות למניעת הטרדה מינית</vt:lpstr>
    </vt:vector>
  </TitlesOfParts>
  <Company>Knesset</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המרכז האקדמי שלם - דיווח הטרדות מיניות</dc:title>
  <dc:subject/>
  <dc:creator>Knesset</dc:creator>
  <cp:keywords/>
  <dc:description/>
  <cp:lastModifiedBy>רון טורצקי</cp:lastModifiedBy>
  <cp:revision>2</cp:revision>
  <cp:lastPrinted>2018-10-21T08:27:00Z</cp:lastPrinted>
  <dcterms:created xsi:type="dcterms:W3CDTF">2023-04-04T23:33:00Z</dcterms:created>
  <dcterms:modified xsi:type="dcterms:W3CDTF">2023-04-04T23:33:00Z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