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EB24B1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836FF">
                    <w:rPr>
                      <w:rFonts w:cs="David" w:hint="cs"/>
                      <w:sz w:val="26"/>
                      <w:szCs w:val="26"/>
                      <w:rtl/>
                    </w:rPr>
                    <w:t>המכללה האקדמית אוהלו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EB24B1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EB24B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BF4D96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proofErr w:type="spellStart"/>
                  <w:r w:rsidR="00EB24B1">
                    <w:rPr>
                      <w:rFonts w:cs="David" w:hint="cs"/>
                      <w:sz w:val="26"/>
                      <w:szCs w:val="26"/>
                      <w:rtl/>
                    </w:rPr>
                    <w:t>תשעח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EB24B1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EB24B1">
                    <w:rPr>
                      <w:rFonts w:cs="David" w:hint="cs"/>
                      <w:sz w:val="26"/>
                      <w:szCs w:val="26"/>
                      <w:rtl/>
                    </w:rPr>
                    <w:t>1250</w:t>
                  </w:r>
                </w:p>
                <w:p w:rsidR="00EB24B1" w:rsidRPr="00EB24B1" w:rsidRDefault="00B050AF" w:rsidP="00EB24B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EB24B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ד"ר ענת קדרון, ראש הפקולטה ללימודי הרוח והחברה, </w:t>
                  </w:r>
                  <w:r w:rsidR="00EB24B1" w:rsidRPr="00EB24B1">
                    <w:rPr>
                      <w:rFonts w:cs="David"/>
                      <w:sz w:val="26"/>
                      <w:szCs w:val="26"/>
                      <w:rtl/>
                    </w:rPr>
                    <w:t>ראש החוג ללימודי א"י, יו"ר ועדת משמעת וחברת ועדות נוספות במכללה. התפקיד אינו מזכה בגמול תפקיד או שיפוי מכל סוג אחר.</w:t>
                  </w:r>
                </w:p>
                <w:p w:rsidR="00EB24B1" w:rsidRDefault="00EB24B1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</w:t>
                  </w:r>
                  <w:r w:rsidR="00EB24B1">
                    <w:rPr>
                      <w:rFonts w:cs="David" w:hint="cs"/>
                      <w:sz w:val="26"/>
                      <w:szCs w:val="26"/>
                      <w:rtl/>
                    </w:rPr>
                    <w:t>30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EB24B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EB24B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אוניברסיטת תל אביב (פרופ' רחל אלהרר)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EB24B1">
                    <w:rPr>
                      <w:rFonts w:cs="David" w:hint="cs"/>
                      <w:sz w:val="26"/>
                      <w:szCs w:val="26"/>
                      <w:rtl/>
                    </w:rPr>
                    <w:t>ההשתלמות: חקיקה וסוגיות משפטיות, דרכי טיפול, רגישויות חברתית בטיפול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1630B" w:rsidRDefault="00B1630B" w:rsidP="00B1630B">
                  <w:pPr>
                    <w:shd w:val="clear" w:color="auto" w:fill="FFFFFF"/>
                    <w:spacing w:line="360" w:lineRule="auto"/>
                    <w:rPr>
                      <w:rFonts w:ascii="David" w:hAnsi="David" w:cs="David"/>
                      <w:color w:val="222222"/>
                      <w:rtl/>
                    </w:rPr>
                  </w:pPr>
                </w:p>
                <w:p w:rsidR="00B1630B" w:rsidRPr="00AE0C69" w:rsidRDefault="00B1630B" w:rsidP="00B1630B">
                  <w:pPr>
                    <w:shd w:val="clear" w:color="auto" w:fill="FFFFFF"/>
                    <w:spacing w:line="360" w:lineRule="auto"/>
                    <w:rPr>
                      <w:rFonts w:ascii="David" w:hAnsi="David" w:cs="David"/>
                      <w:color w:val="222222"/>
                      <w:rtl/>
                    </w:rPr>
                  </w:pPr>
                  <w:r w:rsidRPr="00354825">
                    <w:rPr>
                      <w:rFonts w:ascii="David" w:hAnsi="David" w:cs="David"/>
                      <w:color w:val="222222"/>
                      <w:rtl/>
                    </w:rPr>
                    <w:t>פעולות שננקטו למניעת הטרדה מינית:</w:t>
                  </w:r>
                  <w:r w:rsidRPr="00AE0C69">
                    <w:rPr>
                      <w:rFonts w:ascii="David" w:hAnsi="David" w:cs="David"/>
                      <w:color w:val="222222"/>
                      <w:rtl/>
                    </w:rPr>
                    <w:t xml:space="preserve"> </w:t>
                  </w:r>
                </w:p>
                <w:p w:rsidR="00B1630B" w:rsidRPr="00AE0C69" w:rsidRDefault="00B1630B" w:rsidP="00B1630B">
                  <w:pPr>
                    <w:pStyle w:val="a8"/>
                    <w:numPr>
                      <w:ilvl w:val="0"/>
                      <w:numId w:val="3"/>
                    </w:numPr>
                    <w:shd w:val="clear" w:color="auto" w:fill="FFFFFF"/>
                    <w:spacing w:after="0" w:line="360" w:lineRule="auto"/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</w:rPr>
                  </w:pPr>
                  <w:r w:rsidRPr="00AE0C69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>התקיים יום עיון שכלל הרצאה של עו"ד שיר-אל </w:t>
                  </w:r>
                  <w:proofErr w:type="spellStart"/>
                  <w:r w:rsidRPr="00AE0C69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>נקדימון</w:t>
                  </w:r>
                  <w:proofErr w:type="spellEnd"/>
                  <w:r w:rsidRPr="00AE0C69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 xml:space="preserve">. קהל יעד: כלל עובדי המנהל וסגל המרצים (נוכחות חובה). </w:t>
                  </w:r>
                </w:p>
                <w:p w:rsidR="00B1630B" w:rsidRPr="00AE0C69" w:rsidRDefault="00B1630B" w:rsidP="00B1630B">
                  <w:pPr>
                    <w:pStyle w:val="a8"/>
                    <w:numPr>
                      <w:ilvl w:val="0"/>
                      <w:numId w:val="3"/>
                    </w:numPr>
                    <w:shd w:val="clear" w:color="auto" w:fill="FFFFFF"/>
                    <w:spacing w:after="0" w:line="360" w:lineRule="auto"/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</w:rPr>
                  </w:pPr>
                  <w:r w:rsidRPr="00AE0C69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 xml:space="preserve">כלל מרצי המכללה (160 במספר), מקבלים את התקנון למניעת הטרדה מינית במקום העבודה. תקנון זה מצורף לזימון לעבודה שנשלח בתחילת הזנה. המרצים מחויבים </w:t>
                  </w:r>
                  <w:r w:rsidRPr="00354825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> להחזיר את טופס ההצהרה</w:t>
                  </w:r>
                  <w:r w:rsidRPr="00AE0C69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 xml:space="preserve"> חתום, באישור על קריאת התקנון.  </w:t>
                  </w:r>
                </w:p>
                <w:p w:rsidR="00B1630B" w:rsidRPr="00AE0C69" w:rsidRDefault="00B1630B" w:rsidP="00B1630B">
                  <w:pPr>
                    <w:pStyle w:val="a8"/>
                    <w:numPr>
                      <w:ilvl w:val="0"/>
                      <w:numId w:val="3"/>
                    </w:numPr>
                    <w:shd w:val="clear" w:color="auto" w:fill="FFFFFF"/>
                    <w:spacing w:after="0" w:line="360" w:lineRule="auto"/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</w:rPr>
                  </w:pPr>
                  <w:r w:rsidRPr="00AE0C69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 xml:space="preserve">עובדים חדשים: עובדי מנהל חדשים הנקלטים לעבודה מקבלים חוברת מידע הכוללת את </w:t>
                  </w:r>
                  <w:r w:rsidRPr="00354825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>התקנון למניעת הטרדה מינית במקום עבודה. העובד</w:t>
                  </w:r>
                  <w:r w:rsidRPr="00AE0C69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 xml:space="preserve">ים מחויבים </w:t>
                  </w:r>
                  <w:r w:rsidRPr="00354825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 xml:space="preserve"> </w:t>
                  </w:r>
                  <w:r w:rsidRPr="00AE0C69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 xml:space="preserve">לחתום </w:t>
                  </w:r>
                  <w:r w:rsidRPr="00354825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>על טופס הצהרה שקרא</w:t>
                  </w:r>
                  <w:r w:rsidRPr="00AE0C69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>ו</w:t>
                  </w:r>
                  <w:r w:rsidRPr="00354825">
                    <w:rPr>
                      <w:rFonts w:ascii="David" w:eastAsia="Times New Roman" w:hAnsi="David" w:cs="David"/>
                      <w:color w:val="222222"/>
                      <w:sz w:val="24"/>
                      <w:szCs w:val="24"/>
                      <w:rtl/>
                    </w:rPr>
                    <w:t xml:space="preserve"> את התקנון.</w:t>
                  </w:r>
                </w:p>
                <w:p w:rsidR="00B1630B" w:rsidRPr="00AE0C69" w:rsidRDefault="00B1630B" w:rsidP="00B1630B">
                  <w:pPr>
                    <w:shd w:val="clear" w:color="auto" w:fill="FFFFFF"/>
                    <w:spacing w:line="360" w:lineRule="auto"/>
                    <w:rPr>
                      <w:rFonts w:ascii="David" w:hAnsi="David" w:cs="David"/>
                      <w:color w:val="222222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B1630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B1630B" w:rsidRDefault="00B1630B" w:rsidP="00B1630B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לשון החוק מחולק לכל הסטודנטים כחלק מידיעון המכללה. </w:t>
                  </w:r>
                </w:p>
                <w:p w:rsidR="00B1630B" w:rsidRDefault="00B1630B" w:rsidP="00B1630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התקנון תלוי במכללה בחדרי שירותים.</w:t>
                  </w:r>
                </w:p>
                <w:p w:rsidR="00B1630B" w:rsidRDefault="00B1630B" w:rsidP="00B1630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פרטי הקשר עם הנציבה נמצאים הן בידיעון המכללה והן על גבי המודעות בחדרי השירותים.</w:t>
                  </w:r>
                </w:p>
                <w:p w:rsidR="00B1630B" w:rsidRDefault="00B1630B" w:rsidP="00B1630B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הסטודנטים נפגשים עם הנציבה לפגישת הכרות קצרה כחלק מיום ההערכות לסטודנטים של שנה א.</w:t>
                  </w:r>
                </w:p>
                <w:p w:rsidR="00B1630B" w:rsidRDefault="00B1630B" w:rsidP="00B1630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1630B" w:rsidRDefault="00B1630B" w:rsidP="00B1630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B1630B" w:rsidRDefault="00B1630B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כפי שפורט בסעיף הקודם</w:t>
                  </w:r>
                </w:p>
                <w:p w:rsidR="002A20DC" w:rsidRDefault="00C86D06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B1630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בשנת תשע"ח לא היו 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</w:t>
                  </w:r>
                </w:p>
                <w:p w:rsidR="00BC362C" w:rsidRDefault="00BC362C" w:rsidP="00B1630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</w:t>
                  </w:r>
                  <w:r w:rsidR="00B1630B">
                    <w:rPr>
                      <w:rFonts w:cs="David" w:hint="cs"/>
                      <w:sz w:val="26"/>
                      <w:szCs w:val="26"/>
                      <w:rtl/>
                    </w:rPr>
                    <w:t>: בשנת תשע"ח לא הגיעו פניות אנונימיות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</w:t>
                  </w:r>
                  <w:r w:rsidR="00B1630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לא </w:t>
                  </w:r>
                  <w:r w:rsidR="00B1630B">
                    <w:rPr>
                      <w:rFonts w:cs="David" w:hint="cs"/>
                      <w:sz w:val="26"/>
                      <w:szCs w:val="26"/>
                      <w:rtl/>
                    </w:rPr>
                    <w:t>הוגשו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_____________________________________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07F" w:rsidRDefault="00DF207F" w:rsidP="00F122BE">
      <w:r>
        <w:separator/>
      </w:r>
    </w:p>
  </w:endnote>
  <w:endnote w:type="continuationSeparator" w:id="0">
    <w:p w:rsidR="00DF207F" w:rsidRDefault="00DF207F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07F" w:rsidRDefault="00DF207F" w:rsidP="00F122BE">
      <w:r>
        <w:separator/>
      </w:r>
    </w:p>
  </w:footnote>
  <w:footnote w:type="continuationSeparator" w:id="0">
    <w:p w:rsidR="00DF207F" w:rsidRDefault="00DF207F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D419F3"/>
    <w:multiLevelType w:val="hybridMultilevel"/>
    <w:tmpl w:val="75B6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878068">
    <w:abstractNumId w:val="0"/>
  </w:num>
  <w:num w:numId="2" w16cid:durableId="102960964">
    <w:abstractNumId w:val="2"/>
  </w:num>
  <w:num w:numId="3" w16cid:durableId="169249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71CA6"/>
    <w:rsid w:val="00074E0C"/>
    <w:rsid w:val="000D0D94"/>
    <w:rsid w:val="0018031E"/>
    <w:rsid w:val="001B247C"/>
    <w:rsid w:val="001C09D3"/>
    <w:rsid w:val="001D36AD"/>
    <w:rsid w:val="00212A96"/>
    <w:rsid w:val="002161BC"/>
    <w:rsid w:val="00251BD2"/>
    <w:rsid w:val="002A20DC"/>
    <w:rsid w:val="00324BAD"/>
    <w:rsid w:val="00455F7C"/>
    <w:rsid w:val="004644EF"/>
    <w:rsid w:val="004B45BC"/>
    <w:rsid w:val="004C04E2"/>
    <w:rsid w:val="005356D2"/>
    <w:rsid w:val="0062546A"/>
    <w:rsid w:val="006513E6"/>
    <w:rsid w:val="006549C9"/>
    <w:rsid w:val="006B049D"/>
    <w:rsid w:val="0070031C"/>
    <w:rsid w:val="00711B35"/>
    <w:rsid w:val="0074396D"/>
    <w:rsid w:val="00747DFB"/>
    <w:rsid w:val="007E7048"/>
    <w:rsid w:val="0086140A"/>
    <w:rsid w:val="00871544"/>
    <w:rsid w:val="008836FF"/>
    <w:rsid w:val="008D2DF3"/>
    <w:rsid w:val="009213DD"/>
    <w:rsid w:val="00945E88"/>
    <w:rsid w:val="0096624F"/>
    <w:rsid w:val="00996E37"/>
    <w:rsid w:val="009D75B0"/>
    <w:rsid w:val="009E54AB"/>
    <w:rsid w:val="009E75E8"/>
    <w:rsid w:val="00B050AF"/>
    <w:rsid w:val="00B1630B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201D4"/>
    <w:rsid w:val="00DA41CA"/>
    <w:rsid w:val="00DF207F"/>
    <w:rsid w:val="00E25590"/>
    <w:rsid w:val="00EA3BB4"/>
    <w:rsid w:val="00EB24B1"/>
    <w:rsid w:val="00EB4B96"/>
    <w:rsid w:val="00EC1610"/>
    <w:rsid w:val="00EF79C7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6E8BCD-E456-45DE-BE6B-2D283C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630B"/>
    <w:pPr>
      <w:spacing w:after="160" w:line="259" w:lineRule="auto"/>
      <w:ind w:left="720"/>
      <w:contextualSpacing/>
    </w:pPr>
    <w:rPr>
      <w:rFonts w:ascii="Cambria" w:eastAsia="Cambria" w:hAnsi="Cambria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77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B6270252-AEC8-4442-AF05-680C256234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AFEB6-CA2B-4A50-97B1-D41909A1C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5CFCC-6BCF-418D-900A-DE3FB588A7D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8265AF7-79B4-4088-B71A-3BF13242A8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0EA8A46-BB7C-452A-8C82-191C76D3CF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אוהלו בקצרין - דיווח הטרדות מיניות</dc:title>
  <dc:subject/>
  <dc:creator>Knesset</dc:creator>
  <cp:keywords/>
  <dc:description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