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64.9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B050AF" w:rsidRPr="00B050AF" w:rsidRDefault="00566EB3" w:rsidP="00566EB3">
                  <w:pPr>
                    <w:numPr>
                      <w:ilvl w:val="0"/>
                      <w:numId w:val="2"/>
                    </w:numPr>
                    <w:rPr>
                      <w:cs/>
                    </w:rPr>
                  </w:pPr>
                  <w:r w:rsidRPr="00566EB3">
                    <w:rPr>
                      <w:rFonts w:cs="David" w:hint="cs"/>
                      <w:sz w:val="26"/>
                      <w:szCs w:val="26"/>
                      <w:rtl/>
                    </w:rPr>
                    <w:t>מה"ט, משרד העבודה והרווחה</w:t>
                  </w: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B050AF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27" type="#_x0000_t202" style="position:absolute;left:0;text-align:left;margin-left:-12.5pt;margin-top:33.8pt;width:419.45pt;height:422.5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F4D96" w:rsidRDefault="00BF4D96" w:rsidP="00B050A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C97E28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97E28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מכללת אורט </w:t>
                  </w:r>
                  <w:proofErr w:type="spellStart"/>
                  <w:r w:rsidR="00C97E28">
                    <w:rPr>
                      <w:rFonts w:cs="David" w:hint="cs"/>
                      <w:sz w:val="26"/>
                      <w:szCs w:val="26"/>
                      <w:rtl/>
                    </w:rPr>
                    <w:t>אולייסקי</w:t>
                  </w:r>
                  <w:proofErr w:type="spellEnd"/>
                  <w:r w:rsidR="00C97E28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ירושלים</w:t>
                  </w:r>
                </w:p>
                <w:p w:rsidR="00BF4D96" w:rsidRPr="002A20DC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C97E28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חודש אוקטובר </w:t>
                  </w:r>
                  <w:r w:rsidR="00C97E28">
                    <w:rPr>
                      <w:rFonts w:cs="David" w:hint="cs"/>
                      <w:sz w:val="26"/>
                      <w:szCs w:val="26"/>
                      <w:rtl/>
                    </w:rPr>
                    <w:t>2018</w:t>
                  </w:r>
                </w:p>
                <w:p w:rsidR="00B050AF" w:rsidRDefault="00B050AF" w:rsidP="004E6B6F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הדיווח מתייחס לשנת הלימודים </w:t>
                  </w:r>
                  <w:r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_____</w:t>
                  </w:r>
                  <w:r w:rsidR="004E6B6F" w:rsidRPr="004E6B6F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תשע"ח</w:t>
                  </w:r>
                  <w:r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</w:t>
                  </w:r>
                  <w:r w:rsidR="00BB04C0"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</w:t>
                  </w:r>
                  <w:r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</w:t>
                  </w:r>
                  <w:r w:rsidR="00BF4D96"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02624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026246">
                    <w:rPr>
                      <w:rFonts w:cs="David" w:hint="cs"/>
                      <w:sz w:val="26"/>
                      <w:szCs w:val="26"/>
                      <w:rtl/>
                    </w:rPr>
                    <w:t>מספר הסטודנטים שלמדו במוסד בשנת ה</w:t>
                  </w:r>
                  <w:r w:rsidR="00BF4D96" w:rsidRPr="00026246">
                    <w:rPr>
                      <w:rFonts w:cs="David" w:hint="cs"/>
                      <w:sz w:val="26"/>
                      <w:szCs w:val="26"/>
                      <w:rtl/>
                    </w:rPr>
                    <w:t>לימודים האקדמית אליה מתייחס הדיו</w:t>
                  </w:r>
                  <w:r w:rsidRPr="0002624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וח: </w:t>
                  </w:r>
                  <w:r w:rsidR="00026246">
                    <w:rPr>
                      <w:rFonts w:cs="David" w:hint="cs"/>
                      <w:sz w:val="26"/>
                      <w:szCs w:val="26"/>
                      <w:rtl/>
                    </w:rPr>
                    <w:t>1060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1230B7" w:rsidRDefault="00B050AF" w:rsidP="00C97E28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</w:t>
                  </w:r>
                </w:p>
                <w:p w:rsidR="001230B7" w:rsidRDefault="001230B7" w:rsidP="00C97E28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1</w:t>
                  </w:r>
                </w:p>
                <w:p w:rsidR="00B050AF" w:rsidRDefault="00C97E28" w:rsidP="00C97E28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קרין </w:t>
                  </w:r>
                  <w:proofErr w:type="spellStart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חפוטה</w:t>
                  </w:r>
                  <w:proofErr w:type="spellEnd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(אדרי), מנהלת מרכז התמיכה לסטודנטים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F4D96" w:rsidRDefault="00B050AF" w:rsidP="00C97E28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האחראי/ם עברו בסמוך למינוים השתלמות בהיקף של </w:t>
                  </w:r>
                  <w:r w:rsidR="00C97E28">
                    <w:rPr>
                      <w:rFonts w:cs="David" w:hint="cs"/>
                      <w:sz w:val="26"/>
                      <w:szCs w:val="26"/>
                      <w:rtl/>
                    </w:rPr>
                    <w:t>0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שעות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BF4D96" w:rsidP="00C97E28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ההשתלמות</w:t>
                  </w:r>
                </w:p>
                <w:p w:rsidR="00C97E28" w:rsidRDefault="00C97E28" w:rsidP="00C97E28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קרין </w:t>
                  </w:r>
                  <w:proofErr w:type="spellStart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חפוטה</w:t>
                  </w:r>
                  <w:proofErr w:type="spellEnd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(אדרי) יצאה לחופשת לידה</w:t>
                  </w:r>
                  <w:r w:rsidR="001230B7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מוקדמת מהצפוי במהלך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שנת הלימודים תשע"ח ועל כן לא יצאה להשתלמות. 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4C04E2" w:rsidRPr="00C86D06" w:rsidRDefault="00566EB3" w:rsidP="00C86D06">
      <w:pPr>
        <w:rPr>
          <w:rFonts w:cs="David" w:hint="cs"/>
          <w:b/>
          <w:bCs/>
          <w:sz w:val="26"/>
          <w:szCs w:val="26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0D0D94" w:rsidRPr="00C86D06">
        <w:rPr>
          <w:rFonts w:cs="David" w:hint="cs"/>
          <w:b/>
          <w:bCs/>
          <w:sz w:val="26"/>
          <w:szCs w:val="26"/>
          <w:u w:val="single"/>
          <w:rtl/>
        </w:rPr>
        <w:lastRenderedPageBreak/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7.7pt;width:410.6pt;height:494.95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Default="002A20DC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לסגל המוסד (מנהלי ואקדמי)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ותדירותן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C97E28" w:rsidRPr="000228BB" w:rsidRDefault="00956701" w:rsidP="00026246">
                  <w:pP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הוראות החוק והתקנות מוצגות בחדר המורים</w:t>
                  </w:r>
                  <w:r w:rsidR="0002624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וברחבי ה</w:t>
                  </w: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מכללה י</w:t>
                  </w:r>
                  <w:r w:rsidR="0002624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חד עם פרטי אנשי קשר לפניה בנושא. כמו כן, מופיע באתר המכללה התקנון המלא ודרכי הפעולה בעת חלילה קיומה של הטרדה מינית.</w:t>
                  </w:r>
                </w:p>
                <w:p w:rsidR="00C17833" w:rsidRDefault="00C17833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C97E28" w:rsidRDefault="00C17833" w:rsidP="00C97E28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לסטודנטים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ולתלמידים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>ותדירותן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</w:t>
                  </w:r>
                </w:p>
                <w:p w:rsidR="002A20DC" w:rsidRDefault="00DF32E3" w:rsidP="009862DE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בתחילת שנת הלימודים </w:t>
                  </w:r>
                  <w:r w:rsidR="00C97E28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הועברה סדנה </w:t>
                  </w: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באמצעות מצגת, </w:t>
                  </w:r>
                  <w:r w:rsidR="00C97E28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בה הוצגו עיקרי החוק למניעת הטרדה מינית, נתונים סטטיסטיים בדבר קיומן של הטרדות מיניות במסגרות אקדמיות, האופן בו יש לנהוג במקרה של הטרדה מינית</w:t>
                  </w: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, </w:t>
                  </w:r>
                  <w:r w:rsidR="00C97E28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תקנון ונהלי המכללה בנושא</w:t>
                  </w: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, פירוט אנשי הקשר לתמיכה במקרה של הטרדה מינית</w:t>
                  </w:r>
                  <w:r w:rsidR="0002624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.</w:t>
                  </w: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Pr="00BB04C0" w:rsidRDefault="002A20DC" w:rsidP="00C86D06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  <w:r w:rsidRPr="00BB04C0">
                    <w:rPr>
                      <w:rFonts w:cs="David" w:hint="cs"/>
                      <w:sz w:val="22"/>
                      <w:szCs w:val="22"/>
                      <w:rtl/>
                    </w:rPr>
                    <w:t>(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*יש לפרט</w:t>
                  </w:r>
                  <w:r w:rsidR="00DA41CA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, בין השאר,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 xml:space="preserve"> כיצד נערכו הפעולות- באמצעות כנסים/הדרכות/לומדה ממוחשבת </w:t>
                  </w:r>
                  <w:proofErr w:type="spellStart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וכיוצ"ב</w:t>
                  </w:r>
                  <w:proofErr w:type="spellEnd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)</w:t>
                  </w:r>
                </w:p>
                <w:p w:rsidR="002A20DC" w:rsidRPr="00BB04C0" w:rsidRDefault="002A20DC" w:rsidP="002A20D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B04C0" w:rsidRDefault="00C86D06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הפעולות שנקט המוסד על מנת להביא לידיעת כל תלמיד, סטודנט ועובד חדש את הוראות החוק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התקנות והתקנון לפי תקנה 9(א1)(2) לתקנות למניעת הטרדה מינית (חובות מעביד), התשנ"ח-1998: </w:t>
                  </w:r>
                </w:p>
                <w:p w:rsidR="002A20DC" w:rsidRPr="00C97E28" w:rsidRDefault="00026246" w:rsidP="00026246">
                  <w:pPr>
                    <w:jc w:val="both"/>
                    <w:rPr>
                      <w:rFonts w:cs="David"/>
                      <w:sz w:val="26"/>
                      <w:szCs w:val="26"/>
                      <w:u w:val="single"/>
                      <w:cs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סדנה</w:t>
                  </w:r>
                  <w:r w:rsidR="00C97E28" w:rsidRPr="00C97E28">
                    <w:rPr>
                      <w:rFonts w:cs="David" w:hint="cs"/>
                      <w:sz w:val="26"/>
                      <w:szCs w:val="26"/>
                      <w:u w:val="single"/>
                      <w:rtl/>
                      <w:cs/>
                    </w:rPr>
                    <w:t xml:space="preserve"> </w:t>
                  </w: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  <w:cs/>
                    </w:rPr>
                    <w:t>ש</w:t>
                  </w:r>
                  <w:r w:rsidR="00C97E28" w:rsidRPr="00C97E28">
                    <w:rPr>
                      <w:rFonts w:cs="David" w:hint="cs"/>
                      <w:sz w:val="26"/>
                      <w:szCs w:val="26"/>
                      <w:u w:val="single"/>
                      <w:rtl/>
                      <w:cs/>
                    </w:rPr>
                    <w:t xml:space="preserve">הועברה </w:t>
                  </w: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  <w:cs/>
                    </w:rPr>
                    <w:t xml:space="preserve">לסטודנטים </w:t>
                  </w:r>
                  <w:r w:rsidR="00C97E28" w:rsidRPr="00C97E28">
                    <w:rPr>
                      <w:rFonts w:cs="David" w:hint="cs"/>
                      <w:sz w:val="26"/>
                      <w:szCs w:val="26"/>
                      <w:u w:val="single"/>
                      <w:rtl/>
                      <w:cs/>
                    </w:rPr>
                    <w:t>באמצעות מצגת המפר</w:t>
                  </w: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  <w:cs/>
                    </w:rPr>
                    <w:t xml:space="preserve">טת את כל הנתונים אשר פורטו לעיל, פריסת תקנון מניעת הטרדות מיניות ברחבי המכללה </w:t>
                  </w:r>
                  <w:proofErr w:type="spellStart"/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  <w:cs/>
                    </w:rPr>
                    <w:t>והעלתו</w:t>
                  </w:r>
                  <w:proofErr w:type="spellEnd"/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  <w:cs/>
                    </w:rPr>
                    <w:t xml:space="preserve"> לאתר המכללה יחד עם דרכי פעולה אשר יש לנקוט בעת הטרדה מינית.</w:t>
                  </w:r>
                </w:p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18031E" w:rsidRDefault="0018031E" w:rsidP="00B050AF">
      <w:pPr>
        <w:rPr>
          <w:rFonts w:cs="David"/>
          <w:sz w:val="26"/>
          <w:szCs w:val="26"/>
          <w:u w:val="single"/>
          <w:rtl/>
        </w:rPr>
      </w:pPr>
    </w:p>
    <w:p w:rsidR="00212A96" w:rsidRPr="0018031E" w:rsidRDefault="00566EB3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212A96" w:rsidRPr="0018031E">
        <w:rPr>
          <w:rFonts w:cs="David" w:hint="cs"/>
          <w:b/>
          <w:bCs/>
          <w:sz w:val="26"/>
          <w:szCs w:val="26"/>
          <w:u w:val="single"/>
          <w:rtl/>
        </w:rPr>
        <w:lastRenderedPageBreak/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BC362C" w:rsidRDefault="00BC362C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A41CA" w:rsidRDefault="00DA41CA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C362C" w:rsidRDefault="00BC362C" w:rsidP="00DF32E3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</w:t>
                  </w:r>
                  <w:r w:rsidR="00C26F44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נית: </w:t>
                  </w:r>
                  <w:r w:rsidR="00DF32E3">
                    <w:rPr>
                      <w:rFonts w:cs="David" w:hint="cs"/>
                      <w:sz w:val="26"/>
                      <w:szCs w:val="26"/>
                      <w:rtl/>
                    </w:rPr>
                    <w:t>0</w:t>
                  </w:r>
                </w:p>
                <w:p w:rsidR="00BC362C" w:rsidRDefault="00BC362C" w:rsidP="00DF32E3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פניות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ותלונות אנונימיות שהגיעו לאחראי: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F32E3">
                    <w:rPr>
                      <w:rFonts w:cs="David" w:hint="cs"/>
                      <w:sz w:val="26"/>
                      <w:szCs w:val="26"/>
                      <w:rtl/>
                    </w:rPr>
                    <w:t>0</w:t>
                  </w:r>
                </w:p>
                <w:p w:rsidR="00BC362C" w:rsidRDefault="00BC362C" w:rsidP="00DF32E3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מספר התלונות שהוגשו לאחראי: </w:t>
                  </w:r>
                  <w:r w:rsidR="00DF32E3">
                    <w:rPr>
                      <w:rFonts w:cs="David" w:hint="cs"/>
                      <w:sz w:val="26"/>
                      <w:szCs w:val="26"/>
                      <w:rtl/>
                    </w:rPr>
                    <w:t>0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992"/>
        <w:gridCol w:w="1418"/>
        <w:gridCol w:w="1031"/>
        <w:gridCol w:w="1237"/>
        <w:gridCol w:w="1276"/>
      </w:tblGrid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</w:t>
            </w:r>
            <w:r w:rsidRPr="00EA3BB4">
              <w:rPr>
                <w:rFonts w:cs="David" w:hint="cs"/>
                <w:sz w:val="26"/>
                <w:szCs w:val="26"/>
                <w:rtl/>
              </w:rPr>
              <w:t>מעורבים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במקרה נשוא התלונה </w:t>
            </w:r>
            <w:r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שיוך (סטודנט, איש סגל וכו') 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ללא </w:t>
            </w:r>
            <w:r w:rsidR="001B247C">
              <w:rPr>
                <w:rFonts w:cs="David" w:hint="cs"/>
                <w:sz w:val="26"/>
                <w:szCs w:val="26"/>
                <w:rtl/>
              </w:rPr>
              <w:t>פרטים מזהים</w:t>
            </w: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מהות התלונה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ופירוט המקרה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ללא פרטים מזהים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אופן הטיפול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לרבות פירוט צעדי הביניים שננקטו וכן אמצעים נוספים שננקטו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כ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גון </w:t>
            </w:r>
            <w:r>
              <w:rPr>
                <w:rFonts w:cs="David" w:hint="cs"/>
                <w:sz w:val="26"/>
                <w:szCs w:val="26"/>
                <w:rtl/>
              </w:rPr>
              <w:t>הגנה על המתלונן</w:t>
            </w:r>
            <w:r w:rsidR="001B247C">
              <w:rPr>
                <w:rFonts w:cs="David" w:hint="cs"/>
                <w:sz w:val="26"/>
                <w:szCs w:val="26"/>
                <w:rtl/>
              </w:rPr>
              <w:t>, ככל שננקטו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המלצת </w:t>
            </w:r>
            <w:r>
              <w:rPr>
                <w:rFonts w:cs="David" w:hint="cs"/>
                <w:sz w:val="26"/>
                <w:szCs w:val="26"/>
                <w:rtl/>
              </w:rPr>
              <w:t>האחראי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7E7048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חלטת </w:t>
            </w:r>
            <w:r w:rsidR="007E7048">
              <w:rPr>
                <w:rFonts w:cs="David" w:hint="cs"/>
                <w:sz w:val="26"/>
                <w:szCs w:val="26"/>
                <w:rtl/>
              </w:rPr>
              <w:t>המוסד</w:t>
            </w:r>
          </w:p>
        </w:tc>
        <w:tc>
          <w:tcPr>
            <w:tcW w:w="1276" w:type="dxa"/>
            <w:shd w:val="clear" w:color="auto" w:fill="auto"/>
          </w:tcPr>
          <w:p w:rsidR="00E25590" w:rsidRDefault="00E25590" w:rsidP="001B247C">
            <w:pPr>
              <w:rPr>
                <w:rFonts w:cs="David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החלטת </w:t>
            </w:r>
            <w:r w:rsidR="001B247C">
              <w:rPr>
                <w:rFonts w:cs="David" w:hint="cs"/>
                <w:sz w:val="26"/>
                <w:szCs w:val="26"/>
                <w:rtl/>
              </w:rPr>
              <w:t>הגוף המשמעתי</w:t>
            </w:r>
            <w:r w:rsidRPr="00EA3BB4">
              <w:rPr>
                <w:rFonts w:cs="David" w:hint="cs"/>
                <w:sz w:val="26"/>
                <w:szCs w:val="26"/>
                <w:rtl/>
              </w:rPr>
              <w:t>/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עונש</w:t>
            </w:r>
            <w:r>
              <w:rPr>
                <w:rFonts w:cs="David" w:hint="cs"/>
                <w:sz w:val="26"/>
                <w:szCs w:val="26"/>
                <w:rtl/>
              </w:rPr>
              <w:t xml:space="preserve">, </w:t>
            </w:r>
            <w:r w:rsidR="001B247C">
              <w:rPr>
                <w:rFonts w:cs="David" w:hint="cs"/>
                <w:sz w:val="26"/>
                <w:szCs w:val="26"/>
                <w:rtl/>
              </w:rPr>
              <w:t>ככל שננקטו הליכי משמעת</w:t>
            </w: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747DFB" w:rsidRPr="0070031C" w:rsidRDefault="007E7048" w:rsidP="007E7048">
      <w:pPr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7DFB" w:rsidRPr="0070031C" w:rsidRDefault="00B5340C" w:rsidP="00B050AF">
      <w:pPr>
        <w:tabs>
          <w:tab w:val="left" w:pos="3445"/>
        </w:tabs>
        <w:rPr>
          <w:rFonts w:cs="David" w:hint="cs"/>
          <w:sz w:val="26"/>
          <w:szCs w:val="26"/>
          <w:rtl/>
        </w:rPr>
      </w:pPr>
      <w:r>
        <w:rPr>
          <w:rFonts w:cs="David"/>
          <w:sz w:val="26"/>
          <w:szCs w:val="26"/>
          <w:rtl/>
        </w:rPr>
        <w:tab/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39E9" w:rsidRDefault="000839E9" w:rsidP="00F122BE">
      <w:r>
        <w:separator/>
      </w:r>
    </w:p>
  </w:endnote>
  <w:endnote w:type="continuationSeparator" w:id="0">
    <w:p w:rsidR="000839E9" w:rsidRDefault="000839E9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39E9" w:rsidRDefault="000839E9" w:rsidP="00F122BE">
      <w:r>
        <w:separator/>
      </w:r>
    </w:p>
  </w:footnote>
  <w:footnote w:type="continuationSeparator" w:id="0">
    <w:p w:rsidR="000839E9" w:rsidRDefault="000839E9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Default="00B5340C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451502">
    <w:abstractNumId w:val="0"/>
  </w:num>
  <w:num w:numId="2" w16cid:durableId="2056540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26246"/>
    <w:rsid w:val="00071CA6"/>
    <w:rsid w:val="00074E0C"/>
    <w:rsid w:val="000839E9"/>
    <w:rsid w:val="000D0D94"/>
    <w:rsid w:val="001230B7"/>
    <w:rsid w:val="0018031E"/>
    <w:rsid w:val="001819EC"/>
    <w:rsid w:val="001B247C"/>
    <w:rsid w:val="001C09D3"/>
    <w:rsid w:val="001D36AD"/>
    <w:rsid w:val="00212A96"/>
    <w:rsid w:val="00251BD2"/>
    <w:rsid w:val="002A20DC"/>
    <w:rsid w:val="002E6C83"/>
    <w:rsid w:val="00324BAD"/>
    <w:rsid w:val="00455F7C"/>
    <w:rsid w:val="004644EF"/>
    <w:rsid w:val="004C04E2"/>
    <w:rsid w:val="004E6B6F"/>
    <w:rsid w:val="005356D2"/>
    <w:rsid w:val="00566EB3"/>
    <w:rsid w:val="0062546A"/>
    <w:rsid w:val="006513E6"/>
    <w:rsid w:val="006549C9"/>
    <w:rsid w:val="006B049D"/>
    <w:rsid w:val="0070031C"/>
    <w:rsid w:val="0074396D"/>
    <w:rsid w:val="00747DFB"/>
    <w:rsid w:val="007E7048"/>
    <w:rsid w:val="0086140A"/>
    <w:rsid w:val="00871544"/>
    <w:rsid w:val="008C13BD"/>
    <w:rsid w:val="008D2DF3"/>
    <w:rsid w:val="009213DD"/>
    <w:rsid w:val="00945E88"/>
    <w:rsid w:val="00956701"/>
    <w:rsid w:val="0096624F"/>
    <w:rsid w:val="009862DE"/>
    <w:rsid w:val="009D75B0"/>
    <w:rsid w:val="009E54AB"/>
    <w:rsid w:val="009E75E8"/>
    <w:rsid w:val="00AB40A0"/>
    <w:rsid w:val="00B050AF"/>
    <w:rsid w:val="00B441CA"/>
    <w:rsid w:val="00B5340C"/>
    <w:rsid w:val="00B93C6F"/>
    <w:rsid w:val="00BB04C0"/>
    <w:rsid w:val="00BC138A"/>
    <w:rsid w:val="00BC362C"/>
    <w:rsid w:val="00BC6554"/>
    <w:rsid w:val="00BF4D96"/>
    <w:rsid w:val="00C17833"/>
    <w:rsid w:val="00C26F44"/>
    <w:rsid w:val="00C37616"/>
    <w:rsid w:val="00C5451F"/>
    <w:rsid w:val="00C86D06"/>
    <w:rsid w:val="00C97E28"/>
    <w:rsid w:val="00CC060D"/>
    <w:rsid w:val="00CF1394"/>
    <w:rsid w:val="00D0508C"/>
    <w:rsid w:val="00D15485"/>
    <w:rsid w:val="00DA41CA"/>
    <w:rsid w:val="00DF32E3"/>
    <w:rsid w:val="00E25590"/>
    <w:rsid w:val="00EA3BB4"/>
    <w:rsid w:val="00EB4B96"/>
    <w:rsid w:val="00EB739D"/>
    <w:rsid w:val="00EC1610"/>
    <w:rsid w:val="00EF79C7"/>
    <w:rsid w:val="00F122BE"/>
    <w:rsid w:val="00F136A4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9F4B474-9917-4E6C-90B2-E8B8E3E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80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631DB234-6B2D-4BC9-9468-6D3D7A75A9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32EB56-1BCC-4E52-BF4E-CF28ED97B4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11A5181-DBE6-4346-B8F6-6D0E57287C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3A07C0-5466-4E64-A258-9903715CBAE8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D4A38DDD-1EEF-40F6-99A0-978D634F4DF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מכללת אורט ירושלים - דיווח הטרדות מיניות</dc:title>
  <dc:subject/>
  <dc:creator>Knesset</dc:creator>
  <cp:keywords/>
  <cp:lastModifiedBy>רון טורצקי</cp:lastModifiedBy>
  <cp:revision>2</cp:revision>
  <cp:lastPrinted>2015-11-17T08:06:00Z</cp:lastPrinted>
  <dcterms:created xsi:type="dcterms:W3CDTF">2023-04-04T23:33:00Z</dcterms:created>
  <dcterms:modified xsi:type="dcterms:W3CDTF">2023-04-04T23:33:00Z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