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cs/>
                    </w:rPr>
                  </w:pPr>
                  <w:r w:rsidRPr="007703BD">
                    <w:rPr>
                      <w:rFonts w:cs="David" w:hint="cs"/>
                      <w:sz w:val="26"/>
                      <w:szCs w:val="26"/>
                      <w:rtl/>
                    </w:rPr>
                    <w:t>המועצה להשכלה גבוהה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DB7B7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B7B76"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בצלאל </w:t>
                  </w:r>
                  <w:r w:rsidR="00DB7B76" w:rsidRPr="00DB7B76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>–</w:t>
                  </w:r>
                  <w:r w:rsidR="00DB7B76"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אקדמיה לאמנות ועיצוב, ירושלים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DB7B7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DB7B76"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2018</w:t>
                  </w:r>
                </w:p>
                <w:p w:rsidR="00B050AF" w:rsidRDefault="00B050AF" w:rsidP="003948EE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="00DB7B76"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תשע"ח</w:t>
                  </w:r>
                  <w:r w:rsidR="003948E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(יולי 2017-יוני 2018)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53787A" w:rsidRPr="0053787A" w:rsidRDefault="00B050AF" w:rsidP="0053787A">
                  <w:pPr>
                    <w:rPr>
                      <w:rFonts w:ascii="David" w:hAnsi="David" w:cs="David"/>
                      <w:b/>
                      <w:bCs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53787A" w:rsidRPr="0053787A">
                    <w:rPr>
                      <w:rFonts w:ascii="David" w:hAnsi="David" w:cs="David"/>
                      <w:sz w:val="26"/>
                      <w:szCs w:val="26"/>
                      <w:u w:val="single"/>
                      <w:rtl/>
                    </w:rPr>
                    <w:t xml:space="preserve">סטודנטים לתואר ראשון </w:t>
                  </w:r>
                  <w:r w:rsidR="0053787A" w:rsidRPr="0053787A">
                    <w:rPr>
                      <w:rFonts w:ascii="David" w:hAnsi="David" w:cs="David"/>
                      <w:b/>
                      <w:bCs/>
                      <w:sz w:val="26"/>
                      <w:szCs w:val="26"/>
                      <w:u w:val="single"/>
                      <w:rtl/>
                    </w:rPr>
                    <w:t>1835</w:t>
                  </w:r>
                </w:p>
                <w:p w:rsidR="0053787A" w:rsidRPr="0053787A" w:rsidRDefault="0053787A" w:rsidP="0053787A">
                  <w:pPr>
                    <w:rPr>
                      <w:rFonts w:ascii="David" w:hAnsi="David" w:cs="David"/>
                      <w:b/>
                      <w:bCs/>
                      <w:sz w:val="26"/>
                      <w:szCs w:val="26"/>
                      <w:u w:val="single"/>
                    </w:rPr>
                  </w:pPr>
                  <w:r w:rsidRPr="0053787A">
                    <w:rPr>
                      <w:rFonts w:ascii="David" w:hAnsi="David" w:cs="David"/>
                      <w:sz w:val="26"/>
                      <w:szCs w:val="26"/>
                      <w:u w:val="single"/>
                      <w:rtl/>
                    </w:rPr>
                    <w:t xml:space="preserve">סטודנטים לתואר שני - </w:t>
                  </w:r>
                  <w:r w:rsidRPr="0053787A">
                    <w:rPr>
                      <w:rFonts w:ascii="David" w:hAnsi="David" w:cs="David"/>
                      <w:b/>
                      <w:bCs/>
                      <w:sz w:val="26"/>
                      <w:szCs w:val="26"/>
                      <w:u w:val="single"/>
                      <w:rtl/>
                    </w:rPr>
                    <w:t>251</w:t>
                  </w:r>
                </w:p>
                <w:p w:rsidR="0053787A" w:rsidRPr="0053787A" w:rsidRDefault="0053787A" w:rsidP="0053787A">
                  <w:pPr>
                    <w:rPr>
                      <w:rFonts w:ascii="David" w:hAnsi="David" w:cs="David"/>
                      <w:b/>
                      <w:bCs/>
                      <w:sz w:val="26"/>
                      <w:szCs w:val="26"/>
                      <w:u w:val="single"/>
                    </w:rPr>
                  </w:pPr>
                  <w:r w:rsidRPr="0053787A">
                    <w:rPr>
                      <w:rFonts w:ascii="David" w:hAnsi="David" w:cs="David"/>
                      <w:sz w:val="26"/>
                      <w:szCs w:val="26"/>
                      <w:u w:val="single"/>
                      <w:rtl/>
                    </w:rPr>
                    <w:t xml:space="preserve">סה"כ - </w:t>
                  </w:r>
                  <w:r w:rsidRPr="0053787A">
                    <w:rPr>
                      <w:rFonts w:ascii="David" w:hAnsi="David" w:cs="David"/>
                      <w:b/>
                      <w:bCs/>
                      <w:sz w:val="26"/>
                      <w:szCs w:val="26"/>
                      <w:u w:val="single"/>
                      <w:rtl/>
                    </w:rPr>
                    <w:t>2086</w:t>
                  </w:r>
                </w:p>
                <w:p w:rsidR="00B050AF" w:rsidRDefault="00B050AF" w:rsidP="0053787A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DB7B76" w:rsidRDefault="00B050AF" w:rsidP="00DB7B7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</w:p>
                <w:p w:rsidR="00B050AF" w:rsidRPr="00DB7B76" w:rsidRDefault="00DB7B76" w:rsidP="00DB7B7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בבצלאל 2 אחראיות: </w:t>
                  </w:r>
                  <w:r w:rsidRPr="00DB7B76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br/>
                  </w:r>
                  <w:r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1. ד"ר ליאת פרידמן, ראש התוכנית ללימודי תואר שני במדיניות ותאוריה של האמנויות</w:t>
                  </w:r>
                </w:p>
                <w:p w:rsidR="00DB7B76" w:rsidRDefault="00DB7B76" w:rsidP="00DB7B7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2. מורן שרר, </w:t>
                  </w:r>
                  <w:r w:rsidRPr="00DB7B76">
                    <w:rPr>
                      <w:rFonts w:ascii="David" w:hAnsi="David" w:cs="David"/>
                      <w:sz w:val="26"/>
                      <w:szCs w:val="26"/>
                      <w:u w:val="single"/>
                      <w:rtl/>
                    </w:rPr>
                    <w:t>מנהלת תוכן של אתר בצלאל</w:t>
                  </w:r>
                  <w:r w:rsidRPr="00DB7B76">
                    <w:rPr>
                      <w:rFonts w:ascii="David" w:hAnsi="David" w:cs="David" w:hint="cs"/>
                      <w:sz w:val="26"/>
                      <w:szCs w:val="26"/>
                      <w:u w:val="single"/>
                      <w:rtl/>
                    </w:rPr>
                    <w:t xml:space="preserve">, </w:t>
                  </w:r>
                  <w:r w:rsidRPr="00DB7B76">
                    <w:rPr>
                      <w:rFonts w:ascii="David" w:hAnsi="David" w:cs="David"/>
                      <w:sz w:val="26"/>
                      <w:szCs w:val="26"/>
                      <w:u w:val="single"/>
                      <w:rtl/>
                    </w:rPr>
                    <w:t>טכנו פדגוג –קורסים מתוקשבים</w:t>
                  </w:r>
                  <w:r w:rsidRPr="00DB7B76">
                    <w:rPr>
                      <w:rFonts w:ascii="David" w:hAnsi="David" w:cs="David"/>
                      <w:sz w:val="26"/>
                      <w:szCs w:val="26"/>
                      <w:u w:val="single"/>
                      <w:rtl/>
                    </w:rPr>
                    <w:br/>
                    <w:t xml:space="preserve">מנהלת מערכת - </w:t>
                  </w:r>
                  <w:r w:rsidRPr="00DB7B76">
                    <w:rPr>
                      <w:rFonts w:ascii="David" w:hAnsi="David" w:cs="David"/>
                      <w:sz w:val="26"/>
                      <w:szCs w:val="26"/>
                      <w:u w:val="single"/>
                    </w:rPr>
                    <w:t>POST</w:t>
                  </w:r>
                  <w:r w:rsidRPr="00DB7B76">
                    <w:rPr>
                      <w:rFonts w:ascii="David" w:hAnsi="David" w:cs="David"/>
                      <w:sz w:val="26"/>
                      <w:szCs w:val="26"/>
                      <w:rtl/>
                    </w:rPr>
                    <w:br/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Pr="00DB7B76" w:rsidRDefault="00B050AF" w:rsidP="00DB7B76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בהיקף של </w:t>
                  </w:r>
                  <w:r w:rsidR="00DB7B76"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18</w:t>
                  </w:r>
                  <w:r w:rsidR="00DB7B7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שעות, </w:t>
                  </w:r>
                  <w:r w:rsidR="00DB7B76"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אישורים </w:t>
                  </w:r>
                  <w:r w:rsid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ופרטי ההשתלמויות </w:t>
                  </w:r>
                  <w:r w:rsidR="00DB7B76"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צורפו לדוחות הקודמים.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ההשתלמות____________________________________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7703BD" w:rsidRDefault="00C17833" w:rsidP="00C86D0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לסגל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Pr="00DB7B76" w:rsidRDefault="00DB7B76" w:rsidP="00DB7B76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קיימת בבצלאל לומדה, בתשע"ח לא הועברו הדרכות. </w:t>
                  </w:r>
                  <w:r w:rsidRPr="00DB7B76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br/>
                  </w:r>
                  <w:r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כל עובד (מרצים ועובדים מנהליים) עם קבלתו לעבודה חותם על מסמך ש</w:t>
                  </w:r>
                  <w:r w:rsidR="0053787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בו הוא מצהיר ש</w:t>
                  </w:r>
                  <w:r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מכיר את החוק ואת הנוהל הפנימי.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B7B76" w:rsidRDefault="00C17833" w:rsidP="00C86D0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7703BD" w:rsidRDefault="007703BD" w:rsidP="0053787A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</w:p>
                <w:p w:rsidR="002A20DC" w:rsidRPr="00DB7B76" w:rsidRDefault="00DB7B76" w:rsidP="007703BD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קיימת בבצלאל לומדה, בתשע"ח לא הועברו הדרכות</w:t>
                  </w:r>
                  <w:r w:rsidR="007703BD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לסטודנטים</w:t>
                  </w:r>
                  <w:r w:rsidR="0053787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  <w:r w:rsidR="0053787A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br/>
                  </w:r>
                  <w:r w:rsidR="0053787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לסטודנטים שנכנסים ל</w:t>
                  </w:r>
                  <w:r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שנה א' נערכו מפגשי היכרות עם הממונות</w:t>
                  </w:r>
                  <w:r w:rsidR="0053787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במסגרת ימי היערכות</w:t>
                  </w:r>
                  <w:r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. 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וכיוצ"ב)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53787A" w:rsidRPr="0053787A" w:rsidRDefault="0053787A" w:rsidP="00BB04C0">
                  <w:pPr>
                    <w:jc w:val="both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 w:rsidRPr="0053787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עמוד ייעודי באתר בצלאל בו קישורים רלוונטיים לנוהל, לחוק ולתקנון.</w:t>
                  </w:r>
                </w:p>
                <w:p w:rsidR="00DB7B76" w:rsidRDefault="00DB7B76" w:rsidP="007703BD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בפתיחת סמסטר א' ובפתיחת סמסטר ב' נשלח מייל לסטודנטים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="007703BD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ול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מרצים </w:t>
                  </w:r>
                  <w:r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בנושא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מניעת הטרדות מיניות , החוק והנוהל</w:t>
                  </w:r>
                  <w:r w:rsidR="007703BD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עם קישורים רלוונטיים ופרטי הממונות</w:t>
                  </w:r>
                  <w:r w:rsidRPr="00DB7B76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720260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הפניות לאחראי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720260">
                    <w:rPr>
                      <w:rFonts w:cs="David" w:hint="cs"/>
                      <w:sz w:val="26"/>
                      <w:szCs w:val="26"/>
                      <w:rtl/>
                    </w:rPr>
                    <w:t>5</w:t>
                  </w:r>
                </w:p>
                <w:p w:rsidR="00BC362C" w:rsidRDefault="00BC362C" w:rsidP="00720260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720260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</w:p>
                <w:p w:rsidR="00BC362C" w:rsidRDefault="00BC362C" w:rsidP="00720260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72026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1 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C05E1" w:rsidP="00BB36F7">
            <w:pPr>
              <w:rPr>
                <w:rFonts w:cs="David" w:hint="cs"/>
                <w:sz w:val="26"/>
                <w:szCs w:val="26"/>
                <w:rtl/>
              </w:rPr>
            </w:pPr>
            <w:r w:rsidRPr="00EC05E1">
              <w:rPr>
                <w:rFonts w:cs="David" w:hint="cs"/>
                <w:sz w:val="26"/>
                <w:szCs w:val="26"/>
                <w:highlight w:val="yellow"/>
                <w:rtl/>
              </w:rPr>
              <w:t>שמועה: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BB36F7">
              <w:rPr>
                <w:rFonts w:cs="David" w:hint="cs"/>
                <w:sz w:val="26"/>
                <w:szCs w:val="26"/>
                <w:rtl/>
              </w:rPr>
              <w:t>מרצים במחלקה לארכיטקטורה</w:t>
            </w:r>
          </w:p>
        </w:tc>
        <w:tc>
          <w:tcPr>
            <w:tcW w:w="1134" w:type="dxa"/>
          </w:tcPr>
          <w:p w:rsidR="00E25590" w:rsidRPr="00EA3BB4" w:rsidRDefault="00BB36F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התבטאויות משפילות של מרצים כלפי סטודנטיות</w:t>
            </w:r>
          </w:p>
        </w:tc>
        <w:tc>
          <w:tcPr>
            <w:tcW w:w="992" w:type="dxa"/>
            <w:shd w:val="clear" w:color="auto" w:fill="auto"/>
          </w:tcPr>
          <w:p w:rsidR="00BB36F7" w:rsidRPr="00EA3BB4" w:rsidRDefault="00067F2E" w:rsidP="00BB36F7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נובמבר 2018</w:t>
            </w:r>
          </w:p>
        </w:tc>
        <w:tc>
          <w:tcPr>
            <w:tcW w:w="992" w:type="dxa"/>
          </w:tcPr>
          <w:p w:rsidR="00E25590" w:rsidRPr="00EA3BB4" w:rsidRDefault="00067F2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נובמבר 2018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067F2E" w:rsidP="007703B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מטופל </w:t>
            </w:r>
            <w:r w:rsidR="007703BD">
              <w:rPr>
                <w:rFonts w:cs="David" w:hint="cs"/>
                <w:sz w:val="26"/>
                <w:szCs w:val="26"/>
                <w:rtl/>
              </w:rPr>
              <w:t xml:space="preserve">ויטופל </w:t>
            </w:r>
            <w:r>
              <w:rPr>
                <w:rFonts w:cs="David" w:hint="cs"/>
                <w:sz w:val="26"/>
                <w:szCs w:val="26"/>
                <w:rtl/>
              </w:rPr>
              <w:t>באמצעות הסברה לסטודנטים ולמרצים</w:t>
            </w:r>
            <w:r w:rsidR="00775BCA">
              <w:rPr>
                <w:rFonts w:cs="David" w:hint="cs"/>
                <w:sz w:val="26"/>
                <w:szCs w:val="26"/>
                <w:rtl/>
              </w:rPr>
              <w:t xml:space="preserve">. </w:t>
            </w:r>
            <w:r w:rsidR="007703BD">
              <w:rPr>
                <w:rFonts w:cs="David" w:hint="cs"/>
                <w:sz w:val="26"/>
                <w:szCs w:val="26"/>
                <w:rtl/>
              </w:rPr>
              <w:t xml:space="preserve">המדווח </w:t>
            </w:r>
            <w:r w:rsidR="00775BCA">
              <w:rPr>
                <w:rFonts w:cs="David" w:hint="cs"/>
                <w:sz w:val="26"/>
                <w:szCs w:val="26"/>
                <w:rtl/>
              </w:rPr>
              <w:t>קרה לפני 4 שנים, המרצים הספציפיים ברובם כבר לא מלמדים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775BCA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להגביר את ההסברה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C3282C" w:rsidP="00C3282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highlight w:val="yellow"/>
                <w:rtl/>
              </w:rPr>
              <w:t>פניה</w:t>
            </w:r>
            <w:r w:rsidR="00EC05E1" w:rsidRPr="00EC05E1">
              <w:rPr>
                <w:rFonts w:cs="David" w:hint="cs"/>
                <w:sz w:val="26"/>
                <w:szCs w:val="26"/>
                <w:highlight w:val="yellow"/>
                <w:rtl/>
              </w:rPr>
              <w:t>:</w:t>
            </w:r>
            <w:r w:rsidR="00EC05E1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BB36F7">
              <w:rPr>
                <w:rFonts w:cs="David" w:hint="cs"/>
                <w:sz w:val="26"/>
                <w:szCs w:val="26"/>
                <w:rtl/>
              </w:rPr>
              <w:t>מרצה</w:t>
            </w:r>
            <w:r w:rsidR="00EC05E1">
              <w:rPr>
                <w:rFonts w:cs="David" w:hint="cs"/>
                <w:sz w:val="26"/>
                <w:szCs w:val="26"/>
                <w:rtl/>
              </w:rPr>
              <w:t xml:space="preserve"> במחלקה לצילום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ביקש ייעוץ</w:t>
            </w:r>
          </w:p>
        </w:tc>
        <w:tc>
          <w:tcPr>
            <w:tcW w:w="1134" w:type="dxa"/>
          </w:tcPr>
          <w:p w:rsidR="00E25590" w:rsidRPr="00EA3BB4" w:rsidRDefault="00BB36F7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כיצד להעביר חומרים רגישים בשיעור</w:t>
            </w:r>
            <w:r w:rsidR="00067F2E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7703BD">
              <w:rPr>
                <w:rFonts w:cs="David" w:hint="cs"/>
                <w:sz w:val="26"/>
                <w:szCs w:val="26"/>
                <w:rtl/>
              </w:rPr>
              <w:t>"</w:t>
            </w:r>
            <w:r w:rsidR="00067F2E">
              <w:rPr>
                <w:rFonts w:cs="David" w:hint="cs"/>
                <w:sz w:val="26"/>
                <w:szCs w:val="26"/>
                <w:rtl/>
              </w:rPr>
              <w:t>צילום פורנוגרפי</w:t>
            </w:r>
            <w:r w:rsidR="007703BD">
              <w:rPr>
                <w:rFonts w:cs="David" w:hint="cs"/>
                <w:sz w:val="26"/>
                <w:szCs w:val="26"/>
                <w:rtl/>
              </w:rPr>
              <w:t>"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067F2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נובמבר 2018</w:t>
            </w:r>
          </w:p>
        </w:tc>
        <w:tc>
          <w:tcPr>
            <w:tcW w:w="992" w:type="dxa"/>
          </w:tcPr>
          <w:p w:rsidR="00E25590" w:rsidRPr="00EA3BB4" w:rsidRDefault="00067F2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נובמבר 2018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7703BD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שיחה עם המרצה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067F2E" w:rsidP="00067F2E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הנחיה גורפת למרצים הפונים בשאלה זו היא שיש להעביר את </w:t>
            </w:r>
            <w:r>
              <w:rPr>
                <w:rFonts w:cs="David" w:hint="cs"/>
                <w:sz w:val="26"/>
                <w:szCs w:val="26"/>
                <w:rtl/>
              </w:rPr>
              <w:lastRenderedPageBreak/>
              <w:t>הדברים בצורה מקצועית וכן במידת האפשר לתת לסטודנטים לצפות  בבית ולנהל לאחר מכן את הדיון בכיתה.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C05E1" w:rsidP="00EC05E1">
            <w:pPr>
              <w:rPr>
                <w:rFonts w:cs="David" w:hint="cs"/>
                <w:sz w:val="26"/>
                <w:szCs w:val="26"/>
                <w:rtl/>
              </w:rPr>
            </w:pPr>
            <w:r w:rsidRPr="00EC05E1">
              <w:rPr>
                <w:rFonts w:cs="David" w:hint="cs"/>
                <w:sz w:val="26"/>
                <w:szCs w:val="26"/>
                <w:highlight w:val="yellow"/>
                <w:rtl/>
              </w:rPr>
              <w:t>פניה :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067F2E">
              <w:rPr>
                <w:rFonts w:cs="David" w:hint="cs"/>
                <w:sz w:val="26"/>
                <w:szCs w:val="26"/>
                <w:rtl/>
              </w:rPr>
              <w:t>מרצה בתקשורת חזותית</w:t>
            </w:r>
          </w:p>
        </w:tc>
        <w:tc>
          <w:tcPr>
            <w:tcW w:w="1134" w:type="dxa"/>
          </w:tcPr>
          <w:p w:rsidR="00E25590" w:rsidRPr="00EA3BB4" w:rsidRDefault="00067F2E" w:rsidP="007703B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נתן מטלה  שאחת האופציות בה היתה עיצוב </w:t>
            </w:r>
            <w:r w:rsidR="00EC05E1">
              <w:rPr>
                <w:rFonts w:cs="David" w:hint="cs"/>
                <w:sz w:val="26"/>
                <w:szCs w:val="26"/>
                <w:rtl/>
              </w:rPr>
              <w:t>אריזה 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צעצועי מין </w:t>
            </w:r>
            <w:r w:rsidR="00EC05E1">
              <w:rPr>
                <w:rFonts w:cs="David" w:hint="cs"/>
                <w:sz w:val="26"/>
                <w:szCs w:val="26"/>
                <w:rtl/>
              </w:rPr>
              <w:t>ואחת ה</w:t>
            </w:r>
            <w:r w:rsidR="007703BD">
              <w:rPr>
                <w:rFonts w:cs="David" w:hint="cs"/>
                <w:sz w:val="26"/>
                <w:szCs w:val="26"/>
                <w:rtl/>
              </w:rPr>
              <w:t>אפשרויות</w:t>
            </w:r>
            <w:r w:rsidR="00EC05E1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7703BD">
              <w:rPr>
                <w:rFonts w:cs="David" w:hint="cs"/>
                <w:sz w:val="26"/>
                <w:szCs w:val="26"/>
                <w:rtl/>
              </w:rPr>
              <w:t xml:space="preserve">שניתנה כדוגמה </w:t>
            </w:r>
            <w:r w:rsidR="00EC05E1">
              <w:rPr>
                <w:rFonts w:cs="David" w:hint="cs"/>
                <w:sz w:val="26"/>
                <w:szCs w:val="26"/>
                <w:rtl/>
              </w:rPr>
              <w:t xml:space="preserve">היתה עיצוב עבור </w:t>
            </w:r>
            <w:r>
              <w:rPr>
                <w:rFonts w:cs="David" w:hint="cs"/>
                <w:sz w:val="26"/>
                <w:szCs w:val="26"/>
                <w:rtl/>
              </w:rPr>
              <w:t>ילדות בנות 12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067F2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דצמבר 2018</w:t>
            </w:r>
          </w:p>
        </w:tc>
        <w:tc>
          <w:tcPr>
            <w:tcW w:w="992" w:type="dxa"/>
          </w:tcPr>
          <w:p w:rsidR="00E25590" w:rsidRPr="00EA3BB4" w:rsidRDefault="00067F2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דצמבר 2018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067F2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שוחחנו עם המרצה והעברנו אליו את ההסתייגות של הסטודנטים, וכן </w:t>
            </w:r>
            <w:r w:rsidR="00EC05E1">
              <w:rPr>
                <w:rFonts w:cs="David" w:hint="cs"/>
                <w:sz w:val="26"/>
                <w:szCs w:val="26"/>
                <w:rtl/>
              </w:rPr>
              <w:t xml:space="preserve">חידדנו </w:t>
            </w:r>
            <w:r>
              <w:rPr>
                <w:rFonts w:cs="David" w:hint="cs"/>
                <w:sz w:val="26"/>
                <w:szCs w:val="26"/>
                <w:rtl/>
              </w:rPr>
              <w:t>את ההנחיות הכלליות לגבי הצגת נושאים פרובוקטיביים בשיעורים</w:t>
            </w:r>
            <w:r w:rsidR="007703BD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7703BD">
              <w:rPr>
                <w:rFonts w:cs="David"/>
                <w:sz w:val="26"/>
                <w:szCs w:val="26"/>
                <w:rtl/>
              </w:rPr>
              <w:t>–</w:t>
            </w:r>
            <w:r w:rsidR="007703BD">
              <w:rPr>
                <w:rFonts w:cs="David" w:hint="cs"/>
                <w:sz w:val="26"/>
                <w:szCs w:val="26"/>
                <w:rtl/>
              </w:rPr>
              <w:t xml:space="preserve"> במקרה זה הבין המרצה שהאמירות שלו היו לא במקומן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067F2E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ביקשנו מהמרצה להתנצל בפני הסטודנטים. מאחר שהיו אופציות נוספות למטלה הסטודנטים לא היו מחוייבים לעסוק בנושא.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067F2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אין צורך בהמשך טיפול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C05E1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C05E1">
              <w:rPr>
                <w:rFonts w:cs="David" w:hint="cs"/>
                <w:sz w:val="26"/>
                <w:szCs w:val="26"/>
                <w:highlight w:val="yellow"/>
                <w:rtl/>
              </w:rPr>
              <w:t>תלונה: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סטודנטית </w:t>
            </w:r>
            <w:r w:rsidR="007703BD">
              <w:rPr>
                <w:rFonts w:cs="David" w:hint="cs"/>
                <w:sz w:val="26"/>
                <w:szCs w:val="26"/>
                <w:rtl/>
              </w:rPr>
              <w:t xml:space="preserve">הוטרדה </w:t>
            </w:r>
            <w:r>
              <w:rPr>
                <w:rFonts w:cs="David" w:hint="cs"/>
                <w:sz w:val="26"/>
                <w:szCs w:val="26"/>
                <w:rtl/>
              </w:rPr>
              <w:t>במסגרת פעילות בתוך מוסד אחר</w:t>
            </w:r>
          </w:p>
        </w:tc>
        <w:tc>
          <w:tcPr>
            <w:tcW w:w="1134" w:type="dxa"/>
          </w:tcPr>
          <w:p w:rsidR="00E25590" w:rsidRPr="00EA3BB4" w:rsidRDefault="00EC05E1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הסטודנטית התלוננה שהוטרדה מינית על ידי השומר בבית ספר יסודי בו הועסקה תמורת מילגה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C05E1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ינואר 2018</w:t>
            </w:r>
          </w:p>
        </w:tc>
        <w:tc>
          <w:tcPr>
            <w:tcW w:w="992" w:type="dxa"/>
          </w:tcPr>
          <w:p w:rsidR="00E25590" w:rsidRPr="00EA3BB4" w:rsidRDefault="0048505A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מרץ 2018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C05E1" w:rsidP="00EC05E1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פנינו למנהלת בית הספר על מנת שתטפל בתלונה לפי החוק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EC05E1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AA42EF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הפסקנו את פעילותה של הסטודנטית בבית הספר ללא פגיעה במילגה שהיא מקבלת, כמו כן הוצע לה סיוע פסיכולוגי חינם בבצלאל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712C95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5B7084">
              <w:rPr>
                <w:rFonts w:cs="David" w:hint="cs"/>
                <w:sz w:val="26"/>
                <w:szCs w:val="26"/>
                <w:highlight w:val="yellow"/>
                <w:rtl/>
              </w:rPr>
              <w:t>פניה</w:t>
            </w:r>
            <w:r>
              <w:rPr>
                <w:rFonts w:cs="David" w:hint="cs"/>
                <w:sz w:val="26"/>
                <w:szCs w:val="26"/>
                <w:rtl/>
              </w:rPr>
              <w:t>: עובד הטריד מילולית עובדת</w:t>
            </w:r>
            <w:r w:rsidR="005B7084">
              <w:rPr>
                <w:rFonts w:cs="David" w:hint="cs"/>
                <w:sz w:val="26"/>
                <w:szCs w:val="26"/>
                <w:rtl/>
              </w:rPr>
              <w:t>. לא הוגשה תלונה.</w:t>
            </w:r>
          </w:p>
        </w:tc>
        <w:tc>
          <w:tcPr>
            <w:tcW w:w="1134" w:type="dxa"/>
          </w:tcPr>
          <w:p w:rsidR="00E25590" w:rsidRPr="00EA3BB4" w:rsidRDefault="00712C95" w:rsidP="00712C95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התבטאויות לא הולמות שנאמרו תוך כדי ריב  בענייני וועד העובדים ועוד התבטאויות לא הולמות במסגרת ישיבות ועד 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712C95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הדברים נאמרו לפני ספטמבר 2017, הפניה ב</w:t>
            </w:r>
            <w:r w:rsidR="005B7084">
              <w:rPr>
                <w:rFonts w:cs="David" w:hint="cs"/>
                <w:sz w:val="26"/>
                <w:szCs w:val="26"/>
                <w:rtl/>
              </w:rPr>
              <w:t>נובמבר 2017</w:t>
            </w:r>
          </w:p>
        </w:tc>
        <w:tc>
          <w:tcPr>
            <w:tcW w:w="992" w:type="dxa"/>
          </w:tcPr>
          <w:p w:rsidR="00E25590" w:rsidRPr="00EA3BB4" w:rsidRDefault="005B7084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נובמבר 2017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5B7084" w:rsidP="005B7084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נערכה שיחת בירור עם הנלון בה הכחיש את ההאשמות. הוסבר לו שעליו להקפיד בכל מצב על התבטאויות הולמות כלפי עמיתיו לעבודה.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5B7084" w:rsidP="005B7084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נמסר דיווח על האירוע לנשיא האקדמיה, מסקנתנו היא שהדברים נאמרו תוך כדי ויכוח וישיבות הקשורות לענייני ועד והמדובר במילה כנגד מילה.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7703BD" w:rsidP="007703B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אין יתקיים </w:t>
            </w:r>
            <w:r w:rsidR="005B7084">
              <w:rPr>
                <w:rFonts w:cs="David" w:hint="cs"/>
                <w:sz w:val="26"/>
                <w:szCs w:val="26"/>
                <w:rtl/>
              </w:rPr>
              <w:t>המשך טיפול בעניין כהטרדה מינית, אם הפונה מעוניינת בכך יכולה להגיש תלונה לועדת משמעת על התנהגות אלימה</w:t>
            </w:r>
            <w:r>
              <w:rPr>
                <w:rFonts w:cs="David" w:hint="cs"/>
                <w:sz w:val="26"/>
                <w:szCs w:val="26"/>
                <w:rtl/>
              </w:rPr>
              <w:t>/פוגענית</w:t>
            </w:r>
            <w:r w:rsidR="005B7084">
              <w:rPr>
                <w:rFonts w:cs="David" w:hint="cs"/>
                <w:sz w:val="26"/>
                <w:szCs w:val="26"/>
                <w:rtl/>
              </w:rPr>
              <w:t xml:space="preserve">, ובנוסף יכולה לפנות לערכאות. 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48505A" w:rsidP="0048505A">
            <w:pPr>
              <w:rPr>
                <w:rFonts w:cs="David" w:hint="cs"/>
                <w:sz w:val="26"/>
                <w:szCs w:val="26"/>
                <w:rtl/>
              </w:rPr>
            </w:pPr>
            <w:r w:rsidRPr="0048505A">
              <w:rPr>
                <w:rFonts w:cs="David" w:hint="cs"/>
                <w:sz w:val="26"/>
                <w:szCs w:val="26"/>
                <w:highlight w:val="yellow"/>
                <w:rtl/>
              </w:rPr>
              <w:t>פניה :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בהמשך לפניה שהוגשה בדצמבר 2015</w:t>
            </w:r>
          </w:p>
        </w:tc>
        <w:tc>
          <w:tcPr>
            <w:tcW w:w="1134" w:type="dxa"/>
          </w:tcPr>
          <w:p w:rsidR="00E25590" w:rsidRPr="00EA3BB4" w:rsidRDefault="0048505A" w:rsidP="0048505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הסטודנטים ביקשו שהמרצה נשוא הפניה לא ישאר ללון איתם במסגרת סיור לימודי של יומיים.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48505A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אפריל 2018</w:t>
            </w:r>
          </w:p>
        </w:tc>
        <w:tc>
          <w:tcPr>
            <w:tcW w:w="992" w:type="dxa"/>
          </w:tcPr>
          <w:p w:rsidR="00E25590" w:rsidRPr="00EA3BB4" w:rsidRDefault="0048505A" w:rsidP="0048505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אפריל 2018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48505A" w:rsidP="007703B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הבקשה הועברה למרצה, המרצה השתתף בסיור </w:t>
            </w:r>
            <w:r w:rsidR="007703BD">
              <w:rPr>
                <w:rFonts w:cs="David" w:hint="cs"/>
                <w:sz w:val="26"/>
                <w:szCs w:val="26"/>
                <w:rtl/>
              </w:rPr>
              <w:t xml:space="preserve">והעביר </w:t>
            </w:r>
            <w:r>
              <w:rPr>
                <w:rFonts w:cs="David" w:hint="cs"/>
                <w:sz w:val="26"/>
                <w:szCs w:val="26"/>
                <w:rtl/>
              </w:rPr>
              <w:t>סדנת רשות ולא נשאר ללון עם כולם מיזמתו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775BCA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אין המלצה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48505A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אין צורך בהמשך טיפול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48505A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C3282C">
              <w:rPr>
                <w:rFonts w:cs="David" w:hint="cs"/>
                <w:sz w:val="26"/>
                <w:szCs w:val="26"/>
                <w:highlight w:val="yellow"/>
                <w:rtl/>
              </w:rPr>
              <w:t>פניה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: התבטאויות לא הולמות של מרצה בשיעור</w:t>
            </w:r>
          </w:p>
        </w:tc>
        <w:tc>
          <w:tcPr>
            <w:tcW w:w="1134" w:type="dxa"/>
          </w:tcPr>
          <w:p w:rsidR="00E25590" w:rsidRPr="00EA3BB4" w:rsidRDefault="00C3282C" w:rsidP="00C3282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המרצה גורם לתחושה לא נוחה של סטודנטיות (נשים) בביקורות ובפגישות אישיות.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יחס גס, משפיל ומתנשא, אך לא חשו שהוטרדו מינית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C3282C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יוני 2018</w:t>
            </w:r>
          </w:p>
        </w:tc>
        <w:tc>
          <w:tcPr>
            <w:tcW w:w="992" w:type="dxa"/>
          </w:tcPr>
          <w:p w:rsidR="00E25590" w:rsidRPr="00EA3BB4" w:rsidRDefault="00C3282C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יוני 2018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720260">
            <w:pPr>
              <w:rPr>
                <w:rFonts w:cs="David"/>
                <w:sz w:val="26"/>
                <w:szCs w:val="26"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7703BD" w:rsidP="007703B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נוהלה עם המרצה </w:t>
            </w:r>
            <w:r w:rsidR="00720260">
              <w:rPr>
                <w:rFonts w:cs="David" w:hint="cs"/>
                <w:sz w:val="26"/>
                <w:szCs w:val="26"/>
                <w:rtl/>
              </w:rPr>
              <w:t xml:space="preserve">שיחת הבהרה 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מול </w:t>
            </w:r>
            <w:r w:rsidR="00720260">
              <w:rPr>
                <w:rFonts w:cs="David" w:hint="cs"/>
                <w:sz w:val="26"/>
                <w:szCs w:val="26"/>
                <w:rtl/>
              </w:rPr>
              <w:t xml:space="preserve">ראש המחלקה בה התבקש להתבטא בצורה הולמת (מאחר שהסטודנטיות לא חשו שהוטרדו מינית), עד לשיחה לא 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לימדף לא </w:t>
            </w:r>
            <w:r w:rsidR="00720260">
              <w:rPr>
                <w:rFonts w:cs="David" w:hint="cs"/>
                <w:sz w:val="26"/>
                <w:szCs w:val="26"/>
                <w:rtl/>
              </w:rPr>
              <w:t>נפגש עם הסטודנטיות ולא יצר איתן קשר.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775BCA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בוצעה שיחה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373C" w:rsidRDefault="00E7373C" w:rsidP="00F122BE">
      <w:r>
        <w:separator/>
      </w:r>
    </w:p>
  </w:endnote>
  <w:endnote w:type="continuationSeparator" w:id="0">
    <w:p w:rsidR="00E7373C" w:rsidRDefault="00E7373C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373C" w:rsidRDefault="00E7373C" w:rsidP="00F122BE">
      <w:r>
        <w:separator/>
      </w:r>
    </w:p>
  </w:footnote>
  <w:footnote w:type="continuationSeparator" w:id="0">
    <w:p w:rsidR="00E7373C" w:rsidRDefault="00E7373C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311888">
    <w:abstractNumId w:val="0"/>
  </w:num>
  <w:num w:numId="2" w16cid:durableId="2085297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04F1E"/>
    <w:rsid w:val="000245DC"/>
    <w:rsid w:val="00067F2E"/>
    <w:rsid w:val="00071CA6"/>
    <w:rsid w:val="00074E0C"/>
    <w:rsid w:val="000D0D94"/>
    <w:rsid w:val="00123430"/>
    <w:rsid w:val="0018031E"/>
    <w:rsid w:val="001B247C"/>
    <w:rsid w:val="001C09D3"/>
    <w:rsid w:val="001D36AD"/>
    <w:rsid w:val="00212A96"/>
    <w:rsid w:val="002161BC"/>
    <w:rsid w:val="00251BD2"/>
    <w:rsid w:val="002A20DC"/>
    <w:rsid w:val="00324BAD"/>
    <w:rsid w:val="003948EE"/>
    <w:rsid w:val="00455F7C"/>
    <w:rsid w:val="004644EF"/>
    <w:rsid w:val="0048505A"/>
    <w:rsid w:val="004B45BC"/>
    <w:rsid w:val="004C04E2"/>
    <w:rsid w:val="005356D2"/>
    <w:rsid w:val="0053787A"/>
    <w:rsid w:val="005B7084"/>
    <w:rsid w:val="0062546A"/>
    <w:rsid w:val="006513E6"/>
    <w:rsid w:val="006549C9"/>
    <w:rsid w:val="006A5FBC"/>
    <w:rsid w:val="006B049D"/>
    <w:rsid w:val="0070031C"/>
    <w:rsid w:val="00712C95"/>
    <w:rsid w:val="00720260"/>
    <w:rsid w:val="0074396D"/>
    <w:rsid w:val="00747DFB"/>
    <w:rsid w:val="007703BD"/>
    <w:rsid w:val="00775BCA"/>
    <w:rsid w:val="007E7048"/>
    <w:rsid w:val="0086140A"/>
    <w:rsid w:val="00871544"/>
    <w:rsid w:val="00881198"/>
    <w:rsid w:val="008D2DF3"/>
    <w:rsid w:val="009213DD"/>
    <w:rsid w:val="00945E88"/>
    <w:rsid w:val="0096624F"/>
    <w:rsid w:val="009D75B0"/>
    <w:rsid w:val="009E54AB"/>
    <w:rsid w:val="009E75E8"/>
    <w:rsid w:val="00AA42EF"/>
    <w:rsid w:val="00B050AF"/>
    <w:rsid w:val="00B441CA"/>
    <w:rsid w:val="00B5340C"/>
    <w:rsid w:val="00B93C6F"/>
    <w:rsid w:val="00BB04C0"/>
    <w:rsid w:val="00BB36F7"/>
    <w:rsid w:val="00BC138A"/>
    <w:rsid w:val="00BC362C"/>
    <w:rsid w:val="00BF4D96"/>
    <w:rsid w:val="00C17833"/>
    <w:rsid w:val="00C26F44"/>
    <w:rsid w:val="00C3282C"/>
    <w:rsid w:val="00C37616"/>
    <w:rsid w:val="00C5451F"/>
    <w:rsid w:val="00C86D06"/>
    <w:rsid w:val="00CC060D"/>
    <w:rsid w:val="00CD2CAC"/>
    <w:rsid w:val="00CF1394"/>
    <w:rsid w:val="00D0508C"/>
    <w:rsid w:val="00D15485"/>
    <w:rsid w:val="00D201D4"/>
    <w:rsid w:val="00D80C0C"/>
    <w:rsid w:val="00DA41CA"/>
    <w:rsid w:val="00DB7B76"/>
    <w:rsid w:val="00DF618E"/>
    <w:rsid w:val="00E25590"/>
    <w:rsid w:val="00E50B09"/>
    <w:rsid w:val="00E7373C"/>
    <w:rsid w:val="00EA3BB4"/>
    <w:rsid w:val="00EB4B96"/>
    <w:rsid w:val="00EB5C02"/>
    <w:rsid w:val="00EC05E1"/>
    <w:rsid w:val="00EC1610"/>
    <w:rsid w:val="00EF79C7"/>
    <w:rsid w:val="00F122B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A8EC59-8ED5-4974-94A6-94399EEF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Table Grid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12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DA487E2C-16B1-4C3A-A88A-DC94AF87A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CB1F63-A66F-41EB-8588-44F40F1019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92DD80-3B03-4FE4-BD68-9A4FC03E0A8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2FD609D-34AC-427A-91A9-54D23046CC7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82D093-71A1-47D2-BB54-6B62ECEF2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פורמט דיווח מוסדות להשכלה גבוהה בנושא פעילות למניעת הטרדה מינית</vt:lpstr>
      <vt:lpstr>פורמט דיווח מוסדות להשכלה גבוהה בנושא פעילות למניעת הטרדה מינית</vt:lpstr>
    </vt:vector>
  </TitlesOfParts>
  <Company>Knesset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בצלאל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