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1F4E79"/>
          <w:sz w:val="40"/>
          <w:szCs w:val="40"/>
        </w:rPr>
        <w:t xml:space="preserve">Blockchain, Digital Finance &amp; Agentic AI</w:t>
      </w:r>
    </w:p>
    <w:p>
      <w:pPr>
        <w:spacing w:before="0" w:after="60"/>
        <w:jc w:val="center"/>
      </w:pPr>
      <w:r>
        <w:rPr>
          <w:rFonts w:ascii="Arial" w:cs="Arial" w:eastAsia="Arial" w:hAnsi="Arial"/>
          <w:i/>
          <w:iCs/>
          <w:color w:val="2E75B6"/>
          <w:sz w:val="24"/>
          <w:szCs w:val="24"/>
        </w:rPr>
        <w:t xml:space="preserve">Student Reference &amp; Discussion Guide</w:t>
      </w:r>
    </w:p>
    <w:p>
      <w:pPr>
        <w:spacing w:before="0" w:after="280"/>
        <w:jc w:val="center"/>
      </w:pPr>
      <w:r>
        <w:rPr>
          <w:rFonts w:ascii="Arial" w:cs="Arial" w:eastAsia="Arial" w:hAnsi="Arial"/>
          <w:color w:val="555555"/>
          <w:sz w:val="20"/>
          <w:szCs w:val="20"/>
        </w:rPr>
        <w:t xml:space="preserve">Keep this handout — the Q&amp;A and discussion questions are yours for the seminar and beyond.</w:t>
      </w:r>
    </w:p>
    <w:p>
      <w:pPr>
        <w:pBdr>
          <w:bottom w:val="single" w:color="2E75B6" w:sz="6"/>
        </w:pBdr>
        <w:spacing w:before="200" w:after="200"/>
      </w:pPr>
      <w:r>
        <w:t xml:space="preserve"/>
      </w:r>
    </w:p>
    <w:p>
      <w:pPr>
        <w:pStyle w:val="Heading1"/>
        <w:spacing w:before="320" w:after="120"/>
      </w:pPr>
      <w:r>
        <w:rPr>
          <w:rFonts w:ascii="Arial" w:cs="Arial" w:eastAsia="Arial" w:hAnsi="Arial"/>
          <w:b/>
          <w:bCs/>
          <w:color w:val="1F4E79"/>
          <w:sz w:val="30"/>
          <w:szCs w:val="30"/>
        </w:rPr>
        <w:t xml:space="preserve">Part 1 — Frequently Asked Questions</w:t>
      </w:r>
    </w:p>
    <w:p>
      <w:pPr>
        <w:spacing w:before="0" w:after="100"/>
      </w:pPr>
      <w:r>
        <w:rPr>
          <w:rFonts w:ascii="Arial" w:cs="Arial" w:eastAsia="Arial" w:hAnsi="Arial"/>
          <w:sz w:val="20"/>
          <w:szCs w:val="20"/>
        </w:rPr>
        <w:t xml:space="preserve">These are the questions most commonly raised in class. Read them before the session if you can — knowing the answers are here lets you focus on the discussion rather than taking notes.</w:t>
      </w:r>
    </w:p>
    <w:p>
      <w:pPr>
        <w:spacing w:before="160" w:after="0"/>
      </w:pPr>
      <w:r>
        <w:t xml:space="preserve"/>
      </w:r>
    </w:p>
    <w:p>
      <w:pPr>
        <w:spacing w:before="180" w:after="60"/>
      </w:pPr>
      <w:r>
        <w:rPr>
          <w:rFonts w:ascii="Arial" w:cs="Arial" w:eastAsia="Arial" w:hAnsi="Arial"/>
          <w:b/>
          <w:bCs/>
          <w:color w:val="2E75B6"/>
          <w:sz w:val="20"/>
          <w:szCs w:val="20"/>
        </w:rPr>
        <w:t xml:space="preserve">1.  </w:t>
      </w:r>
      <w:r>
        <w:rPr>
          <w:rFonts w:ascii="Arial" w:cs="Arial" w:eastAsia="Arial" w:hAnsi="Arial"/>
          <w:b/>
          <w:bCs/>
          <w:sz w:val="20"/>
          <w:szCs w:val="20"/>
        </w:rPr>
        <w:t xml:space="preserve">Isn't Bitcoin too volatile to function as money?</w:t>
      </w:r>
    </w:p>
    <w:p>
      <w:pPr>
        <w:spacing w:before="0" w:after="120"/>
        <w:ind w:left="480"/>
      </w:pPr>
      <w:r>
        <w:rPr>
          <w:rFonts w:ascii="Arial" w:cs="Arial" w:eastAsia="Arial" w:hAnsi="Arial"/>
          <w:color w:val="333333"/>
          <w:sz w:val="20"/>
          <w:szCs w:val="20"/>
        </w:rPr>
        <w:t xml:space="preserve">Yes, today — but volatility is a function of market depth and adoption. Gold was volatile before broad institutional adoption created liquidity. Bitcoin's four-year average volatility has declined with each market cycle. More importantly, monetary properties and speculative price behavior are separable: Bitcoin's price reflects expectations about future adoption, not current monetary utility.</w:t>
      </w:r>
    </w:p>
    <w:p>
      <w:pPr>
        <w:spacing w:before="180" w:after="60"/>
      </w:pPr>
      <w:r>
        <w:rPr>
          <w:rFonts w:ascii="Arial" w:cs="Arial" w:eastAsia="Arial" w:hAnsi="Arial"/>
          <w:b/>
          <w:bCs/>
          <w:color w:val="2E75B6"/>
          <w:sz w:val="20"/>
          <w:szCs w:val="20"/>
        </w:rPr>
        <w:t xml:space="preserve">2.  </w:t>
      </w:r>
      <w:r>
        <w:rPr>
          <w:rFonts w:ascii="Arial" w:cs="Arial" w:eastAsia="Arial" w:hAnsi="Arial"/>
          <w:b/>
          <w:bCs/>
          <w:sz w:val="20"/>
          <w:szCs w:val="20"/>
        </w:rPr>
        <w:t xml:space="preserve">Can't governments just ban it?</w:t>
      </w:r>
    </w:p>
    <w:p>
      <w:pPr>
        <w:spacing w:before="0" w:after="120"/>
        <w:ind w:left="480"/>
      </w:pPr>
      <w:r>
        <w:rPr>
          <w:rFonts w:ascii="Arial" w:cs="Arial" w:eastAsia="Arial" w:hAnsi="Arial"/>
          <w:color w:val="333333"/>
          <w:sz w:val="20"/>
          <w:szCs w:val="20"/>
        </w:rPr>
        <w:t xml:space="preserve">China tried most aggressively. The result was a shift in mining geography, not the death of the network. There is no headquarters to raid, no servers to seize, no CEO to arrest. Governments can restrict access within their jurisdictions; they cannot eliminate a decentralized protocol. The US trajectory since 2024 — ETF approvals, stablecoin legislation, strategic reserve discussions — suggests integration, not prohibition, is the direction.</w:t>
      </w:r>
    </w:p>
    <w:p>
      <w:pPr>
        <w:spacing w:before="180" w:after="60"/>
      </w:pPr>
      <w:r>
        <w:rPr>
          <w:rFonts w:ascii="Arial" w:cs="Arial" w:eastAsia="Arial" w:hAnsi="Arial"/>
          <w:b/>
          <w:bCs/>
          <w:color w:val="2E75B6"/>
          <w:sz w:val="20"/>
          <w:szCs w:val="20"/>
        </w:rPr>
        <w:t xml:space="preserve">3.  </w:t>
      </w:r>
      <w:r>
        <w:rPr>
          <w:rFonts w:ascii="Arial" w:cs="Arial" w:eastAsia="Arial" w:hAnsi="Arial"/>
          <w:b/>
          <w:bCs/>
          <w:sz w:val="20"/>
          <w:szCs w:val="20"/>
        </w:rPr>
        <w:t xml:space="preserve">Is Bitcoin special, or is Ethereum just as important?</w:t>
      </w:r>
    </w:p>
    <w:p>
      <w:pPr>
        <w:spacing w:before="0" w:after="120"/>
        <w:ind w:left="480"/>
      </w:pPr>
      <w:r>
        <w:rPr>
          <w:rFonts w:ascii="Arial" w:cs="Arial" w:eastAsia="Arial" w:hAnsi="Arial"/>
          <w:color w:val="333333"/>
          <w:sz w:val="20"/>
          <w:szCs w:val="20"/>
        </w:rPr>
        <w:t xml:space="preserve">They serve genuinely different functions. Bitcoin is designed to be the hardest money ever created — every design decision optimises for that. Ethereum is a programmable global computer — the platform for smart contracts and DeFi. They are complementary, not competitive. The analytical question isn't 'which wins' — it's understanding the layered architecture and where value accrues at each layer.</w:t>
      </w:r>
    </w:p>
    <w:p>
      <w:pPr>
        <w:spacing w:before="180" w:after="60"/>
      </w:pPr>
      <w:r>
        <w:rPr>
          <w:rFonts w:ascii="Arial" w:cs="Arial" w:eastAsia="Arial" w:hAnsi="Arial"/>
          <w:b/>
          <w:bCs/>
          <w:color w:val="2E75B6"/>
          <w:sz w:val="20"/>
          <w:szCs w:val="20"/>
        </w:rPr>
        <w:t xml:space="preserve">4.  </w:t>
      </w:r>
      <w:r>
        <w:rPr>
          <w:rFonts w:ascii="Arial" w:cs="Arial" w:eastAsia="Arial" w:hAnsi="Arial"/>
          <w:b/>
          <w:bCs/>
          <w:sz w:val="20"/>
          <w:szCs w:val="20"/>
        </w:rPr>
        <w:t xml:space="preserve">How does this connect to CBDCs?</w:t>
      </w:r>
    </w:p>
    <w:p>
      <w:pPr>
        <w:spacing w:before="0" w:after="120"/>
        <w:ind w:left="480"/>
      </w:pPr>
      <w:r>
        <w:rPr>
          <w:rFonts w:ascii="Arial" w:cs="Arial" w:eastAsia="Arial" w:hAnsi="Arial"/>
          <w:color w:val="333333"/>
          <w:sz w:val="20"/>
          <w:szCs w:val="20"/>
        </w:rPr>
        <w:t xml:space="preserve">CBDCs are programmable fiat — governments capturing blockchain efficiency while maintaining monetary sovereignty. A CBDC can be programmed with spending constraints, expiration dates, or geographic exclusions. This is the antithesis of censorship resistance. These are not neutral technical differences — they represent fundamentally different visions of who controls your money.</w:t>
      </w:r>
    </w:p>
    <w:p>
      <w:pPr>
        <w:spacing w:before="180" w:after="60"/>
      </w:pPr>
      <w:r>
        <w:rPr>
          <w:rFonts w:ascii="Arial" w:cs="Arial" w:eastAsia="Arial" w:hAnsi="Arial"/>
          <w:b/>
          <w:bCs/>
          <w:color w:val="2E75B6"/>
          <w:sz w:val="20"/>
          <w:szCs w:val="20"/>
        </w:rPr>
        <w:t xml:space="preserve">5.  </w:t>
      </w:r>
      <w:r>
        <w:rPr>
          <w:rFonts w:ascii="Arial" w:cs="Arial" w:eastAsia="Arial" w:hAnsi="Arial"/>
          <w:b/>
          <w:bCs/>
          <w:sz w:val="20"/>
          <w:szCs w:val="20"/>
        </w:rPr>
        <w:t xml:space="preserve">If XRP is more centralised, why would a financial institution prefer it?</w:t>
      </w:r>
    </w:p>
    <w:p>
      <w:pPr>
        <w:spacing w:before="0" w:after="120"/>
        <w:ind w:left="480"/>
      </w:pPr>
      <w:r>
        <w:rPr>
          <w:rFonts w:ascii="Arial" w:cs="Arial" w:eastAsia="Arial" w:hAnsi="Arial"/>
          <w:color w:val="333333"/>
          <w:sz w:val="20"/>
          <w:szCs w:val="20"/>
        </w:rPr>
        <w:t xml:space="preserve">Institutions are not optimising for censorship resistance — they want settlement speed, regulatory legibility, and operational predictability. A bank settling between known, regulated counterparties needs deterministic 5-second finality and a compliance-friendly validator network. XRP's centralised UNL is a feature in this context: known parties can respond to regulatory enquiries and coordinate upgrades. The relevant question: does XRP provide better cross-border settlement than correspondent banking? In most corridors where ODL is deployed, yes.</w:t>
      </w:r>
    </w:p>
    <w:p>
      <w:pPr>
        <w:spacing w:before="180" w:after="60"/>
      </w:pPr>
      <w:r>
        <w:rPr>
          <w:rFonts w:ascii="Arial" w:cs="Arial" w:eastAsia="Arial" w:hAnsi="Arial"/>
          <w:b/>
          <w:bCs/>
          <w:color w:val="2E75B6"/>
          <w:sz w:val="20"/>
          <w:szCs w:val="20"/>
        </w:rPr>
        <w:t xml:space="preserve">6.  </w:t>
      </w:r>
      <w:r>
        <w:rPr>
          <w:rFonts w:ascii="Arial" w:cs="Arial" w:eastAsia="Arial" w:hAnsi="Arial"/>
          <w:b/>
          <w:bCs/>
          <w:sz w:val="20"/>
          <w:szCs w:val="20"/>
        </w:rPr>
        <w:t xml:space="preserve">What happened with the SEC vs. Ripple lawsuit?</w:t>
      </w:r>
    </w:p>
    <w:p>
      <w:pPr>
        <w:spacing w:before="0" w:after="120"/>
        <w:ind w:left="480"/>
      </w:pPr>
      <w:r>
        <w:rPr>
          <w:rFonts w:ascii="Arial" w:cs="Arial" w:eastAsia="Arial" w:hAnsi="Arial"/>
          <w:color w:val="333333"/>
          <w:sz w:val="20"/>
          <w:szCs w:val="20"/>
        </w:rPr>
        <w:t xml:space="preserve">The SEC sued in December 2020; XRP lost 65% in a week and was delisted from major US exchanges. In July 2023, the court ruled: programmatic retail sales were not securities; direct institutional sales were. Same asset, different classification based on distribution context. The SEC dropped its appeal in 2025. Key lesson: regulatory risk is first-class risk — four years of litigation cost Ripple its US institutional market during a critical adoption window.</w:t>
      </w:r>
    </w:p>
    <w:p>
      <w:pPr>
        <w:spacing w:before="180" w:after="60"/>
      </w:pPr>
      <w:r>
        <w:rPr>
          <w:rFonts w:ascii="Arial" w:cs="Arial" w:eastAsia="Arial" w:hAnsi="Arial"/>
          <w:b/>
          <w:bCs/>
          <w:color w:val="2E75B6"/>
          <w:sz w:val="20"/>
          <w:szCs w:val="20"/>
        </w:rPr>
        <w:t xml:space="preserve">7.  </w:t>
      </w:r>
      <w:r>
        <w:rPr>
          <w:rFonts w:ascii="Arial" w:cs="Arial" w:eastAsia="Arial" w:hAnsi="Arial"/>
          <w:b/>
          <w:bCs/>
          <w:sz w:val="20"/>
          <w:szCs w:val="20"/>
        </w:rPr>
        <w:t xml:space="preserve">How do you decide which blockchain to use for an application?</w:t>
      </w:r>
    </w:p>
    <w:p>
      <w:pPr>
        <w:spacing w:before="0" w:after="120"/>
        <w:ind w:left="480"/>
      </w:pPr>
      <w:r>
        <w:rPr>
          <w:rFonts w:ascii="Arial" w:cs="Arial" w:eastAsia="Arial" w:hAnsi="Arial"/>
          <w:color w:val="333333"/>
          <w:sz w:val="20"/>
          <w:szCs w:val="20"/>
        </w:rPr>
        <w:t xml:space="preserve">Apply the trilemma framework in three steps. First: what level of decentralisation is required — censorship resistance, or known regulated counterparties? Second: what settlement requirements — deterministic finality in seconds (XRP/Avalanche), probabilistic (Bitcoin), or programmable logic (Ethereum)? Third: what does the application actually need — pure value transfer, DeFi composability, high-frequency consumer transactions, or permissioned enterprise workflows? The answer is almost never one chain.</w:t>
      </w:r>
    </w:p>
    <w:p>
      <w:pPr>
        <w:spacing w:before="180" w:after="60"/>
      </w:pPr>
      <w:r>
        <w:rPr>
          <w:rFonts w:ascii="Arial" w:cs="Arial" w:eastAsia="Arial" w:hAnsi="Arial"/>
          <w:b/>
          <w:bCs/>
          <w:color w:val="2E75B6"/>
          <w:sz w:val="20"/>
          <w:szCs w:val="20"/>
        </w:rPr>
        <w:t xml:space="preserve">8.  </w:t>
      </w:r>
      <w:r>
        <w:rPr>
          <w:rFonts w:ascii="Arial" w:cs="Arial" w:eastAsia="Arial" w:hAnsi="Arial"/>
          <w:b/>
          <w:bCs/>
          <w:sz w:val="20"/>
          <w:szCs w:val="20"/>
        </w:rPr>
        <w:t xml:space="preserve">What is the difference between a tokenised asset and a cryptocurrency?</w:t>
      </w:r>
    </w:p>
    <w:p>
      <w:pPr>
        <w:spacing w:before="0" w:after="120"/>
        <w:ind w:left="480"/>
      </w:pPr>
      <w:r>
        <w:rPr>
          <w:rFonts w:ascii="Arial" w:cs="Arial" w:eastAsia="Arial" w:hAnsi="Arial"/>
          <w:color w:val="333333"/>
          <w:sz w:val="20"/>
          <w:szCs w:val="20"/>
        </w:rPr>
        <w:t xml:space="preserve">Cryptocurrency: a native digital asset existing only on the blockchain, with value derived from monetary properties or network utility. Tokenised asset: a digital representation of a real-world ownership claim — a share, a property title, an ounce of gold in a vault. The distinction matters for due diligence: a tokenised asset's value depends on the underlying asset AND the quality of the legal wrapper connecting the token to it.</w:t>
      </w:r>
    </w:p>
    <w:p>
      <w:pPr>
        <w:spacing w:before="180" w:after="60"/>
      </w:pPr>
      <w:r>
        <w:rPr>
          <w:rFonts w:ascii="Arial" w:cs="Arial" w:eastAsia="Arial" w:hAnsi="Arial"/>
          <w:b/>
          <w:bCs/>
          <w:color w:val="2E75B6"/>
          <w:sz w:val="20"/>
          <w:szCs w:val="20"/>
        </w:rPr>
        <w:t xml:space="preserve">9.  </w:t>
      </w:r>
      <w:r>
        <w:rPr>
          <w:rFonts w:ascii="Arial" w:cs="Arial" w:eastAsia="Arial" w:hAnsi="Arial"/>
          <w:b/>
          <w:bCs/>
          <w:sz w:val="20"/>
          <w:szCs w:val="20"/>
        </w:rPr>
        <w:t xml:space="preserve">If DeFi is permissionless, how does it handle regulation?</w:t>
      </w:r>
    </w:p>
    <w:p>
      <w:pPr>
        <w:spacing w:before="0" w:after="120"/>
        <w:ind w:left="480"/>
      </w:pPr>
      <w:r>
        <w:rPr>
          <w:rFonts w:ascii="Arial" w:cs="Arial" w:eastAsia="Arial" w:hAnsi="Arial"/>
          <w:color w:val="333333"/>
          <w:sz w:val="20"/>
          <w:szCs w:val="20"/>
        </w:rPr>
        <w:t xml:space="preserve">It doesn't inherently — and that is the central tension. Pure DeFi smart contracts execute for anyone, creating genuine regulatory exposure. The industry response is threefold: compliance at the fiat on/off-ramp (exchanges perform KYC); protocol-level compliance tools like ERC-3643 (which embeds transfer restrictions and investor whitelisting in the token contract itself); and institutional permissioned deployments like JPMorgan's Onyx. The entrepreneurial opportunity lies in building the compliance infrastructure that allows institutional capital to access DeFi efficiency within regulatory constraints.</w:t>
      </w:r>
    </w:p>
    <w:p>
      <w:pPr>
        <w:spacing w:before="180" w:after="60"/>
      </w:pPr>
      <w:r>
        <w:rPr>
          <w:rFonts w:ascii="Arial" w:cs="Arial" w:eastAsia="Arial" w:hAnsi="Arial"/>
          <w:b/>
          <w:bCs/>
          <w:color w:val="2E75B6"/>
          <w:sz w:val="20"/>
          <w:szCs w:val="20"/>
        </w:rPr>
        <w:t xml:space="preserve">10.  </w:t>
      </w:r>
      <w:r>
        <w:rPr>
          <w:rFonts w:ascii="Arial" w:cs="Arial" w:eastAsia="Arial" w:hAnsi="Arial"/>
          <w:b/>
          <w:bCs/>
          <w:sz w:val="20"/>
          <w:szCs w:val="20"/>
        </w:rPr>
        <w:t xml:space="preserve">What is the oracle problem?</w:t>
      </w:r>
    </w:p>
    <w:p>
      <w:pPr>
        <w:spacing w:before="0" w:after="120"/>
        <w:ind w:left="480"/>
      </w:pPr>
      <w:r>
        <w:rPr>
          <w:rFonts w:ascii="Arial" w:cs="Arial" w:eastAsia="Arial" w:hAnsi="Arial"/>
          <w:color w:val="333333"/>
          <w:sz w:val="20"/>
          <w:szCs w:val="20"/>
        </w:rPr>
        <w:t xml:space="preserve">On-chain smart contracts execute perfectly — but only on data the blockchain can verify. Off-chain asset values (property appraisals, commodity prices, credit ratings) must be brought on-chain via oracles. Oracles are trust dependencies: they can be hacked, manipulated, or wrong. Oracle manipulation has been the attack vector for hundreds of millions of dollars in DeFi exploits. Chainlink uses cryptoeconomic penalties to make manipulation expensive, but the problem is not fully solved.</w:t>
      </w:r>
    </w:p>
    <w:p>
      <w:pPr>
        <w:spacing w:before="180" w:after="60"/>
      </w:pPr>
      <w:r>
        <w:rPr>
          <w:rFonts w:ascii="Arial" w:cs="Arial" w:eastAsia="Arial" w:hAnsi="Arial"/>
          <w:b/>
          <w:bCs/>
          <w:color w:val="2E75B6"/>
          <w:sz w:val="20"/>
          <w:szCs w:val="20"/>
        </w:rPr>
        <w:t xml:space="preserve">11.  </w:t>
      </w:r>
      <w:r>
        <w:rPr>
          <w:rFonts w:ascii="Arial" w:cs="Arial" w:eastAsia="Arial" w:hAnsi="Arial"/>
          <w:b/>
          <w:bCs/>
          <w:sz w:val="20"/>
          <w:szCs w:val="20"/>
        </w:rPr>
        <w:t xml:space="preserve">After UST collapsed, why trust stablecoins at all?</w:t>
      </w:r>
    </w:p>
    <w:p>
      <w:pPr>
        <w:spacing w:before="0" w:after="120"/>
        <w:ind w:left="480"/>
      </w:pPr>
      <w:r>
        <w:rPr>
          <w:rFonts w:ascii="Arial" w:cs="Arial" w:eastAsia="Arial" w:hAnsi="Arial"/>
          <w:color w:val="333333"/>
          <w:sz w:val="20"/>
          <w:szCs w:val="20"/>
        </w:rPr>
        <w:t xml:space="preserve">UST proved that circular algorithmic backing is not stability — not that all stablecoins are unsafe. USDC holds actual T-bills in regulated segregated accounts; its failure modes are identical to a money market fund — known, manageable risks. DAI has been tested through major crypto crashes and held. The lesson: evaluate the reserve mechanism rigorously, not the marketing. Algorithmic stability is not stability. Real stability requires real reserves or real productive backing.</w:t>
      </w:r>
    </w:p>
    <w:p>
      <w:pPr>
        <w:spacing w:before="180" w:after="60"/>
      </w:pPr>
      <w:r>
        <w:rPr>
          <w:rFonts w:ascii="Arial" w:cs="Arial" w:eastAsia="Arial" w:hAnsi="Arial"/>
          <w:b/>
          <w:bCs/>
          <w:color w:val="2E75B6"/>
          <w:sz w:val="20"/>
          <w:szCs w:val="20"/>
        </w:rPr>
        <w:t xml:space="preserve">12.  </w:t>
      </w:r>
      <w:r>
        <w:rPr>
          <w:rFonts w:ascii="Arial" w:cs="Arial" w:eastAsia="Arial" w:hAnsi="Arial"/>
          <w:b/>
          <w:bCs/>
          <w:sz w:val="20"/>
          <w:szCs w:val="20"/>
        </w:rPr>
        <w:t xml:space="preserve">If Bitcoin can only do 7 TPS, how does it ever scale globally?</w:t>
      </w:r>
    </w:p>
    <w:p>
      <w:pPr>
        <w:spacing w:before="0" w:after="120"/>
        <w:ind w:left="480"/>
      </w:pPr>
      <w:r>
        <w:rPr>
          <w:rFonts w:ascii="Arial" w:cs="Arial" w:eastAsia="Arial" w:hAnsi="Arial"/>
          <w:color w:val="333333"/>
          <w:sz w:val="20"/>
          <w:szCs w:val="20"/>
        </w:rPr>
        <w:t xml:space="preserve">Global usage doesn't require every transaction to settle on the base layer — that's the flawed assumption. The internet never redesigned TCP/IP to handle more traffic; the applications above it handle the volume. Bitcoin scales the same way: Lightning processes millions of transactions per second with sub-second finality, anchored to Bitcoin's base-layer security. Rollups batch thousands of Ethereum transactions into a single on-chain proof. Comparing Bitcoin's 7 TPS to Visa's 24,000 TPS is comparing TCP/IP packet throughput to Gmail delivery speed.</w:t>
      </w:r>
    </w:p>
    <w:p>
      <w:pPr>
        <w:spacing w:before="180" w:after="60"/>
      </w:pPr>
      <w:r>
        <w:rPr>
          <w:rFonts w:ascii="Arial" w:cs="Arial" w:eastAsia="Arial" w:hAnsi="Arial"/>
          <w:b/>
          <w:bCs/>
          <w:color w:val="2E75B6"/>
          <w:sz w:val="20"/>
          <w:szCs w:val="20"/>
        </w:rPr>
        <w:t xml:space="preserve">13.  </w:t>
      </w:r>
      <w:r>
        <w:rPr>
          <w:rFonts w:ascii="Arial" w:cs="Arial" w:eastAsia="Arial" w:hAnsi="Arial"/>
          <w:b/>
          <w:bCs/>
          <w:sz w:val="20"/>
          <w:szCs w:val="20"/>
        </w:rPr>
        <w:t xml:space="preserve">Doesn't 'winner-take-all' mean it's too late to compete in this space?</w:t>
      </w:r>
    </w:p>
    <w:p>
      <w:pPr>
        <w:spacing w:before="0" w:after="120"/>
        <w:ind w:left="480"/>
      </w:pPr>
      <w:r>
        <w:rPr>
          <w:rFonts w:ascii="Arial" w:cs="Arial" w:eastAsia="Arial" w:hAnsi="Arial"/>
          <w:color w:val="333333"/>
          <w:sz w:val="20"/>
          <w:szCs w:val="20"/>
        </w:rPr>
        <w:t xml:space="preserve">Only if 'compete' means displacing the protocol — which it doesn't. The winner-take-all dynamic applies to the protocol layer itself; application layers remain intensely competitive. HTTP is winner-take-all. Google, Amazon, and Stripe are not. You don't need to own the protocol to win — you need to correctly identify which protocols are already at critical mass and build the best application on top before the window closes. The relevant question: which digital asset and machine payment protocols are in the 'TCP/IP in 1993' position right now?</w:t>
      </w:r>
    </w:p>
    <w:p>
      <w:pPr>
        <w:spacing w:before="180" w:after="60"/>
      </w:pPr>
      <w:r>
        <w:rPr>
          <w:rFonts w:ascii="Arial" w:cs="Arial" w:eastAsia="Arial" w:hAnsi="Arial"/>
          <w:b/>
          <w:bCs/>
          <w:color w:val="2E75B6"/>
          <w:sz w:val="20"/>
          <w:szCs w:val="20"/>
        </w:rPr>
        <w:t xml:space="preserve">14.  </w:t>
      </w:r>
      <w:r>
        <w:rPr>
          <w:rFonts w:ascii="Arial" w:cs="Arial" w:eastAsia="Arial" w:hAnsi="Arial"/>
          <w:b/>
          <w:bCs/>
          <w:sz w:val="20"/>
          <w:szCs w:val="20"/>
        </w:rPr>
        <w:t xml:space="preserve">What is x402?</w:t>
      </w:r>
    </w:p>
    <w:p>
      <w:pPr>
        <w:spacing w:before="0" w:after="120"/>
        <w:ind w:left="480"/>
      </w:pPr>
      <w:r>
        <w:rPr>
          <w:rFonts w:ascii="Arial" w:cs="Arial" w:eastAsia="Arial" w:hAnsi="Arial"/>
          <w:color w:val="333333"/>
          <w:sz w:val="20"/>
          <w:szCs w:val="20"/>
        </w:rPr>
        <w:t xml:space="preserve">HTTP status code 402 ('Payment Required') has sat unused in the HTTP specification since 1991, reserved for a payment mechanism that didn't yet exist. x402 is a new specification — submitted by engineers from Tempo Labs and Coinbase in March 2026 — that gives 402 its full semantics: a server responds to an unpaid request with a payment challenge; the client fulfills it using any registered payment method (stablecoin, Lightning, card); and the server delivers the resource with a cryptographically signed receipt. No bank, no payment processor, no human checkpoint. It is the missing payment rail for autonomous AI agents.</w:t>
      </w:r>
    </w:p>
    <w:p>
      <w:pPr>
        <w:spacing w:before="180" w:after="60"/>
      </w:pPr>
      <w:r>
        <w:rPr>
          <w:rFonts w:ascii="Arial" w:cs="Arial" w:eastAsia="Arial" w:hAnsi="Arial"/>
          <w:b/>
          <w:bCs/>
          <w:color w:val="2E75B6"/>
          <w:sz w:val="20"/>
          <w:szCs w:val="20"/>
        </w:rPr>
        <w:t xml:space="preserve">15.  </w:t>
      </w:r>
      <w:r>
        <w:rPr>
          <w:rFonts w:ascii="Arial" w:cs="Arial" w:eastAsia="Arial" w:hAnsi="Arial"/>
          <w:b/>
          <w:bCs/>
          <w:sz w:val="20"/>
          <w:szCs w:val="20"/>
        </w:rPr>
        <w:t xml:space="preserve">Could governments block AI agents from making autonomous payments?</w:t>
      </w:r>
    </w:p>
    <w:p>
      <w:pPr>
        <w:spacing w:before="0" w:after="120"/>
        <w:ind w:left="480"/>
      </w:pPr>
      <w:r>
        <w:rPr>
          <w:rFonts w:ascii="Arial" w:cs="Arial" w:eastAsia="Arial" w:hAnsi="Arial"/>
          <w:color w:val="333333"/>
          <w:sz w:val="20"/>
          <w:szCs w:val="20"/>
        </w:rPr>
        <w:t xml:space="preserve">They could constrain it at the payment method level, but probably not stop it at the protocol level. If a payment scheme becomes standard HTTP, every server and client implements it by default. Regulatory levers live at the payment method layer: KYC requirements for funding agent wallets would create overhead but would not prevent the protocol. It would, however, advantage pseudonymous, permissionless payment methods — a non-trivial geopolitical implication of the protocol design.</w:t>
      </w:r>
    </w:p>
    <w:p>
      <w:pPr>
        <w:pBdr>
          <w:bottom w:val="single" w:color="2E75B6" w:sz="6"/>
        </w:pBdr>
        <w:spacing w:before="200" w:after="200"/>
      </w:pPr>
      <w:r>
        <w:t xml:space="preserve"/>
      </w:r>
    </w:p>
    <w:p>
      <w:pPr>
        <w:pStyle w:val="Heading1"/>
        <w:spacing w:before="320" w:after="120"/>
      </w:pPr>
      <w:r>
        <w:rPr>
          <w:rFonts w:ascii="Arial" w:cs="Arial" w:eastAsia="Arial" w:hAnsi="Arial"/>
          <w:b/>
          <w:bCs/>
          <w:color w:val="1F4E79"/>
          <w:sz w:val="30"/>
          <w:szCs w:val="30"/>
        </w:rPr>
        <w:t xml:space="preserve">Part 2 — Seminar Discussion Questions</w:t>
      </w:r>
    </w:p>
    <w:p>
      <w:pPr>
        <w:spacing w:before="0" w:after="100"/>
      </w:pPr>
      <w:r>
        <w:rPr>
          <w:rFonts w:ascii="Arial" w:cs="Arial" w:eastAsia="Arial" w:hAnsi="Arial"/>
          <w:sz w:val="20"/>
          <w:szCs w:val="20"/>
        </w:rPr>
        <w:t xml:space="preserve">These questions are designed for small-group discussion during or after the session. They do not have single correct answers — the goal is to apply the analytical frameworks from the presentation to real strategic problems.</w:t>
      </w:r>
    </w:p>
    <w:p>
      <w:pPr>
        <w:pBdr>
          <w:left w:val="thick" w:color="2E75B6" w:sz="8" w:space="8"/>
        </w:pBdr>
        <w:shd w:fill="EBF3FB" w:val="clear"/>
        <w:spacing w:before="120" w:after="120"/>
        <w:ind w:left="360" w:right="360"/>
      </w:pPr>
      <w:r>
        <w:rPr>
          <w:rFonts w:ascii="Arial" w:cs="Arial" w:eastAsia="Arial" w:hAnsi="Arial"/>
          <w:i/>
          <w:iCs/>
          <w:color w:val="333333"/>
          <w:sz w:val="20"/>
          <w:szCs w:val="20"/>
        </w:rPr>
        <w:t xml:space="preserve">Come prepared to defend a position. The best discussions happen when participants reason from first principles rather than restating the lecture.</w:t>
      </w:r>
    </w:p>
    <w:p>
      <w:pPr>
        <w:spacing w:before="160" w:after="0"/>
      </w:pPr>
      <w:r>
        <w:t xml:space="preserve"/>
      </w:r>
    </w:p>
    <w:p>
      <w:pPr>
        <w:pBdr>
          <w:bottom w:val="single" w:color="BBCFDE" w:sz="4"/>
        </w:pBdr>
        <w:spacing w:before="240" w:after="80"/>
      </w:pPr>
      <w:r>
        <w:rPr>
          <w:rFonts w:ascii="Arial" w:cs="Arial" w:eastAsia="Arial" w:hAnsi="Arial"/>
          <w:b/>
          <w:bCs/>
          <w:color w:val="2E75B6"/>
          <w:sz w:val="24"/>
          <w:szCs w:val="24"/>
        </w:rPr>
        <w:t xml:space="preserve">Money, Reserve Currency &amp; Hard Money</w:t>
      </w:r>
    </w:p>
    <w:p>
      <w:pPr>
        <w:spacing w:before="140" w:after="40"/>
      </w:pPr>
      <w:r>
        <w:rPr>
          <w:rFonts w:ascii="Arial" w:cs="Arial" w:eastAsia="Arial" w:hAnsi="Arial"/>
          <w:b/>
          <w:bCs/>
          <w:color w:val="1F4E79"/>
          <w:sz w:val="20"/>
          <w:szCs w:val="20"/>
        </w:rPr>
        <w:t xml:space="preserve">1.  </w:t>
      </w:r>
      <w:r>
        <w:rPr>
          <w:rFonts w:ascii="Arial" w:cs="Arial" w:eastAsia="Arial" w:hAnsi="Arial"/>
          <w:sz w:val="20"/>
          <w:szCs w:val="20"/>
        </w:rPr>
        <w:t xml:space="preserve">The presentation argues that 'hard money' wins in a free global market for reserve currencies. What are the strongest counterarguments? What conditions would need to hold for that thesis to be wrong?</w:t>
      </w:r>
    </w:p>
    <w:p>
      <w:pPr>
        <w:spacing w:before="140" w:after="40"/>
      </w:pPr>
      <w:r>
        <w:rPr>
          <w:rFonts w:ascii="Arial" w:cs="Arial" w:eastAsia="Arial" w:hAnsi="Arial"/>
          <w:b/>
          <w:bCs/>
          <w:color w:val="1F4E79"/>
          <w:sz w:val="20"/>
          <w:szCs w:val="20"/>
        </w:rPr>
        <w:t xml:space="preserve">2.  </w:t>
      </w:r>
      <w:r>
        <w:rPr>
          <w:rFonts w:ascii="Arial" w:cs="Arial" w:eastAsia="Arial" w:hAnsi="Arial"/>
          <w:sz w:val="20"/>
          <w:szCs w:val="20"/>
        </w:rPr>
        <w:t xml:space="preserve">Stablecoins issued by private companies (Tether, Circle) now process more international transaction volume than many central banks. What are the systemic risks of this concentration? What regulatory frameworks would you design, and how would you enforce them cross-jurisdictionally?</w:t>
      </w:r>
    </w:p>
    <w:p>
      <w:pPr>
        <w:spacing w:before="140" w:after="40"/>
      </w:pPr>
      <w:r>
        <w:rPr>
          <w:rFonts w:ascii="Arial" w:cs="Arial" w:eastAsia="Arial" w:hAnsi="Arial"/>
          <w:b/>
          <w:bCs/>
          <w:color w:val="1F4E79"/>
          <w:sz w:val="20"/>
          <w:szCs w:val="20"/>
        </w:rPr>
        <w:t xml:space="preserve">3.  </w:t>
      </w:r>
      <w:r>
        <w:rPr>
          <w:rFonts w:ascii="Arial" w:cs="Arial" w:eastAsia="Arial" w:hAnsi="Arial"/>
          <w:sz w:val="20"/>
          <w:szCs w:val="20"/>
        </w:rPr>
        <w:t xml:space="preserve">Yield-bearing stablecoins allow anyone with internet access to earn US Treasury yields without a brokerage account. What are the second-order effects on global capital flows, savings rates in emerging markets, and the competitive position of traditional retail banks?</w:t>
      </w:r>
    </w:p>
    <w:p>
      <w:pPr>
        <w:pBdr>
          <w:bottom w:val="single" w:color="BBCFDE" w:sz="4"/>
        </w:pBdr>
        <w:spacing w:before="240" w:after="80"/>
      </w:pPr>
      <w:r>
        <w:rPr>
          <w:rFonts w:ascii="Arial" w:cs="Arial" w:eastAsia="Arial" w:hAnsi="Arial"/>
          <w:b/>
          <w:bCs/>
          <w:color w:val="2E75B6"/>
          <w:sz w:val="24"/>
          <w:szCs w:val="24"/>
        </w:rPr>
        <w:t xml:space="preserve">Blockchain Architecture &amp; Competitive Dynamics</w:t>
      </w:r>
    </w:p>
    <w:p>
      <w:pPr>
        <w:spacing w:before="140" w:after="40"/>
      </w:pPr>
      <w:r>
        <w:rPr>
          <w:rFonts w:ascii="Arial" w:cs="Arial" w:eastAsia="Arial" w:hAnsi="Arial"/>
          <w:b/>
          <w:bCs/>
          <w:color w:val="1F4E79"/>
          <w:sz w:val="20"/>
          <w:szCs w:val="20"/>
        </w:rPr>
        <w:t xml:space="preserve">4.  </w:t>
      </w:r>
      <w:r>
        <w:rPr>
          <w:rFonts w:ascii="Arial" w:cs="Arial" w:eastAsia="Arial" w:hAnsi="Arial"/>
          <w:sz w:val="20"/>
          <w:szCs w:val="20"/>
        </w:rPr>
        <w:t xml:space="preserve">Map the blockchain trilemma onto four real systems: Bitcoin, Ethereum, XRP, and Solana. Where does each sit on the decentralisation-security-scalability triangle? What use cases is each best suited for, and where does each fall short?</w:t>
      </w:r>
    </w:p>
    <w:p>
      <w:pPr>
        <w:spacing w:before="140" w:after="40"/>
      </w:pPr>
      <w:r>
        <w:rPr>
          <w:rFonts w:ascii="Arial" w:cs="Arial" w:eastAsia="Arial" w:hAnsi="Arial"/>
          <w:b/>
          <w:bCs/>
          <w:color w:val="1F4E79"/>
          <w:sz w:val="20"/>
          <w:szCs w:val="20"/>
        </w:rPr>
        <w:t xml:space="preserve">5.  </w:t>
      </w:r>
      <w:r>
        <w:rPr>
          <w:rFonts w:ascii="Arial" w:cs="Arial" w:eastAsia="Arial" w:hAnsi="Arial"/>
          <w:sz w:val="20"/>
          <w:szCs w:val="20"/>
        </w:rPr>
        <w:t xml:space="preserve">A central bank wants to implement a CBDC for cross-border settlement between five countries in Southeast Asia. Which blockchain architecture would you recommend — and which would you explicitly rule out? Justify your choice using the trilemma framework.</w:t>
      </w:r>
    </w:p>
    <w:p>
      <w:pPr>
        <w:spacing w:before="140" w:after="40"/>
      </w:pPr>
      <w:r>
        <w:rPr>
          <w:rFonts w:ascii="Arial" w:cs="Arial" w:eastAsia="Arial" w:hAnsi="Arial"/>
          <w:b/>
          <w:bCs/>
          <w:color w:val="1F4E79"/>
          <w:sz w:val="20"/>
          <w:szCs w:val="20"/>
        </w:rPr>
        <w:t xml:space="preserve">6.  </w:t>
      </w:r>
      <w:r>
        <w:rPr>
          <w:rFonts w:ascii="Arial" w:cs="Arial" w:eastAsia="Arial" w:hAnsi="Arial"/>
          <w:sz w:val="20"/>
          <w:szCs w:val="20"/>
        </w:rPr>
        <w:t xml:space="preserve">The 'fat protocol thesis' predicts that value in blockchain systems accrues at the base layer, not the application layer — the inverse of the internet. Do you agree? What evidence would confirm or falsify it? Does your answer change depending on whether we are talking about Bitcoin versus Ethereum?</w:t>
      </w:r>
    </w:p>
    <w:p>
      <w:pPr>
        <w:pBdr>
          <w:bottom w:val="single" w:color="BBCFDE" w:sz="4"/>
        </w:pBdr>
        <w:spacing w:before="240" w:after="80"/>
      </w:pPr>
      <w:r>
        <w:rPr>
          <w:rFonts w:ascii="Arial" w:cs="Arial" w:eastAsia="Arial" w:hAnsi="Arial"/>
          <w:b/>
          <w:bCs/>
          <w:color w:val="2E75B6"/>
          <w:sz w:val="24"/>
          <w:szCs w:val="24"/>
        </w:rPr>
        <w:t xml:space="preserve">Tokenisation &amp; DeFi</w:t>
      </w:r>
    </w:p>
    <w:p>
      <w:pPr>
        <w:spacing w:before="140" w:after="40"/>
      </w:pPr>
      <w:r>
        <w:rPr>
          <w:rFonts w:ascii="Arial" w:cs="Arial" w:eastAsia="Arial" w:hAnsi="Arial"/>
          <w:b/>
          <w:bCs/>
          <w:color w:val="1F4E79"/>
          <w:sz w:val="20"/>
          <w:szCs w:val="20"/>
        </w:rPr>
        <w:t xml:space="preserve">7.  </w:t>
      </w:r>
      <w:r>
        <w:rPr>
          <w:rFonts w:ascii="Arial" w:cs="Arial" w:eastAsia="Arial" w:hAnsi="Arial"/>
          <w:sz w:val="20"/>
          <w:szCs w:val="20"/>
        </w:rPr>
        <w:t xml:space="preserve">Select a financial intermediary — a clearing house, a transfer agent, a prime broker, or a custodian. What exactly do they do today? Map their core functions to smart contract equivalents. What parts of their business genuinely cannot be replaced by code, and why?</w:t>
      </w:r>
    </w:p>
    <w:p>
      <w:pPr>
        <w:spacing w:before="140" w:after="40"/>
      </w:pPr>
      <w:r>
        <w:rPr>
          <w:rFonts w:ascii="Arial" w:cs="Arial" w:eastAsia="Arial" w:hAnsi="Arial"/>
          <w:b/>
          <w:bCs/>
          <w:color w:val="1F4E79"/>
          <w:sz w:val="20"/>
          <w:szCs w:val="20"/>
        </w:rPr>
        <w:t xml:space="preserve">8.  </w:t>
      </w:r>
      <w:r>
        <w:rPr>
          <w:rFonts w:ascii="Arial" w:cs="Arial" w:eastAsia="Arial" w:hAnsi="Arial"/>
          <w:sz w:val="20"/>
          <w:szCs w:val="20"/>
        </w:rPr>
        <w:t xml:space="preserve">The illiquidity premium in private equity and real estate represents trillions of dollars in annual excess returns. If tokenisation eliminates illiquidity structurally over the next decade, what happens to those returns? Who captures the benefit, who loses the premium, and what does that mean for portfolio construction?</w:t>
      </w:r>
    </w:p>
    <w:p>
      <w:pPr>
        <w:spacing w:before="140" w:after="40"/>
      </w:pPr>
      <w:r>
        <w:rPr>
          <w:rFonts w:ascii="Arial" w:cs="Arial" w:eastAsia="Arial" w:hAnsi="Arial"/>
          <w:b/>
          <w:bCs/>
          <w:color w:val="1F4E79"/>
          <w:sz w:val="20"/>
          <w:szCs w:val="20"/>
        </w:rPr>
        <w:t xml:space="preserve">9.  </w:t>
      </w:r>
      <w:r>
        <w:rPr>
          <w:rFonts w:ascii="Arial" w:cs="Arial" w:eastAsia="Arial" w:hAnsi="Arial"/>
          <w:sz w:val="20"/>
          <w:szCs w:val="20"/>
        </w:rPr>
        <w:t xml:space="preserve">Design a tokenised bond issuance for an emerging market sovereign. Which blockchain would you use, what token standard, what legal wrapper, and how would you handle oracle risk? What are the three biggest failure modes?</w:t>
      </w:r>
    </w:p>
    <w:p>
      <w:pPr>
        <w:pBdr>
          <w:bottom w:val="single" w:color="BBCFDE" w:sz="4"/>
        </w:pBdr>
        <w:spacing w:before="240" w:after="80"/>
      </w:pPr>
      <w:r>
        <w:rPr>
          <w:rFonts w:ascii="Arial" w:cs="Arial" w:eastAsia="Arial" w:hAnsi="Arial"/>
          <w:b/>
          <w:bCs/>
          <w:color w:val="2E75B6"/>
          <w:sz w:val="24"/>
          <w:szCs w:val="24"/>
        </w:rPr>
        <w:t xml:space="preserve">AI Agents, Autonomous Payments &amp; Entrepreneurial Opportunity</w:t>
      </w:r>
    </w:p>
    <w:p>
      <w:pPr>
        <w:spacing w:before="140" w:after="40"/>
      </w:pPr>
      <w:r>
        <w:rPr>
          <w:rFonts w:ascii="Arial" w:cs="Arial" w:eastAsia="Arial" w:hAnsi="Arial"/>
          <w:b/>
          <w:bCs/>
          <w:color w:val="1F4E79"/>
          <w:sz w:val="20"/>
          <w:szCs w:val="20"/>
        </w:rPr>
        <w:t xml:space="preserve">10.  </w:t>
      </w:r>
      <w:r>
        <w:rPr>
          <w:rFonts w:ascii="Arial" w:cs="Arial" w:eastAsia="Arial" w:hAnsi="Arial"/>
          <w:sz w:val="20"/>
          <w:szCs w:val="20"/>
        </w:rPr>
        <w:t xml:space="preserve">If you were designing an agentic AI system to manage a corporate treasury — handling FX exposure, yield optimisation, and supplier payments — which tasks would you delegate fully to the agent, which would require human approval, and what framework governs that boundary?</w:t>
      </w:r>
    </w:p>
    <w:p>
      <w:pPr>
        <w:spacing w:before="140" w:after="40"/>
      </w:pPr>
      <w:r>
        <w:rPr>
          <w:rFonts w:ascii="Arial" w:cs="Arial" w:eastAsia="Arial" w:hAnsi="Arial"/>
          <w:b/>
          <w:bCs/>
          <w:color w:val="1F4E79"/>
          <w:sz w:val="20"/>
          <w:szCs w:val="20"/>
        </w:rPr>
        <w:t xml:space="preserve">11.  </w:t>
      </w:r>
      <w:r>
        <w:rPr>
          <w:rFonts w:ascii="Arial" w:cs="Arial" w:eastAsia="Arial" w:hAnsi="Arial"/>
          <w:sz w:val="20"/>
          <w:szCs w:val="20"/>
        </w:rPr>
        <w:t xml:space="preserve">Which industry you plan to work in post-MBA has the largest intermediary cost structure? Map out where trust dependencies exist and identify which could plausibly be eliminated by smart contracts within ten years. Where are the structural barriers?</w:t>
      </w:r>
    </w:p>
    <w:p>
      <w:pPr>
        <w:spacing w:before="140" w:after="40"/>
      </w:pPr>
      <w:r>
        <w:rPr>
          <w:rFonts w:ascii="Arial" w:cs="Arial" w:eastAsia="Arial" w:hAnsi="Arial"/>
          <w:b/>
          <w:bCs/>
          <w:color w:val="1F4E79"/>
          <w:sz w:val="20"/>
          <w:szCs w:val="20"/>
        </w:rPr>
        <w:t xml:space="preserve">12.  </w:t>
      </w:r>
      <w:r>
        <w:rPr>
          <w:rFonts w:ascii="Arial" w:cs="Arial" w:eastAsia="Arial" w:hAnsi="Arial"/>
          <w:sz w:val="20"/>
          <w:szCs w:val="20"/>
        </w:rPr>
        <w:t xml:space="preserve">The x402 payment protocol — if standardised — would make every HTTP server a potential paywall accessible to any payment network. Design a business that could only exist with both x402 and autonomous AI agents. What problem does it solve, what is the go-to-market strategy, and what is the moat?</w:t>
      </w:r>
    </w:p>
    <w:p>
      <w:pPr>
        <w:pBdr>
          <w:bottom w:val="single" w:color="BBCFDE" w:sz="4"/>
        </w:pBdr>
        <w:spacing w:before="240" w:after="80"/>
      </w:pPr>
      <w:r>
        <w:rPr>
          <w:rFonts w:ascii="Arial" w:cs="Arial" w:eastAsia="Arial" w:hAnsi="Arial"/>
          <w:b/>
          <w:bCs/>
          <w:color w:val="2E75B6"/>
          <w:sz w:val="24"/>
          <w:szCs w:val="24"/>
        </w:rPr>
        <w:t xml:space="preserve">Regulation &amp; Geopolitics</w:t>
      </w:r>
    </w:p>
    <w:p>
      <w:pPr>
        <w:spacing w:before="140" w:after="40"/>
      </w:pPr>
      <w:r>
        <w:rPr>
          <w:rFonts w:ascii="Arial" w:cs="Arial" w:eastAsia="Arial" w:hAnsi="Arial"/>
          <w:b/>
          <w:bCs/>
          <w:color w:val="1F4E79"/>
          <w:sz w:val="20"/>
          <w:szCs w:val="20"/>
        </w:rPr>
        <w:t xml:space="preserve">13.  </w:t>
      </w:r>
      <w:r>
        <w:rPr>
          <w:rFonts w:ascii="Arial" w:cs="Arial" w:eastAsia="Arial" w:hAnsi="Arial"/>
          <w:sz w:val="20"/>
          <w:szCs w:val="20"/>
        </w:rPr>
        <w:t xml:space="preserve">Compare the regulatory risk profiles of USDC, DAI, and Tether. As CFO of a multinational corporation choosing a stablecoin for treasury operations, which would you select and why? What due diligence process would you follow, and what ongoing monitoring would you put in place?</w:t>
      </w:r>
    </w:p>
    <w:p>
      <w:pPr>
        <w:spacing w:before="140" w:after="40"/>
      </w:pPr>
      <w:r>
        <w:rPr>
          <w:rFonts w:ascii="Arial" w:cs="Arial" w:eastAsia="Arial" w:hAnsi="Arial"/>
          <w:b/>
          <w:bCs/>
          <w:color w:val="1F4E79"/>
          <w:sz w:val="20"/>
          <w:szCs w:val="20"/>
        </w:rPr>
        <w:t xml:space="preserve">14.  </w:t>
      </w:r>
      <w:r>
        <w:rPr>
          <w:rFonts w:ascii="Arial" w:cs="Arial" w:eastAsia="Arial" w:hAnsi="Arial"/>
          <w:sz w:val="20"/>
          <w:szCs w:val="20"/>
        </w:rPr>
        <w:t xml:space="preserve">How does decentralised financial infrastructure change the strategic options available to a nation experiencing currency devaluation, capital flight, or US sanctions? What are the implications for US foreign policy and dollar hegemony?</w:t>
      </w:r>
    </w:p>
    <w:p>
      <w:pPr>
        <w:pBdr>
          <w:bottom w:val="single" w:color="2E75B6" w:sz="6"/>
        </w:pBdr>
        <w:spacing w:before="200" w:after="200"/>
      </w:pPr>
      <w:r>
        <w:t xml:space="preserve"/>
      </w:r>
    </w:p>
    <w:p>
      <w:pPr>
        <w:pStyle w:val="Heading1"/>
        <w:spacing w:before="320" w:after="120"/>
      </w:pPr>
      <w:r>
        <w:rPr>
          <w:rFonts w:ascii="Arial" w:cs="Arial" w:eastAsia="Arial" w:hAnsi="Arial"/>
          <w:b/>
          <w:bCs/>
          <w:color w:val="1F4E79"/>
          <w:sz w:val="30"/>
          <w:szCs w:val="30"/>
        </w:rPr>
        <w:t xml:space="preserve">Part 3 — Key Terms Reference</w:t>
      </w:r>
    </w:p>
    <w:p>
      <w:pPr>
        <w:spacing w:before="0" w:after="100"/>
      </w:pPr>
      <w:r>
        <w:rPr>
          <w:rFonts w:ascii="Arial" w:cs="Arial" w:eastAsia="Arial" w:hAnsi="Arial"/>
          <w:sz w:val="20"/>
          <w:szCs w:val="20"/>
        </w:rPr>
        <w:t xml:space="preserve">A quick reference for terms used throughout the session.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Blockchain</w:t>
            </w:r>
          </w:p>
        </w:tc>
        <w:tc>
          <w:tcPr>
            <w:tcW w:type="dxa" w:w="6960"/>
            <w:tcMar>
              <w:top w:type="dxa" w:w="80"/>
              <w:left w:type="dxa" w:w="120"/>
              <w:bottom w:type="dxa" w:w="80"/>
              <w:right w:type="dxa" w:w="120"/>
            </w:tcMar>
          </w:tcPr>
          <w:p>
            <w:r>
              <w:rPr>
                <w:rFonts w:ascii="Arial" w:cs="Arial" w:eastAsia="Arial" w:hAnsi="Arial"/>
                <w:sz w:val="18"/>
                <w:szCs w:val="18"/>
              </w:rPr>
              <w:t xml:space="preserve">A distributed public ledger recording transactions in immutable, cryptographically linked blocks. No single entity controls it.</w:t>
            </w:r>
          </w:p>
        </w:tc>
      </w:tr>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Proof of Work</w:t>
            </w:r>
          </w:p>
        </w:tc>
        <w:tc>
          <w:tcPr>
            <w:tcW w:type="dxa" w:w="6960"/>
            <w:tcMar>
              <w:top w:type="dxa" w:w="80"/>
              <w:left w:type="dxa" w:w="120"/>
              <w:bottom w:type="dxa" w:w="80"/>
              <w:right w:type="dxa" w:w="120"/>
            </w:tcMar>
          </w:tcPr>
          <w:p>
            <w:r>
              <w:rPr>
                <w:rFonts w:ascii="Arial" w:cs="Arial" w:eastAsia="Arial" w:hAnsi="Arial"/>
                <w:sz w:val="18"/>
                <w:szCs w:val="18"/>
              </w:rPr>
              <w:t xml:space="preserve">Bitcoin's consensus mechanism: miners expend energy solving cryptographic puzzles to earn the right to add the next block. Energy cost makes cheating economically suicidal.</w:t>
            </w:r>
          </w:p>
        </w:tc>
      </w:tr>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Private Key / Seed Phrase</w:t>
            </w:r>
          </w:p>
        </w:tc>
        <w:tc>
          <w:tcPr>
            <w:tcW w:type="dxa" w:w="6960"/>
            <w:tcMar>
              <w:top w:type="dxa" w:w="80"/>
              <w:left w:type="dxa" w:w="120"/>
              <w:bottom w:type="dxa" w:w="80"/>
              <w:right w:type="dxa" w:w="120"/>
            </w:tcMar>
          </w:tcPr>
          <w:p>
            <w:r>
              <w:rPr>
                <w:rFonts w:ascii="Arial" w:cs="Arial" w:eastAsia="Arial" w:hAnsi="Arial"/>
                <w:sz w:val="18"/>
                <w:szCs w:val="18"/>
              </w:rPr>
              <w:t xml:space="preserve">The cryptographic credential proving ownership of a blockchain address. Whoever holds the seed phrase controls the associated assets — no custodian required.</w:t>
            </w:r>
          </w:p>
        </w:tc>
      </w:tr>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Blockchain Trilemma</w:t>
            </w:r>
          </w:p>
        </w:tc>
        <w:tc>
          <w:tcPr>
            <w:tcW w:type="dxa" w:w="6960"/>
            <w:tcMar>
              <w:top w:type="dxa" w:w="80"/>
              <w:left w:type="dxa" w:w="120"/>
              <w:bottom w:type="dxa" w:w="80"/>
              <w:right w:type="dxa" w:w="120"/>
            </w:tcMar>
          </w:tcPr>
          <w:p>
            <w:r>
              <w:rPr>
                <w:rFonts w:ascii="Arial" w:cs="Arial" w:eastAsia="Arial" w:hAnsi="Arial"/>
                <w:sz w:val="18"/>
                <w:szCs w:val="18"/>
              </w:rPr>
              <w:t xml:space="preserve">A network can optimise for at most two of: decentralisation, security, and scalability. Every blockchain makes an explicit choice.</w:t>
            </w:r>
          </w:p>
        </w:tc>
      </w:tr>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Layer 1 / L1</w:t>
            </w:r>
          </w:p>
        </w:tc>
        <w:tc>
          <w:tcPr>
            <w:tcW w:type="dxa" w:w="6960"/>
            <w:tcMar>
              <w:top w:type="dxa" w:w="80"/>
              <w:left w:type="dxa" w:w="120"/>
              <w:bottom w:type="dxa" w:w="80"/>
              <w:right w:type="dxa" w:w="120"/>
            </w:tcMar>
          </w:tcPr>
          <w:p>
            <w:r>
              <w:rPr>
                <w:rFonts w:ascii="Arial" w:cs="Arial" w:eastAsia="Arial" w:hAnsi="Arial"/>
                <w:sz w:val="18"/>
                <w:szCs w:val="18"/>
              </w:rPr>
              <w:t xml:space="preserve">The base blockchain itself (Bitcoin, Ethereum). Final settlement and security anchor.</w:t>
            </w:r>
          </w:p>
        </w:tc>
      </w:tr>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Layer 2 / L2</w:t>
            </w:r>
          </w:p>
        </w:tc>
        <w:tc>
          <w:tcPr>
            <w:tcW w:type="dxa" w:w="6960"/>
            <w:tcMar>
              <w:top w:type="dxa" w:w="80"/>
              <w:left w:type="dxa" w:w="120"/>
              <w:bottom w:type="dxa" w:w="80"/>
              <w:right w:type="dxa" w:w="120"/>
            </w:tcMar>
          </w:tcPr>
          <w:p>
            <w:r>
              <w:rPr>
                <w:rFonts w:ascii="Arial" w:cs="Arial" w:eastAsia="Arial" w:hAnsi="Arial"/>
                <w:sz w:val="18"/>
                <w:szCs w:val="18"/>
              </w:rPr>
              <w:t xml:space="preserve">Scaling solution built on top of L1: Lightning Network (Bitcoin), rollups (Ethereum). Inherits L1 security while processing transactions off-chain.</w:t>
            </w:r>
          </w:p>
        </w:tc>
      </w:tr>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Lightning Network</w:t>
            </w:r>
          </w:p>
        </w:tc>
        <w:tc>
          <w:tcPr>
            <w:tcW w:type="dxa" w:w="6960"/>
            <w:tcMar>
              <w:top w:type="dxa" w:w="80"/>
              <w:left w:type="dxa" w:w="120"/>
              <w:bottom w:type="dxa" w:w="80"/>
              <w:right w:type="dxa" w:w="120"/>
            </w:tcMar>
          </w:tcPr>
          <w:p>
            <w:r>
              <w:rPr>
                <w:rFonts w:ascii="Arial" w:cs="Arial" w:eastAsia="Arial" w:hAnsi="Arial"/>
                <w:sz w:val="18"/>
                <w:szCs w:val="18"/>
              </w:rPr>
              <w:t xml:space="preserve">Bitcoin's L2: payment channels settle off-chain instantly for fractions of a cent. Channels compose into a global routing network.</w:t>
            </w:r>
          </w:p>
        </w:tc>
      </w:tr>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Rollup</w:t>
            </w:r>
          </w:p>
        </w:tc>
        <w:tc>
          <w:tcPr>
            <w:tcW w:type="dxa" w:w="6960"/>
            <w:tcMar>
              <w:top w:type="dxa" w:w="80"/>
              <w:left w:type="dxa" w:w="120"/>
              <w:bottom w:type="dxa" w:w="80"/>
              <w:right w:type="dxa" w:w="120"/>
            </w:tcMar>
          </w:tcPr>
          <w:p>
            <w:r>
              <w:rPr>
                <w:rFonts w:ascii="Arial" w:cs="Arial" w:eastAsia="Arial" w:hAnsi="Arial"/>
                <w:sz w:val="18"/>
                <w:szCs w:val="18"/>
              </w:rPr>
              <w:t xml:space="preserve">Ethereum L2: executes transactions off-chain and posts a proof or fraud window to L1. ZK-rollups post a cryptographic validity proof; Optimistic rollups use a dispute window.</w:t>
            </w:r>
          </w:p>
        </w:tc>
      </w:tr>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Fedimint</w:t>
            </w:r>
          </w:p>
        </w:tc>
        <w:tc>
          <w:tcPr>
            <w:tcW w:type="dxa" w:w="6960"/>
            <w:tcMar>
              <w:top w:type="dxa" w:w="80"/>
              <w:left w:type="dxa" w:w="120"/>
              <w:bottom w:type="dxa" w:w="80"/>
              <w:right w:type="dxa" w:w="120"/>
            </w:tcMar>
          </w:tcPr>
          <w:p>
            <w:r>
              <w:rPr>
                <w:rFonts w:ascii="Arial" w:cs="Arial" w:eastAsia="Arial" w:hAnsi="Arial"/>
                <w:sz w:val="18"/>
                <w:szCs w:val="18"/>
              </w:rPr>
              <w:t xml:space="preserve">Federated community custody model for Bitcoin: a small group of trusted guardians jointly control reserves via multi-sig. Users receive Chaumian blind-signature eCash — the federation cannot link transactions to individuals.</w:t>
            </w:r>
          </w:p>
        </w:tc>
      </w:tr>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Smart Contract</w:t>
            </w:r>
          </w:p>
        </w:tc>
        <w:tc>
          <w:tcPr>
            <w:tcW w:type="dxa" w:w="6960"/>
            <w:tcMar>
              <w:top w:type="dxa" w:w="80"/>
              <w:left w:type="dxa" w:w="120"/>
              <w:bottom w:type="dxa" w:w="80"/>
              <w:right w:type="dxa" w:w="120"/>
            </w:tcMar>
          </w:tcPr>
          <w:p>
            <w:r>
              <w:rPr>
                <w:rFonts w:ascii="Arial" w:cs="Arial" w:eastAsia="Arial" w:hAnsi="Arial"/>
                <w:sz w:val="18"/>
                <w:szCs w:val="18"/>
              </w:rPr>
              <w:t xml:space="preserve">Self-executing code on a blockchain: when specified conditions are met, execution is automatic, irreversible, and requires no third party.</w:t>
            </w:r>
          </w:p>
        </w:tc>
      </w:tr>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Stablecoin</w:t>
            </w:r>
          </w:p>
        </w:tc>
        <w:tc>
          <w:tcPr>
            <w:tcW w:type="dxa" w:w="6960"/>
            <w:tcMar>
              <w:top w:type="dxa" w:w="80"/>
              <w:left w:type="dxa" w:w="120"/>
              <w:bottom w:type="dxa" w:w="80"/>
              <w:right w:type="dxa" w:w="120"/>
            </w:tcMar>
          </w:tcPr>
          <w:p>
            <w:r>
              <w:rPr>
                <w:rFonts w:ascii="Arial" w:cs="Arial" w:eastAsia="Arial" w:hAnsi="Arial"/>
                <w:sz w:val="18"/>
                <w:szCs w:val="18"/>
              </w:rPr>
              <w:t xml:space="preserve">A cryptographic token pegged to a reference asset (usually USD). Stability mechanism determines the risk profile — fiat-backed, crypto-collateralised, algorithmic, or yield-bearing.</w:t>
            </w:r>
          </w:p>
        </w:tc>
      </w:tr>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Tokenisation</w:t>
            </w:r>
          </w:p>
        </w:tc>
        <w:tc>
          <w:tcPr>
            <w:tcW w:type="dxa" w:w="6960"/>
            <w:tcMar>
              <w:top w:type="dxa" w:w="80"/>
              <w:left w:type="dxa" w:w="120"/>
              <w:bottom w:type="dxa" w:w="80"/>
              <w:right w:type="dxa" w:w="120"/>
            </w:tcMar>
          </w:tcPr>
          <w:p>
            <w:r>
              <w:rPr>
                <w:rFonts w:ascii="Arial" w:cs="Arial" w:eastAsia="Arial" w:hAnsi="Arial"/>
                <w:sz w:val="18"/>
                <w:szCs w:val="18"/>
              </w:rPr>
              <w:t xml:space="preserve">Representing legal ownership of a real-world asset as a digital token on a blockchain. Enables fractional ownership, 24/7 secondary markets, and programmable income distribution.</w:t>
            </w:r>
          </w:p>
        </w:tc>
      </w:tr>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DeFi</w:t>
            </w:r>
          </w:p>
        </w:tc>
        <w:tc>
          <w:tcPr>
            <w:tcW w:type="dxa" w:w="6960"/>
            <w:tcMar>
              <w:top w:type="dxa" w:w="80"/>
              <w:left w:type="dxa" w:w="120"/>
              <w:bottom w:type="dxa" w:w="80"/>
              <w:right w:type="dxa" w:w="120"/>
            </w:tcMar>
          </w:tcPr>
          <w:p>
            <w:r>
              <w:rPr>
                <w:rFonts w:ascii="Arial" w:cs="Arial" w:eastAsia="Arial" w:hAnsi="Arial"/>
                <w:sz w:val="18"/>
                <w:szCs w:val="18"/>
              </w:rPr>
              <w:t xml:space="preserve">Decentralised Finance: smart contract protocols providing financial services (trading, lending, yield) without intermediaries. Uniswap, Aave, MakerDAO are examples.</w:t>
            </w:r>
          </w:p>
        </w:tc>
      </w:tr>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Oracle</w:t>
            </w:r>
          </w:p>
        </w:tc>
        <w:tc>
          <w:tcPr>
            <w:tcW w:type="dxa" w:w="6960"/>
            <w:tcMar>
              <w:top w:type="dxa" w:w="80"/>
              <w:left w:type="dxa" w:w="120"/>
              <w:bottom w:type="dxa" w:w="80"/>
              <w:right w:type="dxa" w:w="120"/>
            </w:tcMar>
          </w:tcPr>
          <w:p>
            <w:r>
              <w:rPr>
                <w:rFonts w:ascii="Arial" w:cs="Arial" w:eastAsia="Arial" w:hAnsi="Arial"/>
                <w:sz w:val="18"/>
                <w:szCs w:val="18"/>
              </w:rPr>
              <w:t xml:space="preserve">A service that brings off-chain data (prices, events, asset values) onto the blockchain so smart contracts can act on real-world information. An attack vector if compromised.</w:t>
            </w:r>
          </w:p>
        </w:tc>
      </w:tr>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XRP / XRPL</w:t>
            </w:r>
          </w:p>
        </w:tc>
        <w:tc>
          <w:tcPr>
            <w:tcW w:type="dxa" w:w="6960"/>
            <w:tcMar>
              <w:top w:type="dxa" w:w="80"/>
              <w:left w:type="dxa" w:w="120"/>
              <w:bottom w:type="dxa" w:w="80"/>
              <w:right w:type="dxa" w:w="120"/>
            </w:tcMar>
          </w:tcPr>
          <w:p>
            <w:r>
              <w:rPr>
                <w:rFonts w:ascii="Arial" w:cs="Arial" w:eastAsia="Arial" w:hAnsi="Arial"/>
                <w:sz w:val="18"/>
                <w:szCs w:val="18"/>
              </w:rPr>
              <w:t xml:space="preserve">A blockchain designed for institutional cross-border settlement. Federated consensus achieves 3-5 second deterministic finality. On-Demand Liquidity (ODL) uses XRP as a bridge currency to eliminate pre-funded nostro/vostro accounts.</w:t>
            </w:r>
          </w:p>
        </w:tc>
      </w:tr>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x402</w:t>
            </w:r>
          </w:p>
        </w:tc>
        <w:tc>
          <w:tcPr>
            <w:tcW w:type="dxa" w:w="6960"/>
            <w:tcMar>
              <w:top w:type="dxa" w:w="80"/>
              <w:left w:type="dxa" w:w="120"/>
              <w:bottom w:type="dxa" w:w="80"/>
              <w:right w:type="dxa" w:w="120"/>
            </w:tcMar>
          </w:tcPr>
          <w:p>
            <w:r>
              <w:rPr>
                <w:rFonts w:ascii="Arial" w:cs="Arial" w:eastAsia="Arial" w:hAnsi="Arial"/>
                <w:sz w:val="18"/>
                <w:szCs w:val="18"/>
              </w:rPr>
              <w:t xml:space="preserve">A new payment protocol specification (March 2026) that gives HTTP status code 402 ('Payment Required') its full semantics — enabling any HTTP server to require payment before delivering a resource, using any registered payment method, with no bank required.</w:t>
            </w:r>
          </w:p>
        </w:tc>
      </w:tr>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Triffin's Dilemma</w:t>
            </w:r>
          </w:p>
        </w:tc>
        <w:tc>
          <w:tcPr>
            <w:tcW w:type="dxa" w:w="6960"/>
            <w:tcMar>
              <w:top w:type="dxa" w:w="80"/>
              <w:left w:type="dxa" w:w="120"/>
              <w:bottom w:type="dxa" w:w="80"/>
              <w:right w:type="dxa" w:w="120"/>
            </w:tcMar>
          </w:tcPr>
          <w:p>
            <w:r>
              <w:rPr>
                <w:rFonts w:ascii="Arial" w:cs="Arial" w:eastAsia="Arial" w:hAnsi="Arial"/>
                <w:sz w:val="18"/>
                <w:szCs w:val="18"/>
              </w:rPr>
              <w:t xml:space="preserve">The structural tension facing the issuer of the global reserve currency: supplying the world with enough dollars requires persistent trade deficits, which eventually undermine confidence in the currency.</w:t>
            </w:r>
          </w:p>
        </w:tc>
      </w:tr>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Fat Protocol Thesis</w:t>
            </w:r>
          </w:p>
        </w:tc>
        <w:tc>
          <w:tcPr>
            <w:tcW w:type="dxa" w:w="6960"/>
            <w:tcMar>
              <w:top w:type="dxa" w:w="80"/>
              <w:left w:type="dxa" w:w="120"/>
              <w:bottom w:type="dxa" w:w="80"/>
              <w:right w:type="dxa" w:w="120"/>
            </w:tcMar>
          </w:tcPr>
          <w:p>
            <w:r>
              <w:rPr>
                <w:rFonts w:ascii="Arial" w:cs="Arial" w:eastAsia="Arial" w:hAnsi="Arial"/>
                <w:sz w:val="18"/>
                <w:szCs w:val="18"/>
              </w:rPr>
              <w:t xml:space="preserve">The argument that in blockchain systems, value accrues at the base layer (the asset itself) rather than the application layer — the inverse of the internet, where value accrued to Google and Amazon, not to TCP/IP.</w:t>
            </w:r>
          </w:p>
        </w:tc>
      </w:tr>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Howey Test</w:t>
            </w:r>
          </w:p>
        </w:tc>
        <w:tc>
          <w:tcPr>
            <w:tcW w:type="dxa" w:w="6960"/>
            <w:tcMar>
              <w:top w:type="dxa" w:w="80"/>
              <w:left w:type="dxa" w:w="120"/>
              <w:bottom w:type="dxa" w:w="80"/>
              <w:right w:type="dxa" w:w="120"/>
            </w:tcMar>
          </w:tcPr>
          <w:p>
            <w:r>
              <w:rPr>
                <w:rFonts w:ascii="Arial" w:cs="Arial" w:eastAsia="Arial" w:hAnsi="Arial"/>
                <w:sz w:val="18"/>
                <w:szCs w:val="18"/>
              </w:rPr>
              <w:t xml:space="preserve">The US legal framework for determining whether an instrument is a security: does it represent an investment of money in a common enterprise with expectation of profits from the efforts of others? The operative standard for token classification.</w:t>
            </w:r>
          </w:p>
        </w:tc>
      </w:tr>
      <w:tr>
        <w:tc>
          <w:tcPr>
            <w:tcW w:type="dxa" w:w="2400"/>
            <w:shd w:fill="EBF3FB" w:val="clear"/>
            <w:tcMar>
              <w:top w:type="dxa" w:w="80"/>
              <w:left w:type="dxa" w:w="120"/>
              <w:bottom w:type="dxa" w:w="80"/>
              <w:right w:type="dxa" w:w="120"/>
            </w:tcMar>
          </w:tcPr>
          <w:p>
            <w:r>
              <w:rPr>
                <w:rFonts w:ascii="Arial" w:cs="Arial" w:eastAsia="Arial" w:hAnsi="Arial"/>
                <w:b/>
                <w:bCs/>
                <w:color w:val="1F4E79"/>
                <w:sz w:val="18"/>
                <w:szCs w:val="18"/>
              </w:rPr>
              <w:t xml:space="preserve">Agentic AI</w:t>
            </w:r>
          </w:p>
        </w:tc>
        <w:tc>
          <w:tcPr>
            <w:tcW w:type="dxa" w:w="6960"/>
            <w:tcMar>
              <w:top w:type="dxa" w:w="80"/>
              <w:left w:type="dxa" w:w="120"/>
              <w:bottom w:type="dxa" w:w="80"/>
              <w:right w:type="dxa" w:w="120"/>
            </w:tcMar>
          </w:tcPr>
          <w:p>
            <w:r>
              <w:rPr>
                <w:rFonts w:ascii="Arial" w:cs="Arial" w:eastAsia="Arial" w:hAnsi="Arial"/>
                <w:sz w:val="18"/>
                <w:szCs w:val="18"/>
              </w:rPr>
              <w:t xml:space="preserve">AI systems that, given a goal, autonomously determine and execute the steps required to achieve it — as distinct from reactive systems that respond to prompts. With blockchain wallets, agents can transact autonomously.</w:t>
            </w:r>
          </w:p>
        </w:tc>
      </w:tr>
    </w:tbl>
    <w:p>
      <w:pPr>
        <w:spacing w:before="36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FDE" w:sz="4"/>
      </w:pBdr>
      <w:tabs>
        <w:tab w:val="right" w:pos="9360"/>
      </w:tabs>
    </w:pPr>
    <w:r>
      <w:rPr>
        <w:rFonts w:ascii="Arial" w:cs="Arial" w:eastAsia="Arial" w:hAnsi="Arial"/>
        <w:color w:val="999999"/>
        <w:sz w:val="18"/>
        <w:szCs w:val="18"/>
      </w:rPr>
      <w:t xml:space="preserve">First-Year MBA Program</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pPr>
    <w:r>
      <w:rPr>
        <w:rFonts w:ascii="Arial" w:cs="Arial" w:eastAsia="Arial" w:hAnsi="Arial"/>
        <w:color w:val="666666"/>
        <w:sz w:val="18"/>
        <w:szCs w:val="18"/>
      </w:rPr>
      <w:t xml:space="preserve">Blockchain, Digital Finance &amp; Agentic AI</w:t>
    </w:r>
    <w:r>
      <w:rPr>
        <w:rFonts w:ascii="Arial" w:cs="Arial" w:eastAsia="Arial" w:hAnsi="Arial"/>
        <w:i/>
        <w:iCs/>
        <w:color w:val="999999"/>
        <w:sz w:val="18"/>
        <w:szCs w:val="18"/>
      </w:rPr>
      <w:t xml:space="preserve">	Student Reference &amp; Discussion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2026-03-21T22:08:29.514Z</dcterms:created>
  <dcterms:modified xsi:type="dcterms:W3CDTF">2026-03-21T22:08:29.515Z</dcterms:modified>
</cp:coreProperties>
</file>

<file path=docProps/custom.xml><?xml version="1.0" encoding="utf-8"?>
<Properties xmlns="http://schemas.openxmlformats.org/officeDocument/2006/custom-properties" xmlns:vt="http://schemas.openxmlformats.org/officeDocument/2006/docPropsVTypes"/>
</file>