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4E79"/>
          <w:sz w:val="52"/>
          <w:szCs w:val="52"/>
        </w:rPr>
        <w:t xml:space="preserve">Blockchain Fundamentals &amp; the Emerging Digital Finance System</w:t>
      </w:r>
    </w:p>
    <w:p>
      <w:pPr>
        <w:spacing w:after="120"/>
        <w:jc w:val="center"/>
      </w:pPr>
      <w:r>
        <w:rPr>
          <w:rFonts w:ascii="Arial" w:cs="Arial" w:eastAsia="Arial" w:hAnsi="Arial"/>
          <w:i/>
          <w:iCs/>
          <w:color w:val="555555"/>
          <w:sz w:val="28"/>
          <w:szCs w:val="28"/>
        </w:rPr>
        <w:t xml:space="preserve">A Presentation Script for First-Year MBA Students</w:t>
      </w:r>
    </w:p>
    <w:p>
      <w:pPr>
        <w:spacing w:after="480"/>
        <w:jc w:val="center"/>
      </w:pPr>
      <w:r>
        <w:rPr>
          <w:rFonts w:ascii="Arial" w:cs="Arial" w:eastAsia="Arial" w:hAnsi="Arial"/>
          <w:color w:val="2E75B6"/>
          <w:sz w:val="24"/>
          <w:szCs w:val="24"/>
        </w:rPr>
        <w:t xml:space="preserve">Including the Convergence of Blockchain, DeFi, and Agentic AI</w:t>
      </w:r>
    </w:p>
    <w:p>
      <w:pPr>
        <w:pBdr>
          <w:bottom w:val="single" w:color="2E75B6" w:sz="6" w:space="1"/>
        </w:pBdr>
        <w:spacing w:before="120" w:after="120"/>
      </w:pPr>
    </w:p>
    <w:p>
      <w:pPr>
        <w:spacing w:before="240" w:after="120"/>
      </w:pPr>
      <w:r>
        <w:rPr>
          <w:rFonts w:ascii="Arial" w:cs="Arial" w:eastAsia="Arial" w:hAnsi="Arial"/>
          <w:b/>
          <w:bCs/>
          <w:color w:val="1F4E79"/>
          <w:sz w:val="24"/>
          <w:szCs w:val="24"/>
        </w:rPr>
        <w:t xml:space="preserve">How to Use This Script</w:t>
      </w:r>
    </w:p>
    <w:p>
      <w:pPr>
        <w:spacing w:after="120"/>
      </w:pPr>
      <w:r>
        <w:rPr>
          <w:rFonts w:ascii="Arial" w:cs="Arial" w:eastAsia="Arial" w:hAnsi="Arial"/>
          <w:sz w:val="22"/>
          <w:szCs w:val="22"/>
        </w:rPr>
        <w:t xml:space="preserve">This document is a full presenter script organized by section. Each section includes talking points, suggested transitions, and speaker notes in amber boxes. Audience engagement cues are marked [PAUSE] or [ASK]. Estimated total run time: 60–75 minutes.</w:t>
      </w:r>
    </w:p>
    <w:p>
      <w:pPr>
        <w:pBdr>
          <w:bottom w:val="single" w:color="2E75B6" w:sz="6" w:space="1"/>
        </w:pBdr>
        <w:spacing w:before="120" w:after="120"/>
      </w:pPr>
    </w:p>
    <w:p>
      <w:r>
        <w:br w:type="page"/>
      </w:r>
    </w:p>
    <w:p>
      <w:pPr>
        <w:pStyle w:val="Heading1"/>
      </w:pPr>
      <w:r>
        <w:rPr>
          <w:rFonts w:ascii="Arial" w:cs="Arial" w:eastAsia="Arial" w:hAnsi="Arial"/>
          <w:b/>
          <w:bCs/>
          <w:color w:val="1F4E79"/>
          <w:sz w:val="36"/>
          <w:szCs w:val="36"/>
        </w:rPr>
        <w:t xml:space="preserve">SECTION 1 — Opening: Why Does This Matter?</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Open with energy. The goal is to immediately establish stakes and relevance. Do NOT begin with definitions — begin with disruption.</w:t>
      </w:r>
    </w:p>
    <w:p>
      <w:pPr>
        <w:spacing w:after="120"/>
      </w:pPr>
      <w:r>
        <w:rPr>
          <w:rFonts w:ascii="Arial" w:cs="Arial" w:eastAsia="Arial" w:hAnsi="Arial"/>
          <w:sz w:val="22"/>
          <w:szCs w:val="22"/>
        </w:rPr>
        <w:t xml:space="preserve">The global financial system — the one that has governed commerce, credit, and trade for over a century — is in the early stages of being replaced. Not reformed. Not upgraded. Replaced.</w:t>
      </w:r>
    </w:p>
    <w:p>
      <w:pPr>
        <w:spacing w:after="120"/>
      </w:pPr>
      <w:r>
        <w:rPr>
          <w:rFonts w:ascii="Arial" w:cs="Arial" w:eastAsia="Arial" w:hAnsi="Arial"/>
          <w:sz w:val="22"/>
          <w:szCs w:val="22"/>
        </w:rPr>
        <w:t xml:space="preserve">You've heard the hype cycles, the crypto winters, the FTX collapse. You're right to be skeptical. But don't confuse the speculative excesses of an immature market with the underlying technology. The internet had its dot-com crash — and that didn't stop it from reshaping every industry on the planet.</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[FIRST PRINCIPLE]  </w:t>
      </w:r>
      <w:r>
        <w:rPr>
          <w:rFonts w:ascii="Arial" w:cs="Arial" w:eastAsia="Arial" w:hAnsi="Arial"/>
          <w:color w:val="222222"/>
          <w:sz w:val="20"/>
          <w:szCs w:val="20"/>
        </w:rPr>
        <w:t xml:space="preserve">Separate the technology from the speculation. They are not the same thing.</w:t>
      </w:r>
    </w:p>
    <w:p>
      <w:pPr>
        <w:pBdr>
          <w:left w:val="thick" w:color="1F4E79" w:sz="8" w:space="8"/>
        </w:pBdr>
        <w:shd w:fill="D6E4F0" w:val="clear"/>
        <w:spacing w:before="200" w:after="200"/>
        <w:ind w:left="360"/>
      </w:pPr>
      <w:r>
        <w:rPr>
          <w:rFonts w:ascii="Arial" w:cs="Arial" w:eastAsia="Arial" w:hAnsi="Arial"/>
          <w:b/>
          <w:bCs/>
          <w:color w:val="1F4E79"/>
          <w:sz w:val="22"/>
          <w:szCs w:val="22"/>
        </w:rPr>
        <w:t xml:space="preserve">Blockchain technology provides the infrastructure for a trustless, programmable, global financial system. When combined with the rapidly advancing capabilities of Generative AI and autonomous agents, it forms the foundation for an entirely new class of markets — markets that will not wait for incumbents to catch up.</w:t>
      </w:r>
    </w:p>
    <w:p>
      <w:pPr>
        <w:spacing w:after="120"/>
      </w:pPr>
      <w:r>
        <w:rPr>
          <w:rFonts w:ascii="Arial" w:cs="Arial" w:eastAsia="Arial" w:hAnsi="Arial"/>
          <w:sz w:val="22"/>
          <w:szCs w:val="22"/>
        </w:rPr>
        <w:t xml:space="preserve">We are going to cover all of this from first principles — not because I want you to trust me, but because I want you to be able to verify it yourselves.</w:t>
      </w:r>
    </w:p>
    <w:p>
      <w:pPr>
        <w:spacing w:before="200" w:after="200"/>
      </w:pPr>
      <w:r>
        <w:rPr>
          <w:rFonts w:ascii="Arial" w:cs="Arial" w:eastAsia="Arial" w:hAnsi="Arial"/>
          <w:b/>
          <w:bCs/>
          <w:i/>
          <w:iCs/>
          <w:color w:val="2E75B6"/>
          <w:sz w:val="20"/>
          <w:szCs w:val="20"/>
        </w:rPr>
        <w:t xml:space="preserve">→  What problem does blockchain actually solve? Start at the foundations.</w:t>
      </w:r>
    </w:p>
    <w:p>
      <w:r>
        <w:br w:type="page"/>
      </w:r>
    </w:p>
    <w:p>
      <w:pPr>
        <w:pStyle w:val="Heading1"/>
      </w:pPr>
      <w:r>
        <w:rPr>
          <w:rFonts w:ascii="Arial" w:cs="Arial" w:eastAsia="Arial" w:hAnsi="Arial"/>
          <w:b/>
          <w:bCs/>
          <w:color w:val="1F4E79"/>
          <w:sz w:val="36"/>
          <w:szCs w:val="36"/>
        </w:rPr>
        <w:t xml:space="preserve">SECTION 2 — The Problem Blockchain Solves: Trust</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This section builds intuition before introducing any technology. Anchor everything in economics and human behavior.</w:t>
      </w:r>
    </w:p>
    <w:p>
      <w:pPr>
        <w:pStyle w:val="Heading2"/>
      </w:pPr>
      <w:r>
        <w:rPr>
          <w:rFonts w:ascii="Arial" w:cs="Arial" w:eastAsia="Arial" w:hAnsi="Arial"/>
          <w:b/>
          <w:bCs/>
          <w:color w:val="2E75B6"/>
          <w:sz w:val="28"/>
          <w:szCs w:val="28"/>
        </w:rPr>
        <w:t xml:space="preserve">2.1 — What Is Money, from First Principles?</w:t>
      </w:r>
    </w:p>
    <w:p>
      <w:pPr>
        <w:spacing w:after="120"/>
      </w:pPr>
      <w:r>
        <w:rPr>
          <w:rFonts w:ascii="Arial" w:cs="Arial" w:eastAsia="Arial" w:hAnsi="Arial"/>
          <w:sz w:val="22"/>
          <w:szCs w:val="22"/>
        </w:rPr>
        <w:t xml:space="preserve">Let's go back to basics. Economists define money by three functions:</w:t>
      </w:r>
    </w:p>
    <w:p>
      <w:pPr>
        <w:pStyle w:val="ListParagraph"/>
        <w:numPr>
          <w:ilvl w:val="0"/>
          <w:numId w:val="2"/>
        </w:numPr>
        <w:spacing w:after="80"/>
      </w:pPr>
      <w:r>
        <w:rPr>
          <w:rFonts w:ascii="Arial" w:cs="Arial" w:eastAsia="Arial" w:hAnsi="Arial"/>
          <w:sz w:val="22"/>
          <w:szCs w:val="22"/>
        </w:rPr>
        <w:t xml:space="preserve">Medium of exchange — it facilitates transactions</w:t>
      </w:r>
    </w:p>
    <w:p>
      <w:pPr>
        <w:pStyle w:val="ListParagraph"/>
        <w:numPr>
          <w:ilvl w:val="0"/>
          <w:numId w:val="2"/>
        </w:numPr>
        <w:spacing w:after="80"/>
      </w:pPr>
      <w:r>
        <w:rPr>
          <w:rFonts w:ascii="Arial" w:cs="Arial" w:eastAsia="Arial" w:hAnsi="Arial"/>
          <w:sz w:val="22"/>
          <w:szCs w:val="22"/>
        </w:rPr>
        <w:t xml:space="preserve">Unit of account — it measures the relative value of goods and services</w:t>
      </w:r>
    </w:p>
    <w:p>
      <w:pPr>
        <w:pStyle w:val="ListParagraph"/>
        <w:numPr>
          <w:ilvl w:val="0"/>
          <w:numId w:val="2"/>
        </w:numPr>
        <w:spacing w:after="80"/>
      </w:pPr>
      <w:r>
        <w:rPr>
          <w:rFonts w:ascii="Arial" w:cs="Arial" w:eastAsia="Arial" w:hAnsi="Arial"/>
          <w:sz w:val="22"/>
          <w:szCs w:val="22"/>
        </w:rPr>
        <w:t xml:space="preserve">Store of value — it preserves purchasing power over time</w:t>
      </w:r>
    </w:p>
    <w:p>
      <w:pPr>
        <w:spacing w:after="120"/>
      </w:pPr>
      <w:r>
        <w:rPr>
          <w:rFonts w:ascii="Arial" w:cs="Arial" w:eastAsia="Arial" w:hAnsi="Arial"/>
          <w:sz w:val="22"/>
          <w:szCs w:val="22"/>
        </w:rPr>
        <w:t xml:space="preserve">Gold satisfied all three. Paper dollars satisfy all three. So do seashells, historically. The material doesn't define money — the social agreement does.</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[ASK THE ROOM]  </w:t>
      </w:r>
      <w:r>
        <w:rPr>
          <w:rFonts w:ascii="Arial" w:cs="Arial" w:eastAsia="Arial" w:hAnsi="Arial"/>
          <w:color w:val="222222"/>
          <w:sz w:val="20"/>
          <w:szCs w:val="20"/>
        </w:rPr>
        <w:t xml:space="preserve">What makes one form of money better than another? What would you want your money to do that the dollar doesn't?</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Give the room 30 seconds. You'll typically hear: 'not inflate,' 'not be frozen,' 'work internationally.' These are exactly the properties that lead to Bitcoin. Let the students surface the answer.</w:t>
      </w:r>
    </w:p>
    <w:p>
      <w:pPr>
        <w:pStyle w:val="Heading2"/>
      </w:pPr>
      <w:r>
        <w:rPr>
          <w:rFonts w:ascii="Arial" w:cs="Arial" w:eastAsia="Arial" w:hAnsi="Arial"/>
          <w:b/>
          <w:bCs/>
          <w:color w:val="2E75B6"/>
          <w:sz w:val="28"/>
          <w:szCs w:val="28"/>
        </w:rPr>
        <w:t xml:space="preserve">2.2 — Hard Money vs. Soft Money</w:t>
      </w:r>
    </w:p>
    <w:p>
      <w:pPr>
        <w:spacing w:after="120"/>
      </w:pPr>
      <w:r>
        <w:rPr>
          <w:rFonts w:ascii="Arial" w:cs="Arial" w:eastAsia="Arial" w:hAnsi="Arial"/>
          <w:sz w:val="22"/>
          <w:szCs w:val="22"/>
        </w:rPr>
        <w:t xml:space="preserve">Economists make an important distinction between 'hard' and 'soft' money. Hard money has four key properties:</w:t>
      </w:r>
    </w:p>
    <w:p>
      <w:pPr>
        <w:pStyle w:val="ListParagraph"/>
        <w:numPr>
          <w:ilvl w:val="0"/>
          <w:numId w:val="2"/>
        </w:numPr>
        <w:spacing w:after="80"/>
      </w:pPr>
      <w:r>
        <w:rPr>
          <w:rFonts w:ascii="Arial" w:cs="Arial" w:eastAsia="Arial" w:hAnsi="Arial"/>
          <w:sz w:val="22"/>
          <w:szCs w:val="22"/>
        </w:rPr>
        <w:t xml:space="preserve">Difficult to obtain and produce — it cannot be created at will</w:t>
      </w:r>
    </w:p>
    <w:p>
      <w:pPr>
        <w:pStyle w:val="ListParagraph"/>
        <w:numPr>
          <w:ilvl w:val="0"/>
          <w:numId w:val="2"/>
        </w:numPr>
        <w:spacing w:after="80"/>
      </w:pPr>
      <w:r>
        <w:rPr>
          <w:rFonts w:ascii="Arial" w:cs="Arial" w:eastAsia="Arial" w:hAnsi="Arial"/>
          <w:sz w:val="22"/>
          <w:szCs w:val="22"/>
        </w:rPr>
        <w:t xml:space="preserve">Holds value through time — not subject to arbitrary dilution</w:t>
      </w:r>
    </w:p>
    <w:p>
      <w:pPr>
        <w:pStyle w:val="ListParagraph"/>
        <w:numPr>
          <w:ilvl w:val="0"/>
          <w:numId w:val="2"/>
        </w:numPr>
        <w:spacing w:after="80"/>
      </w:pPr>
      <w:r>
        <w:rPr>
          <w:rFonts w:ascii="Arial" w:cs="Arial" w:eastAsia="Arial" w:hAnsi="Arial"/>
          <w:sz w:val="22"/>
          <w:szCs w:val="22"/>
        </w:rPr>
        <w:t xml:space="preserve">Limited in total supply — scarcity is enforced, not promised</w:t>
      </w:r>
    </w:p>
    <w:p>
      <w:pPr>
        <w:pStyle w:val="ListParagraph"/>
        <w:numPr>
          <w:ilvl w:val="0"/>
          <w:numId w:val="2"/>
        </w:numPr>
        <w:spacing w:after="80"/>
      </w:pPr>
      <w:r>
        <w:rPr>
          <w:rFonts w:ascii="Arial" w:cs="Arial" w:eastAsia="Arial" w:hAnsi="Arial"/>
          <w:sz w:val="22"/>
          <w:szCs w:val="22"/>
        </w:rPr>
        <w:t xml:space="preserve">Easily divisible and transferable — practical for real transactions</w:t>
      </w:r>
    </w:p>
    <w:p>
      <w:pPr>
        <w:spacing w:after="120"/>
      </w:pPr>
      <w:r>
        <w:rPr>
          <w:rFonts w:ascii="Arial" w:cs="Arial" w:eastAsia="Arial" w:hAnsi="Arial"/>
          <w:sz w:val="22"/>
          <w:szCs w:val="22"/>
        </w:rPr>
        <w:t xml:space="preserve">Gold scores very well on these measures. Fiat currency — the dollar, euro, yen — does not.</w:t>
      </w:r>
    </w:p>
    <w:p>
      <w:pPr>
        <w:spacing w:before="200" w:after="200"/>
      </w:pPr>
      <w:r>
        <w:rPr>
          <w:rFonts w:ascii="Arial" w:cs="Arial" w:eastAsia="Arial" w:hAnsi="Arial"/>
          <w:b/>
          <w:bCs/>
          <w:i/>
          <w:iCs/>
          <w:color w:val="2E75B6"/>
          <w:sz w:val="20"/>
          <w:szCs w:val="20"/>
        </w:rPr>
        <w:t xml:space="preserve">→  So how did we get here? Let's trace the evolution quickly.</w:t>
      </w:r>
    </w:p>
    <w:p>
      <w:pPr>
        <w:pStyle w:val="Heading2"/>
      </w:pPr>
      <w:r>
        <w:rPr>
          <w:rFonts w:ascii="Arial" w:cs="Arial" w:eastAsia="Arial" w:hAnsi="Arial"/>
          <w:b/>
          <w:bCs/>
          <w:color w:val="2E75B6"/>
          <w:sz w:val="28"/>
          <w:szCs w:val="28"/>
        </w:rPr>
        <w:t xml:space="preserve">2.3 — A Brief History of Money</w:t>
      </w:r>
    </w:p>
    <w:p>
      <w:pPr>
        <w:spacing w:after="120"/>
      </w:pPr>
      <w:r>
        <w:rPr>
          <w:rFonts w:ascii="Arial" w:cs="Arial" w:eastAsia="Arial" w:hAnsi="Arial"/>
          <w:sz w:val="22"/>
          <w:szCs w:val="22"/>
        </w:rPr>
        <w:t xml:space="preserve">For thousands of years, gold and silver were the dominant global money — hard, scarce, universally recognized. In 1863, the US introduced Gold Certificates: paper notes redeemable for physical gold. Portable, divisible — but now you had to trust the issuer.</w:t>
      </w:r>
    </w:p>
    <w:p>
      <w:pPr>
        <w:spacing w:after="120"/>
      </w:pPr>
      <w:r>
        <w:rPr>
          <w:rFonts w:ascii="Arial" w:cs="Arial" w:eastAsia="Arial" w:hAnsi="Arial"/>
          <w:sz w:val="22"/>
          <w:szCs w:val="22"/>
        </w:rPr>
        <w:t xml:space="preserve">Compare a 1928 $100 bill — 'One hundred dollars in gold coin payable to the bearer on demand' — to a 2004 $20 bill: 'This note is legal tender for all debts, public and private.' No promise. No backing. In 1971, Nixon ended the gold standard. The fiat era began.</w:t>
      </w:r>
    </w:p>
    <w:p>
      <w:pPr>
        <w:pStyle w:val="Heading2"/>
      </w:pPr>
      <w:r>
        <w:rPr>
          <w:rFonts w:ascii="Arial" w:cs="Arial" w:eastAsia="Arial" w:hAnsi="Arial"/>
          <w:b/>
          <w:bCs/>
          <w:color w:val="2E75B6"/>
          <w:sz w:val="28"/>
          <w:szCs w:val="28"/>
        </w:rPr>
        <w:t xml:space="preserve">2.4 — The Problems with Fiat and Fractional Reserve Banking</w:t>
      </w:r>
    </w:p>
    <w:p>
      <w:pPr>
        <w:spacing w:after="120"/>
      </w:pPr>
      <w:r>
        <w:rPr>
          <w:rFonts w:ascii="Arial" w:cs="Arial" w:eastAsia="Arial" w:hAnsi="Arial"/>
          <w:sz w:val="22"/>
          <w:szCs w:val="22"/>
        </w:rPr>
        <w:t xml:space="preserve">Structural consequences of a fiat system managed through centralized banks:</w:t>
      </w:r>
    </w:p>
    <w:p>
      <w:pPr>
        <w:pStyle w:val="ListParagraph"/>
        <w:numPr>
          <w:ilvl w:val="0"/>
          <w:numId w:val="2"/>
        </w:numPr>
        <w:spacing w:after="80"/>
      </w:pPr>
      <w:r>
        <w:rPr>
          <w:rFonts w:ascii="Arial" w:cs="Arial" w:eastAsia="Arial" w:hAnsi="Arial"/>
          <w:sz w:val="22"/>
          <w:szCs w:val="22"/>
        </w:rPr>
        <w:t xml:space="preserve">Unlimited money creation: since 2020, roughly 40% of all US dollars in circulation were newly printed.</w:t>
      </w:r>
    </w:p>
    <w:p>
      <w:pPr>
        <w:pStyle w:val="ListParagraph"/>
        <w:numPr>
          <w:ilvl w:val="0"/>
          <w:numId w:val="2"/>
        </w:numPr>
        <w:spacing w:after="80"/>
      </w:pPr>
      <w:r>
        <w:rPr>
          <w:rFonts w:ascii="Arial" w:cs="Arial" w:eastAsia="Arial" w:hAnsi="Arial"/>
          <w:sz w:val="22"/>
          <w:szCs w:val="22"/>
        </w:rPr>
        <w:t xml:space="preserve">Fractional reserve lending: banks hold only a fraction of deposits and lend out the rest, creating $10,000 of circulating money from a $1,000 deposit. Systemic fragility is the design, not the bug.</w:t>
      </w:r>
    </w:p>
    <w:p>
      <w:pPr>
        <w:pStyle w:val="ListParagraph"/>
        <w:numPr>
          <w:ilvl w:val="0"/>
          <w:numId w:val="2"/>
        </w:numPr>
        <w:spacing w:after="80"/>
      </w:pPr>
      <w:r>
        <w:rPr>
          <w:rFonts w:ascii="Arial" w:cs="Arial" w:eastAsia="Arial" w:hAnsi="Arial"/>
          <w:sz w:val="22"/>
          <w:szCs w:val="22"/>
        </w:rPr>
        <w:t xml:space="preserve">Single points of failure: bank runs (2008, SVB 2023), account freezes, and government asset seizures are features of a trust-dependent system.</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[KEY INSIGHT]  </w:t>
      </w:r>
      <w:r>
        <w:rPr>
          <w:rFonts w:ascii="Arial" w:cs="Arial" w:eastAsia="Arial" w:hAnsi="Arial"/>
          <w:color w:val="222222"/>
          <w:sz w:val="20"/>
          <w:szCs w:val="20"/>
        </w:rPr>
        <w:t xml:space="preserve">Every layer of the traditional financial system introduces counterparty risk — the risk that someone you depend on will fail to perform.</w:t>
      </w:r>
    </w:p>
    <w:p>
      <w:pPr>
        <w:spacing w:after="120"/>
      </w:pPr>
      <w:r>
        <w:rPr>
          <w:rFonts w:ascii="Arial" w:cs="Arial" w:eastAsia="Arial" w:hAnsi="Arial"/>
          <w:sz w:val="22"/>
          <w:szCs w:val="22"/>
        </w:rPr>
        <w:t xml:space="preserve">The principle this leads us to, borrowed from the world of cryptography, is one you should internalize today:</w:t>
      </w:r>
    </w:p>
    <w:p>
      <w:pPr>
        <w:spacing w:before="200" w:after="200"/>
        <w:jc w:val="center"/>
      </w:pPr>
      <w:r>
        <w:rPr>
          <w:rFonts w:ascii="Arial" w:cs="Arial" w:eastAsia="Arial" w:hAnsi="Arial"/>
          <w:b/>
          <w:bCs/>
          <w:i/>
          <w:iCs/>
          <w:color w:val="1F4E79"/>
          <w:sz w:val="28"/>
          <w:szCs w:val="28"/>
        </w:rPr>
        <w:t xml:space="preserve">"Don't Trust — Verify."</w:t>
      </w:r>
    </w:p>
    <w:p>
      <w:pPr>
        <w:spacing w:before="200" w:after="200"/>
      </w:pPr>
      <w:r>
        <w:rPr>
          <w:rFonts w:ascii="Arial" w:cs="Arial" w:eastAsia="Arial" w:hAnsi="Arial"/>
          <w:b/>
          <w:bCs/>
          <w:i/>
          <w:iCs/>
          <w:color w:val="2E75B6"/>
          <w:sz w:val="20"/>
          <w:szCs w:val="20"/>
        </w:rPr>
        <w:t xml:space="preserve">→  What would a trustless financial system look like? That's exactly what Satoshi Nakamoto set out to build in 2008.</w:t>
      </w:r>
    </w:p>
    <w:p>
      <w:r>
        <w:br w:type="page"/>
      </w:r>
    </w:p>
    <w:p>
      <w:pPr>
        <w:pStyle w:val="Heading1"/>
      </w:pPr>
      <w:r>
        <w:rPr>
          <w:rFonts w:ascii="Arial" w:cs="Arial" w:eastAsia="Arial" w:hAnsi="Arial"/>
          <w:b/>
          <w:bCs/>
          <w:color w:val="1F4E79"/>
          <w:sz w:val="36"/>
          <w:szCs w:val="36"/>
        </w:rPr>
        <w:t xml:space="preserve">SECTION 3 — How Blockchain Solves the Problem: Six Fundamental Concepts</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This is the technical core. Keep it grounded in the business problem — double spending — not in implementation detail. MBA students don't need to run a node; they need to understand the incentive architecture.</w:t>
      </w:r>
    </w:p>
    <w:p>
      <w:pPr>
        <w:pStyle w:val="Heading2"/>
      </w:pPr>
      <w:r>
        <w:rPr>
          <w:rFonts w:ascii="Arial" w:cs="Arial" w:eastAsia="Arial" w:hAnsi="Arial"/>
          <w:b/>
          <w:bCs/>
          <w:color w:val="2E75B6"/>
          <w:sz w:val="28"/>
          <w:szCs w:val="28"/>
        </w:rPr>
        <w:t xml:space="preserve">3.1 — The Double Spending Problem</w:t>
      </w:r>
    </w:p>
    <w:p>
      <w:pPr>
        <w:spacing w:after="120"/>
      </w:pPr>
      <w:r>
        <w:rPr>
          <w:rFonts w:ascii="Arial" w:cs="Arial" w:eastAsia="Arial" w:hAnsi="Arial"/>
          <w:sz w:val="22"/>
          <w:szCs w:val="22"/>
        </w:rPr>
        <w:t xml:space="preserve">Digital files copy perfectly, at zero cost. If I send you a digital coin, I still have it — I can spend it again. This is the double-spending problem. Every prior attempt at digital money failed here because the only fix was a trusted central authority maintaining authoritative records.</w:t>
      </w:r>
    </w:p>
    <w:p>
      <w:pPr>
        <w:spacing w:after="120"/>
      </w:pPr>
      <w:r>
        <w:rPr>
          <w:rFonts w:ascii="Arial" w:cs="Arial" w:eastAsia="Arial" w:hAnsi="Arial"/>
          <w:sz w:val="22"/>
          <w:szCs w:val="22"/>
        </w:rPr>
        <w:t xml:space="preserve">Bitcoin solved this for the first time without any trusted third party.</w:t>
      </w:r>
    </w:p>
    <w:p>
      <w:pPr>
        <w:pStyle w:val="Heading2"/>
      </w:pPr>
      <w:r>
        <w:rPr>
          <w:rFonts w:ascii="Arial" w:cs="Arial" w:eastAsia="Arial" w:hAnsi="Arial"/>
          <w:b/>
          <w:bCs/>
          <w:color w:val="2E75B6"/>
          <w:sz w:val="28"/>
          <w:szCs w:val="28"/>
        </w:rPr>
        <w:t xml:space="preserve">3.2 — The Six Concepts</w:t>
      </w:r>
    </w:p>
    <w:p>
      <w:pPr>
        <w:pStyle w:val="Heading3"/>
      </w:pPr>
      <w:r>
        <w:rPr>
          <w:rFonts w:ascii="Arial" w:cs="Arial" w:eastAsia="Arial" w:hAnsi="Arial"/>
          <w:b/>
          <w:bCs/>
          <w:color w:val="444444"/>
          <w:sz w:val="24"/>
          <w:szCs w:val="24"/>
        </w:rPr>
        <w:t xml:space="preserve">1. The Double Spending Problem (Defined)</w:t>
      </w:r>
    </w:p>
    <w:p>
      <w:pPr>
        <w:spacing w:after="120"/>
      </w:pPr>
      <w:r>
        <w:rPr>
          <w:rFonts w:ascii="Arial" w:cs="Arial" w:eastAsia="Arial" w:hAnsi="Arial"/>
          <w:sz w:val="22"/>
          <w:szCs w:val="22"/>
        </w:rPr>
        <w:t xml:space="preserve">Previous digital currencies — Bit Gold, eCash — relied on centralized servers to prevent double spending. Remove the server and the system collapses. Bitcoin's task: make the server unnecessary.</w:t>
      </w:r>
    </w:p>
    <w:p>
      <w:pPr>
        <w:pStyle w:val="Heading3"/>
      </w:pPr>
      <w:r>
        <w:rPr>
          <w:rFonts w:ascii="Arial" w:cs="Arial" w:eastAsia="Arial" w:hAnsi="Arial"/>
          <w:b/>
          <w:bCs/>
          <w:color w:val="444444"/>
          <w:sz w:val="24"/>
          <w:szCs w:val="24"/>
        </w:rPr>
        <w:t xml:space="preserve">2. The Public Ledger</w:t>
      </w:r>
    </w:p>
    <w:p>
      <w:pPr>
        <w:spacing w:after="120"/>
      </w:pPr>
      <w:r>
        <w:rPr>
          <w:rFonts w:ascii="Arial" w:cs="Arial" w:eastAsia="Arial" w:hAnsi="Arial"/>
          <w:sz w:val="22"/>
          <w:szCs w:val="22"/>
        </w:rPr>
        <w:t xml:space="preserve">Every Bitcoin transaction ever made is recorded in a public ledger visible to anyone on Earth. New blocks are added every ~10 minutes. Once written, data cannot be altered without rewriting every subsequent block — requiring control of more than half the network's computing power. Immutability eliminates the trusted record-keeper.</w:t>
      </w:r>
    </w:p>
    <w:p>
      <w:pPr>
        <w:pStyle w:val="Heading3"/>
      </w:pPr>
      <w:r>
        <w:rPr>
          <w:rFonts w:ascii="Arial" w:cs="Arial" w:eastAsia="Arial" w:hAnsi="Arial"/>
          <w:b/>
          <w:bCs/>
          <w:color w:val="444444"/>
          <w:sz w:val="24"/>
          <w:szCs w:val="24"/>
        </w:rPr>
        <w:t xml:space="preserve">3. Consensus — Proof of Work</w:t>
      </w:r>
    </w:p>
    <w:p>
      <w:pPr>
        <w:spacing w:after="120"/>
      </w:pPr>
      <w:r>
        <w:rPr>
          <w:rFonts w:ascii="Arial" w:cs="Arial" w:eastAsia="Arial" w:hAnsi="Arial"/>
          <w:sz w:val="22"/>
          <w:szCs w:val="22"/>
        </w:rPr>
        <w:t xml:space="preserve">Miners expend real electricity competing to solve a cryptographic puzzle. The winner appends the next block and earns newly created bitcoin. The energy cost is the point: Bitcoin cannot be copy-pasted into existence. The physical world anchors the digital asset.</w:t>
      </w:r>
    </w:p>
    <w:p>
      <w:pPr>
        <w:pStyle w:val="ListParagraph"/>
        <w:numPr>
          <w:ilvl w:val="1"/>
          <w:numId w:val="2"/>
        </w:numPr>
        <w:spacing w:after="80"/>
      </w:pPr>
      <w:r>
        <w:rPr>
          <w:rFonts w:ascii="Arial" w:cs="Arial" w:eastAsia="Arial" w:hAnsi="Arial"/>
          <w:sz w:val="22"/>
          <w:szCs w:val="22"/>
        </w:rPr>
        <w:t xml:space="preserve">Current block reward: 3.125 BTC (post-April 2024 halving). Halves every ~4 years until ~2140.</w:t>
      </w:r>
    </w:p>
    <w:p>
      <w:pPr>
        <w:pStyle w:val="Heading3"/>
      </w:pPr>
      <w:r>
        <w:rPr>
          <w:rFonts w:ascii="Arial" w:cs="Arial" w:eastAsia="Arial" w:hAnsi="Arial"/>
          <w:b/>
          <w:bCs/>
          <w:color w:val="444444"/>
          <w:sz w:val="24"/>
          <w:szCs w:val="24"/>
        </w:rPr>
        <w:t xml:space="preserve">4. Decentralization</w:t>
      </w:r>
    </w:p>
    <w:p>
      <w:pPr>
        <w:spacing w:after="120"/>
      </w:pPr>
      <w:r>
        <w:rPr>
          <w:rFonts w:ascii="Arial" w:cs="Arial" w:eastAsia="Arial" w:hAnsi="Arial"/>
          <w:sz w:val="22"/>
          <w:szCs w:val="22"/>
        </w:rPr>
        <w:t xml:space="preserve">No single entity controls Bitcoin. Tens of thousands of independent nodes worldwide verify every miner follows the rules. No CEO, no headquarters, no off switch. Satoshi Nakamoto deliberately disappeared after launch — leaving a system with no leader and no one to coerce.</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[BUSINESS IMPLICATION]  </w:t>
      </w:r>
      <w:r>
        <w:rPr>
          <w:rFonts w:ascii="Arial" w:cs="Arial" w:eastAsia="Arial" w:hAnsi="Arial"/>
          <w:color w:val="222222"/>
          <w:sz w:val="20"/>
          <w:szCs w:val="20"/>
        </w:rPr>
        <w:t xml:space="preserve">No single point of failure. This is not a feature — it is the entire design philosophy.</w:t>
      </w:r>
    </w:p>
    <w:p>
      <w:pPr>
        <w:pStyle w:val="Heading3"/>
      </w:pPr>
      <w:r>
        <w:rPr>
          <w:rFonts w:ascii="Arial" w:cs="Arial" w:eastAsia="Arial" w:hAnsi="Arial"/>
          <w:b/>
          <w:bCs/>
          <w:color w:val="444444"/>
          <w:sz w:val="24"/>
          <w:szCs w:val="24"/>
        </w:rPr>
        <w:t xml:space="preserve">5. Scarcity — Absolute and Mathematically Enforced</w:t>
      </w:r>
    </w:p>
    <w:p>
      <w:pPr>
        <w:spacing w:after="120"/>
      </w:pPr>
      <w:r>
        <w:rPr>
          <w:rFonts w:ascii="Arial" w:cs="Arial" w:eastAsia="Arial" w:hAnsi="Arial"/>
          <w:sz w:val="22"/>
          <w:szCs w:val="22"/>
        </w:rPr>
        <w:t xml:space="preserve">Total supply: exactly 21 million coins, enforced by protocol. Each coin divides into 100 million satoshis (2.1 quadrillion units total). Changing the cap would require every network participant to vote to dilute their own holdings — an essentially impossible coordination attack. The dollar has no supply cap. Bitcoin does.</w:t>
      </w:r>
    </w:p>
    <w:p>
      <w:pPr>
        <w:pStyle w:val="Heading3"/>
      </w:pPr>
      <w:r>
        <w:rPr>
          <w:rFonts w:ascii="Arial" w:cs="Arial" w:eastAsia="Arial" w:hAnsi="Arial"/>
          <w:b/>
          <w:bCs/>
          <w:color w:val="444444"/>
          <w:sz w:val="24"/>
          <w:szCs w:val="24"/>
        </w:rPr>
        <w:t xml:space="preserve">6. Cryptographic Signatures — Digital Identity and Ownership</w:t>
      </w:r>
    </w:p>
    <w:p>
      <w:pPr>
        <w:spacing w:after="120"/>
      </w:pPr>
      <w:r>
        <w:rPr>
          <w:rFonts w:ascii="Arial" w:cs="Arial" w:eastAsia="Arial" w:hAnsi="Arial"/>
          <w:sz w:val="22"/>
          <w:szCs w:val="22"/>
        </w:rPr>
        <w:t xml:space="preserve">You don't hold bitcoin — you hold a private key (typically a 12- or 24-word seed phrase). Whoever holds the key controls the coins. No custodian, no institution, no permission required. Unlike a bank deposit — legally a loan to your bank — self-custodied bitcoin cannot be frozen or confiscated by any external party.</w:t>
      </w:r>
    </w:p>
    <w:p>
      <w:pPr>
        <w:pStyle w:val="Heading2"/>
      </w:pPr>
      <w:r>
        <w:rPr>
          <w:rFonts w:ascii="Arial" w:cs="Arial" w:eastAsia="Arial" w:hAnsi="Arial"/>
          <w:b/>
          <w:bCs/>
          <w:color w:val="2E75B6"/>
          <w:sz w:val="28"/>
          <w:szCs w:val="28"/>
        </w:rPr>
        <w:t xml:space="preserve">3.3 — How the Six Concepts Work Together</w:t>
      </w:r>
    </w:p>
    <w:p>
      <w:pPr>
        <w:spacing w:after="120"/>
      </w:pPr>
      <w:r>
        <w:rPr>
          <w:rFonts w:ascii="Arial" w:cs="Arial" w:eastAsia="Arial" w:hAnsi="Arial"/>
          <w:sz w:val="22"/>
          <w:szCs w:val="22"/>
        </w:rPr>
        <w:t xml:space="preserve">These six components interlock so that cheating is not merely illegal — it is economically irrational and computationally infeasible:</w:t>
      </w:r>
    </w:p>
    <w:p>
      <w:pPr>
        <w:pStyle w:val="ListParagraph"/>
        <w:numPr>
          <w:ilvl w:val="0"/>
          <w:numId w:val="2"/>
        </w:numPr>
        <w:spacing w:after="80"/>
      </w:pPr>
      <w:r>
        <w:rPr>
          <w:rFonts w:ascii="Arial" w:cs="Arial" w:eastAsia="Arial" w:hAnsi="Arial"/>
          <w:sz w:val="22"/>
          <w:szCs w:val="22"/>
        </w:rPr>
        <w:t xml:space="preserve">Digital signatures prove ownership without any trusted authority</w:t>
      </w:r>
    </w:p>
    <w:p>
      <w:pPr>
        <w:pStyle w:val="ListParagraph"/>
        <w:numPr>
          <w:ilvl w:val="0"/>
          <w:numId w:val="2"/>
        </w:numPr>
        <w:spacing w:after="80"/>
      </w:pPr>
      <w:r>
        <w:rPr>
          <w:rFonts w:ascii="Arial" w:cs="Arial" w:eastAsia="Arial" w:hAnsi="Arial"/>
          <w:sz w:val="22"/>
          <w:szCs w:val="22"/>
        </w:rPr>
        <w:t xml:space="preserve">The public ledger records every transaction permanently and transparently</w:t>
      </w:r>
    </w:p>
    <w:p>
      <w:pPr>
        <w:pStyle w:val="ListParagraph"/>
        <w:numPr>
          <w:ilvl w:val="0"/>
          <w:numId w:val="2"/>
        </w:numPr>
        <w:spacing w:after="80"/>
      </w:pPr>
      <w:r>
        <w:rPr>
          <w:rFonts w:ascii="Arial" w:cs="Arial" w:eastAsia="Arial" w:hAnsi="Arial"/>
          <w:sz w:val="22"/>
          <w:szCs w:val="22"/>
        </w:rPr>
        <w:t xml:space="preserve">Decentralized nodes verify all rules — no exceptions</w:t>
      </w:r>
    </w:p>
    <w:p>
      <w:pPr>
        <w:pStyle w:val="ListParagraph"/>
        <w:numPr>
          <w:ilvl w:val="0"/>
          <w:numId w:val="2"/>
        </w:numPr>
        <w:spacing w:after="80"/>
      </w:pPr>
      <w:r>
        <w:rPr>
          <w:rFonts w:ascii="Arial" w:cs="Arial" w:eastAsia="Arial" w:hAnsi="Arial"/>
          <w:sz w:val="22"/>
          <w:szCs w:val="22"/>
        </w:rPr>
        <w:t xml:space="preserve">Proof of Work makes falsifying transactions prohibitively expensive</w:t>
      </w:r>
    </w:p>
    <w:p>
      <w:pPr>
        <w:pStyle w:val="ListParagraph"/>
        <w:numPr>
          <w:ilvl w:val="0"/>
          <w:numId w:val="2"/>
        </w:numPr>
        <w:spacing w:after="80"/>
      </w:pPr>
      <w:r>
        <w:rPr>
          <w:rFonts w:ascii="Arial" w:cs="Arial" w:eastAsia="Arial" w:hAnsi="Arial"/>
          <w:sz w:val="22"/>
          <w:szCs w:val="22"/>
        </w:rPr>
        <w:t xml:space="preserve">Scarcity prevents dilution</w:t>
      </w:r>
    </w:p>
    <w:p>
      <w:pPr>
        <w:spacing w:after="120"/>
      </w:pPr>
      <w:r>
        <w:rPr>
          <w:rFonts w:ascii="Arial" w:cs="Arial" w:eastAsia="Arial" w:hAnsi="Arial"/>
          <w:sz w:val="22"/>
          <w:szCs w:val="22"/>
        </w:rPr>
        <w:t xml:space="preserve">The result: digital money harder than gold, more portable than cash, more transparent than any bank.</w:t>
      </w:r>
    </w:p>
    <w:p>
      <w:pPr>
        <w:spacing w:before="200" w:after="200"/>
      </w:pPr>
      <w:r>
        <w:rPr>
          <w:rFonts w:ascii="Arial" w:cs="Arial" w:eastAsia="Arial" w:hAnsi="Arial"/>
          <w:b/>
          <w:bCs/>
          <w:i/>
          <w:iCs/>
          <w:color w:val="2E75B6"/>
          <w:sz w:val="20"/>
          <w:szCs w:val="20"/>
        </w:rPr>
        <w:t xml:space="preserve">→  Bitcoin has a deliberate constraint on throughput. Understanding why — and how it's solved — takes two minutes.</w:t>
      </w:r>
    </w:p>
    <w:p>
      <w:r>
        <w:br w:type="page"/>
      </w:r>
    </w:p>
    <w:p>
      <w:pPr>
        <w:pStyle w:val="Heading1"/>
      </w:pPr>
      <w:r>
        <w:rPr>
          <w:rFonts w:ascii="Arial" w:cs="Arial" w:eastAsia="Arial" w:hAnsi="Arial"/>
          <w:b/>
          <w:bCs/>
          <w:color w:val="1F4E79"/>
          <w:sz w:val="36"/>
          <w:szCs w:val="36"/>
        </w:rPr>
        <w:t xml:space="preserve">SECTION 3.4 — Protocol Layers and the Blockchain Scaling Problem</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Keep this to 2-3 minutes. The goal is to pre-empt the 'but Bitcoin is slow' objection before it comes up. Read through the bullets, draw the TCP/IP analogy, and move on. Students can dig into the detail in the appendix Q&amp;A.</w:t>
      </w:r>
    </w:p>
    <w:p>
      <w:pPr>
        <w:spacing w:after="120"/>
      </w:pPr>
      <w:r>
        <w:rPr>
          <w:rFonts w:ascii="Arial" w:cs="Arial" w:eastAsia="Arial" w:hAnsi="Arial"/>
          <w:sz w:val="22"/>
          <w:szCs w:val="22"/>
        </w:rPr>
        <w:t xml:space="preserve">The most common criticism of Bitcoin — 'it only does 7 transactions per second, Visa does 24,000' — is a category error. Here is why, in five points:</w:t>
      </w:r>
    </w:p>
    <w:p>
      <w:pPr>
        <w:pStyle w:val="ListParagraph"/>
        <w:numPr>
          <w:ilvl w:val="0"/>
          <w:numId w:val="2"/>
        </w:numPr>
        <w:spacing w:after="80"/>
      </w:pPr>
      <w:r>
        <w:rPr>
          <w:rFonts w:ascii="Arial" w:cs="Arial" w:eastAsia="Arial" w:hAnsi="Arial"/>
          <w:sz w:val="22"/>
          <w:szCs w:val="22"/>
        </w:rPr>
        <w:t xml:space="preserve">The Blockchain Trilemma: any decentralized network can optimize for at most two of three properties — decentralization, security, and scalability. Bitcoin deliberately chose the first two and accepts low base-layer throughput as the cost. Every blockchain makes this trade-off explicitly.</w:t>
      </w:r>
    </w:p>
    <w:p>
      <w:pPr>
        <w:pStyle w:val="ListParagraph"/>
        <w:numPr>
          <w:ilvl w:val="0"/>
          <w:numId w:val="2"/>
        </w:numPr>
        <w:spacing w:after="80"/>
      </w:pPr>
      <w:r>
        <w:rPr>
          <w:rFonts w:ascii="Arial" w:cs="Arial" w:eastAsia="Arial" w:hAnsi="Arial"/>
          <w:sz w:val="22"/>
          <w:szCs w:val="22"/>
        </w:rPr>
        <w:t xml:space="preserve">Bitcoin is not trying to be Visa. It is the global settlement layer — the final, tamper-proof record of who owns what. Visa reconciles transactions internally and settles with banks later. Bitcoin settles once, permanently, on a public ledger no entity controls. These are different functions, not competing products.</w:t>
      </w:r>
    </w:p>
    <w:p>
      <w:pPr>
        <w:pStyle w:val="ListParagraph"/>
        <w:numPr>
          <w:ilvl w:val="0"/>
          <w:numId w:val="2"/>
        </w:numPr>
        <w:spacing w:after="80"/>
      </w:pPr>
      <w:r>
        <w:rPr>
          <w:rFonts w:ascii="Arial" w:cs="Arial" w:eastAsia="Arial" w:hAnsi="Arial"/>
          <w:sz w:val="22"/>
          <w:szCs w:val="22"/>
        </w:rPr>
        <w:t xml:space="preserve">The internet solved the same problem by building in layers — TCP/IP unchanged since the 1970s, with HTTP, applications, and CDNs handling all the scale above it. Bitcoin follows the same architecture. The base layer stays simple and secure; speed lives in layers above.</w:t>
      </w:r>
    </w:p>
    <w:p>
      <w:pPr>
        <w:pStyle w:val="ListParagraph"/>
        <w:numPr>
          <w:ilvl w:val="0"/>
          <w:numId w:val="2"/>
        </w:numPr>
        <w:spacing w:after="80"/>
      </w:pPr>
      <w:r>
        <w:rPr>
          <w:rFonts w:ascii="Arial" w:cs="Arial" w:eastAsia="Arial" w:hAnsi="Arial"/>
          <w:sz w:val="22"/>
          <w:szCs w:val="22"/>
        </w:rPr>
        <w:t xml:space="preserve">Layer 2 (Lightning Network for Bitcoin, Rollups for Ethereum) processes transactions off-chain and settles only the net result on-chain — enabling instant, sub-cent payments while inheriting full base-layer security. Layer 3 appchains (dYdX, Coinbase Base, Immutable X) specialize further for specific use cases on top of that.</w:t>
      </w:r>
    </w:p>
    <w:p>
      <w:pPr>
        <w:pStyle w:val="ListParagraph"/>
        <w:numPr>
          <w:ilvl w:val="0"/>
          <w:numId w:val="2"/>
        </w:numPr>
        <w:spacing w:after="80"/>
      </w:pPr>
      <w:r>
        <w:rPr>
          <w:rFonts w:ascii="Arial" w:cs="Arial" w:eastAsia="Arial" w:hAnsi="Arial"/>
          <w:sz w:val="22"/>
          <w:szCs w:val="22"/>
        </w:rPr>
        <w:t xml:space="preserve">The strategic question: in a layered blockchain stack, where does value accrue — at the base layer asset (the 'fat protocol thesis': ETH as both currency and fuel), at the application layer (as with the internet: Google, not TCP/IP), or somewhere in between? No consensus exists. Reason from first principles.</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[THE BOTTOM LINE]  </w:t>
      </w:r>
      <w:r>
        <w:rPr>
          <w:rFonts w:ascii="Arial" w:cs="Arial" w:eastAsia="Arial" w:hAnsi="Arial"/>
          <w:color w:val="222222"/>
          <w:sz w:val="20"/>
          <w:szCs w:val="20"/>
        </w:rPr>
        <w:t xml:space="preserve">The 7 TPS criticism misunderstands the architecture. Bitcoin needs to be final and secure — not fast. Everything above it can be fast. By the time this infrastructure matures, transacting in digital assets will feel like a payment app. The difference will be invisible at the surface and profound underneath.</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If time is tight, read the bottom-line callout and skip the bullets entirely. The point lands in one sentence.</w:t>
      </w:r>
    </w:p>
    <w:p>
      <w:pPr>
        <w:spacing w:before="200" w:after="200"/>
      </w:pPr>
      <w:r>
        <w:rPr>
          <w:rFonts w:ascii="Arial" w:cs="Arial" w:eastAsia="Arial" w:hAnsi="Arial"/>
          <w:b/>
          <w:bCs/>
          <w:i/>
          <w:iCs/>
          <w:color w:val="2E75B6"/>
          <w:sz w:val="20"/>
          <w:szCs w:val="20"/>
        </w:rPr>
        <w:t xml:space="preserve">→  With scaling addressed, let's look at the broader digital finance architecture it enables.</w:t>
      </w:r>
    </w:p>
    <w:p>
      <w:r>
        <w:br w:type="page"/>
      </w:r>
    </w:p>
    <w:p>
      <w:pPr>
        <w:pStyle w:val="Heading1"/>
      </w:pPr>
      <w:r>
        <w:rPr>
          <w:rFonts w:ascii="Arial" w:cs="Arial" w:eastAsia="Arial" w:hAnsi="Arial"/>
          <w:b/>
          <w:bCs/>
          <w:color w:val="1F4E79"/>
          <w:sz w:val="36"/>
          <w:szCs w:val="36"/>
        </w:rPr>
        <w:t xml:space="preserve">SECTION 4 — Beyond Bitcoin: The Architecture of Digital Finance</w:t>
      </w:r>
    </w:p>
    <w:p>
      <w:pPr>
        <w:pStyle w:val="Heading2"/>
      </w:pPr>
      <w:r>
        <w:rPr>
          <w:rFonts w:ascii="Arial" w:cs="Arial" w:eastAsia="Arial" w:hAnsi="Arial"/>
          <w:b/>
          <w:bCs/>
          <w:color w:val="2E75B6"/>
          <w:sz w:val="28"/>
          <w:szCs w:val="28"/>
        </w:rPr>
        <w:t xml:space="preserve">4.1 — The Global Reserve Currency Problem</w:t>
      </w:r>
    </w:p>
    <w:p>
      <w:pPr>
        <w:spacing w:after="120"/>
      </w:pPr>
      <w:r>
        <w:rPr>
          <w:rFonts w:ascii="Arial" w:cs="Arial" w:eastAsia="Arial" w:hAnsi="Arial"/>
          <w:sz w:val="22"/>
          <w:szCs w:val="22"/>
        </w:rPr>
        <w:t xml:space="preserve">Since Bretton Woods, the US dollar has been the dominant global reserve currency: trade is denominated in dollars, countries hold dollar reserves, US Treasuries are the universal risk-free asset. This creates 'exorbitant privilege' — and a structural trap:</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[TRIFFIN'S DILEMMA]  </w:t>
      </w:r>
      <w:r>
        <w:rPr>
          <w:rFonts w:ascii="Arial" w:cs="Arial" w:eastAsia="Arial" w:hAnsi="Arial"/>
          <w:color w:val="222222"/>
          <w:sz w:val="20"/>
          <w:szCs w:val="20"/>
        </w:rPr>
        <w:t xml:space="preserve">To supply the world with enough reserve currency, the US must run persistent trade deficits. But persistent deficits eventually undermine confidence in the dollar. The issuer cannot simultaneously provide global liquidity and maintain currency credibility.</w:t>
      </w:r>
    </w:p>
    <w:p>
      <w:pPr>
        <w:spacing w:after="120"/>
      </w:pPr>
      <w:r>
        <w:rPr>
          <w:rFonts w:ascii="Arial" w:cs="Arial" w:eastAsia="Arial" w:hAnsi="Arial"/>
          <w:sz w:val="22"/>
          <w:szCs w:val="22"/>
        </w:rPr>
        <w:t xml:space="preserve">The question is not whether this system changes. It is what replaces it, and how fast.</w:t>
      </w:r>
    </w:p>
    <w:p>
      <w:pPr>
        <w:pStyle w:val="Heading2"/>
      </w:pPr>
      <w:r>
        <w:rPr>
          <w:rFonts w:ascii="Arial" w:cs="Arial" w:eastAsia="Arial" w:hAnsi="Arial"/>
          <w:b/>
          <w:bCs/>
          <w:color w:val="2E75B6"/>
          <w:sz w:val="28"/>
          <w:szCs w:val="28"/>
        </w:rPr>
        <w:t xml:space="preserve">4.2 — Stablecoins: The Bridge Between Two Financial Systems</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Stablecoins are the most important financial infrastructure development of the past decade — already reshaping global payments, trade finance, and monetary sovereignty.</w:t>
      </w:r>
    </w:p>
    <w:p>
      <w:pPr>
        <w:pStyle w:val="Heading3"/>
      </w:pPr>
      <w:r>
        <w:rPr>
          <w:rFonts w:ascii="Arial" w:cs="Arial" w:eastAsia="Arial" w:hAnsi="Arial"/>
          <w:b/>
          <w:bCs/>
          <w:color w:val="444444"/>
          <w:sz w:val="24"/>
          <w:szCs w:val="24"/>
        </w:rPr>
        <w:t xml:space="preserve">What Is a Stablecoin?</w:t>
      </w:r>
    </w:p>
    <w:p>
      <w:pPr>
        <w:spacing w:after="120"/>
      </w:pPr>
      <w:r>
        <w:rPr>
          <w:rFonts w:ascii="Arial" w:cs="Arial" w:eastAsia="Arial" w:hAnsi="Arial"/>
          <w:sz w:val="22"/>
          <w:szCs w:val="22"/>
        </w:rPr>
        <w:t xml:space="preserve">A stablecoin is a cryptographic token engineered to maintain a stable value relative to a reference asset — usually the US dollar. The mechanism used to achieve stability determines everything: the risk profile, the failure modes, and the regulatory exposure.</w:t>
      </w:r>
    </w:p>
    <w:p>
      <w:pPr>
        <w:pStyle w:val="ListParagraph"/>
        <w:numPr>
          <w:ilvl w:val="0"/>
          <w:numId w:val="2"/>
        </w:numPr>
        <w:spacing w:after="80"/>
      </w:pPr>
      <w:r>
        <w:rPr>
          <w:rFonts w:ascii="Arial" w:cs="Arial" w:eastAsia="Arial" w:hAnsi="Arial"/>
          <w:sz w:val="22"/>
          <w:szCs w:val="22"/>
        </w:rPr>
        <w:t xml:space="preserve">Fiat-backed (USDC, Tether) — for every token issued, the issuer holds equivalent T-bills or cash in reserve. Simple and dominant. Risk is concentrated in the issuer — solvency, regulatory seizure, fractional reserve. In exchange: programmability, 24/7 borderless settlement, dollar stability. Tether was among the top ten global purchasers of US Treasuries in 2024.</w:t>
      </w:r>
    </w:p>
    <w:p>
      <w:pPr>
        <w:pStyle w:val="ListParagraph"/>
        <w:numPr>
          <w:ilvl w:val="0"/>
          <w:numId w:val="2"/>
        </w:numPr>
        <w:spacing w:after="80"/>
      </w:pPr>
      <w:r>
        <w:rPr>
          <w:rFonts w:ascii="Arial" w:cs="Arial" w:eastAsia="Arial" w:hAnsi="Arial"/>
          <w:sz w:val="22"/>
          <w:szCs w:val="22"/>
        </w:rPr>
        <w:t xml:space="preserve">Crypto-collateralized (DAI) — backed by over-collateralized crypto assets; smart contracts auto-liquidate if collateral falls below threshold. Genuinely decentralized — no government can seize reserves held in code. Trade-off: collateral volatility and oracle risk.</w:t>
      </w:r>
    </w:p>
    <w:p>
      <w:pPr>
        <w:pStyle w:val="ListParagraph"/>
        <w:numPr>
          <w:ilvl w:val="0"/>
          <w:numId w:val="2"/>
        </w:numPr>
        <w:spacing w:after="80"/>
      </w:pPr>
      <w:r>
        <w:rPr>
          <w:rFonts w:ascii="Arial" w:cs="Arial" w:eastAsia="Arial" w:hAnsi="Arial"/>
          <w:sz w:val="22"/>
          <w:szCs w:val="22"/>
        </w:rPr>
        <w:t xml:space="preserve">Algorithmic — TerraUSD (UST) collapsed from $19B to near-zero in 72 hours in May 2022. The mechanism created a circular dependency: UST stability depended on LUNA's value; LUNA's value depended on UST's stability. When confidence cracked, it was a self-reinforcing death spiral. Lesson: circular backing is not a reserve.</w:t>
      </w:r>
    </w:p>
    <w:p>
      <w:pPr>
        <w:pStyle w:val="ListParagraph"/>
        <w:numPr>
          <w:ilvl w:val="0"/>
          <w:numId w:val="2"/>
        </w:numPr>
        <w:spacing w:after="80"/>
      </w:pPr>
      <w:r>
        <w:rPr>
          <w:rFonts w:ascii="Arial" w:cs="Arial" w:eastAsia="Arial" w:hAnsi="Arial"/>
          <w:sz w:val="22"/>
          <w:szCs w:val="22"/>
        </w:rPr>
        <w:t xml:space="preserve">Yield-bearing (USDM, USDe) — dollar peg plus T-bill or DeFi yields distributed automatically to holders. Any user with internet access can now earn US Treasury yields without a brokerage account. Regulatory classification as money market fund vs. security remains unresolved.</w:t>
      </w:r>
    </w:p>
    <w:p>
      <w:pPr>
        <w:spacing w:after="120"/>
      </w:pPr>
      <w:r>
        <w:rPr>
          <w:rFonts w:ascii="Arial" w:cs="Arial" w:eastAsia="Arial" w:hAnsi="Arial"/>
          <w:sz w:val="22"/>
          <w:szCs w:val="22"/>
        </w:rPr>
        <w:t xml:space="preserve">These serve different needs at different points on the trust-decentralization-yield spectrum — the way checking accounts, money market funds, and Treasury Direct serve different needs. The right one depends on who you are, where you are, and what you're trying to do.</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[THE SOVEREIGNTY INSIGHT]  </w:t>
      </w:r>
      <w:r>
        <w:rPr>
          <w:rFonts w:ascii="Arial" w:cs="Arial" w:eastAsia="Arial" w:hAnsi="Arial"/>
          <w:color w:val="222222"/>
          <w:sz w:val="20"/>
          <w:szCs w:val="20"/>
        </w:rPr>
        <w:t xml:space="preserve">In Turkey, Argentina, and Nigeria, USDT already functions as a censorship-resistant dollar store. Stablecoins are the first mechanism for monetary competition at the individual level — regardless of what your government says.</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If pressed for time, cover bullets 1 and 3 only — fiat-backed (the dominant model) and the algorithmic failure (the most important lesson). Skip 2 and 4.</w:t>
      </w:r>
    </w:p>
    <w:p>
      <w:pPr>
        <w:pStyle w:val="Heading2"/>
      </w:pPr>
      <w:r>
        <w:rPr>
          <w:rFonts w:ascii="Arial" w:cs="Arial" w:eastAsia="Arial" w:hAnsi="Arial"/>
          <w:b/>
          <w:bCs/>
          <w:color w:val="2E75B6"/>
          <w:sz w:val="28"/>
          <w:szCs w:val="28"/>
        </w:rPr>
        <w:t xml:space="preserve">4.3 — Smart Contracts: Programmable Finance</w:t>
      </w:r>
    </w:p>
    <w:p>
      <w:pPr>
        <w:spacing w:after="120"/>
      </w:pPr>
      <w:r>
        <w:rPr>
          <w:rFonts w:ascii="Arial" w:cs="Arial" w:eastAsia="Arial" w:hAnsi="Arial"/>
          <w:sz w:val="22"/>
          <w:szCs w:val="22"/>
        </w:rPr>
        <w:t xml:space="preserve">Perhaps the most consequential extension of blockchain beyond currency is the smart contract — a self-executing agreement encoded directly on a blockchain.</w:t>
      </w:r>
    </w:p>
    <w:p>
      <w:pPr>
        <w:spacing w:after="120"/>
      </w:pPr>
      <w:r>
        <w:rPr>
          <w:rFonts w:ascii="Arial" w:cs="Arial" w:eastAsia="Arial" w:hAnsi="Arial"/>
          <w:sz w:val="22"/>
          <w:szCs w:val="22"/>
        </w:rPr>
        <w:t xml:space="preserve">A smart contract works like this: two parties agree to terms. Those terms are encoded as software. When the specified conditions are met, execution is automatic, irreversible, and requires no third party to enforce.</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[EXAMPLE]  </w:t>
      </w:r>
      <w:r>
        <w:rPr>
          <w:rFonts w:ascii="Arial" w:cs="Arial" w:eastAsia="Arial" w:hAnsi="Arial"/>
          <w:color w:val="222222"/>
          <w:sz w:val="20"/>
          <w:szCs w:val="20"/>
        </w:rPr>
        <w:t xml:space="preserve">An export company in Brazil and an importer in Germany agree: when the shipping container's IoT sensors confirm delivery at the Hamburg port, 50,000 USDC is automatically transferred from the buyer's wallet to the seller's. No correspondent banks. No SWIFT delays. No currency conversion middlemen. Settlement in seconds.</w:t>
      </w:r>
    </w:p>
    <w:p>
      <w:pPr>
        <w:spacing w:after="120"/>
      </w:pPr>
      <w:r>
        <w:rPr>
          <w:rFonts w:ascii="Arial" w:cs="Arial" w:eastAsia="Arial" w:hAnsi="Arial"/>
          <w:sz w:val="22"/>
          <w:szCs w:val="22"/>
        </w:rPr>
        <w:t xml:space="preserve">The implications span every industry that currently relies on contracts, intermediaries, or trust:</w:t>
      </w:r>
    </w:p>
    <w:p>
      <w:pPr>
        <w:pStyle w:val="ListParagraph"/>
        <w:numPr>
          <w:ilvl w:val="0"/>
          <w:numId w:val="2"/>
        </w:numPr>
        <w:spacing w:after="80"/>
      </w:pPr>
      <w:r>
        <w:rPr>
          <w:rFonts w:ascii="Arial" w:cs="Arial" w:eastAsia="Arial" w:hAnsi="Arial"/>
          <w:sz w:val="22"/>
          <w:szCs w:val="22"/>
        </w:rPr>
        <w:t xml:space="preserve">Trade finance and supply chain settlement</w:t>
      </w:r>
    </w:p>
    <w:p>
      <w:pPr>
        <w:pStyle w:val="ListParagraph"/>
        <w:numPr>
          <w:ilvl w:val="0"/>
          <w:numId w:val="2"/>
        </w:numPr>
        <w:spacing w:after="80"/>
      </w:pPr>
      <w:r>
        <w:rPr>
          <w:rFonts w:ascii="Arial" w:cs="Arial" w:eastAsia="Arial" w:hAnsi="Arial"/>
          <w:sz w:val="22"/>
          <w:szCs w:val="22"/>
        </w:rPr>
        <w:t xml:space="preserve">Insurance policy execution triggered by verifiable events</w:t>
      </w:r>
    </w:p>
    <w:p>
      <w:pPr>
        <w:pStyle w:val="ListParagraph"/>
        <w:numPr>
          <w:ilvl w:val="0"/>
          <w:numId w:val="2"/>
        </w:numPr>
        <w:spacing w:after="80"/>
      </w:pPr>
      <w:r>
        <w:rPr>
          <w:rFonts w:ascii="Arial" w:cs="Arial" w:eastAsia="Arial" w:hAnsi="Arial"/>
          <w:sz w:val="22"/>
          <w:szCs w:val="22"/>
        </w:rPr>
        <w:t xml:space="preserve">Real estate and securities tokenization</w:t>
      </w:r>
    </w:p>
    <w:p>
      <w:pPr>
        <w:pStyle w:val="ListParagraph"/>
        <w:numPr>
          <w:ilvl w:val="0"/>
          <w:numId w:val="2"/>
        </w:numPr>
        <w:spacing w:after="80"/>
      </w:pPr>
      <w:r>
        <w:rPr>
          <w:rFonts w:ascii="Arial" w:cs="Arial" w:eastAsia="Arial" w:hAnsi="Arial"/>
          <w:sz w:val="22"/>
          <w:szCs w:val="22"/>
        </w:rPr>
        <w:t xml:space="preserve">Decentralized lending and yield protocols (DeFi)</w:t>
      </w:r>
    </w:p>
    <w:p>
      <w:pPr>
        <w:pStyle w:val="ListParagraph"/>
        <w:numPr>
          <w:ilvl w:val="0"/>
          <w:numId w:val="2"/>
        </w:numPr>
        <w:spacing w:after="80"/>
      </w:pPr>
      <w:r>
        <w:rPr>
          <w:rFonts w:ascii="Arial" w:cs="Arial" w:eastAsia="Arial" w:hAnsi="Arial"/>
          <w:sz w:val="22"/>
          <w:szCs w:val="22"/>
        </w:rPr>
        <w:t xml:space="preserve">Royalty distribution for intellectual property</w:t>
      </w:r>
    </w:p>
    <w:p>
      <w:pPr>
        <w:spacing w:after="120"/>
      </w:pPr>
      <w:r>
        <w:rPr>
          <w:rFonts w:ascii="Arial" w:cs="Arial" w:eastAsia="Arial" w:hAnsi="Arial"/>
          <w:sz w:val="22"/>
          <w:szCs w:val="22"/>
        </w:rPr>
        <w:t xml:space="preserve">Smart contracts don't just reduce cost. They eliminate entire categories of counterparty risk. The contract executes because the code executes — not because someone's word can be trusted.</w:t>
      </w:r>
    </w:p>
    <w:p>
      <w:pPr>
        <w:spacing w:before="200" w:after="200"/>
      </w:pPr>
      <w:r>
        <w:rPr>
          <w:rFonts w:ascii="Arial" w:cs="Arial" w:eastAsia="Arial" w:hAnsi="Arial"/>
          <w:b/>
          <w:bCs/>
          <w:i/>
          <w:iCs/>
          <w:color w:val="2E75B6"/>
          <w:sz w:val="20"/>
          <w:szCs w:val="20"/>
        </w:rPr>
        <w:t xml:space="preserve">→  Smart contracts are the mechanism. Tokenization is the application.</w:t>
      </w:r>
    </w:p>
    <w:p>
      <w:r>
        <w:br w:type="page"/>
      </w:r>
    </w:p>
    <w:p>
      <w:pPr>
        <w:pStyle w:val="Heading1"/>
      </w:pPr>
      <w:r>
        <w:rPr>
          <w:rFonts w:ascii="Arial" w:cs="Arial" w:eastAsia="Arial" w:hAnsi="Arial"/>
          <w:b/>
          <w:bCs/>
          <w:color w:val="1F4E79"/>
          <w:sz w:val="36"/>
          <w:szCs w:val="36"/>
        </w:rPr>
        <w:t xml:space="preserve">SECTION 4.4 — Tokenization: Putting the World's Assets On-Chain</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Tokenization is where blockchain stops being abstract and starts being immediately, concretely relevant to every asset class your students will encounter in their careers — equities, fixed income, real estate, private equity, commodities, art, intellectual property. This is where the 'so what?' question gets answered most directly. Take your time here. The scale of the opportunity is genuinely difficult to internalize.</w:t>
      </w:r>
    </w:p>
    <w:p>
      <w:pPr>
        <w:pStyle w:val="Heading2"/>
      </w:pPr>
      <w:r>
        <w:rPr>
          <w:rFonts w:ascii="Arial" w:cs="Arial" w:eastAsia="Arial" w:hAnsi="Arial"/>
          <w:b/>
          <w:bCs/>
          <w:color w:val="2E75B6"/>
          <w:sz w:val="28"/>
          <w:szCs w:val="28"/>
        </w:rPr>
        <w:t xml:space="preserve">4.4.1 — What Is Tokenization?</w:t>
      </w:r>
    </w:p>
    <w:p>
      <w:pPr>
        <w:spacing w:after="120"/>
      </w:pPr>
      <w:r>
        <w:rPr>
          <w:rFonts w:ascii="Arial" w:cs="Arial" w:eastAsia="Arial" w:hAnsi="Arial"/>
          <w:sz w:val="22"/>
          <w:szCs w:val="22"/>
        </w:rPr>
        <w:t xml:space="preserve">Tokenization represents ownership rights in a real-world asset as a digital token on a blockchain — not a derivative, but the legal ownership claim itself, on a distributed ledger instead of a custodian's private database.</w:t>
      </w:r>
    </w:p>
    <w:p>
      <w:pPr>
        <w:spacing w:after="120"/>
      </w:pPr>
      <w:r>
        <w:rPr>
          <w:rFonts w:ascii="Arial" w:cs="Arial" w:eastAsia="Arial" w:hAnsi="Arial"/>
          <w:sz w:val="22"/>
          <w:szCs w:val="22"/>
        </w:rPr>
        <w:t xml:space="preserve">When you buy stock today, you receive an entry in a chain of databases: your broker, a clearing corporation, a central securities depository. Settlement takes two business days. Each intermediary charges fees. Each is a point of failure. Tokenized, the same ownership claim lives on a single public ledger. Settlement is atomic. Intermediaries are replaced by auditable smart contract logic. Transfer is available 24/7 globally.</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[THE SCOPE]  </w:t>
      </w:r>
      <w:r>
        <w:rPr>
          <w:rFonts w:ascii="Arial" w:cs="Arial" w:eastAsia="Arial" w:hAnsi="Arial"/>
          <w:color w:val="222222"/>
          <w:sz w:val="20"/>
          <w:szCs w:val="20"/>
        </w:rPr>
        <w:t xml:space="preserve">McKinsey estimates the global tokenizable asset base at ~$16 trillion by 2030. BlackRock CEO Larry Fink has called tokenization 'the next generation for markets.' BlackRock's BUIDL tokenized money market fund attracted over $500M in weeks. This is institutional capital moving — not speculation.</w:t>
      </w:r>
    </w:p>
    <w:p>
      <w:pPr>
        <w:pStyle w:val="Heading2"/>
      </w:pPr>
      <w:r>
        <w:rPr>
          <w:rFonts w:ascii="Arial" w:cs="Arial" w:eastAsia="Arial" w:hAnsi="Arial"/>
          <w:b/>
          <w:bCs/>
          <w:color w:val="2E75B6"/>
          <w:sz w:val="28"/>
          <w:szCs w:val="28"/>
        </w:rPr>
        <w:t xml:space="preserve">4.4.2 — The Taxonomy of Tokenizable Assets</w:t>
      </w:r>
    </w:p>
    <w:p>
      <w:pPr>
        <w:pStyle w:val="Heading3"/>
      </w:pPr>
      <w:r>
        <w:rPr>
          <w:rFonts w:ascii="Arial" w:cs="Arial" w:eastAsia="Arial" w:hAnsi="Arial"/>
          <w:b/>
          <w:bCs/>
          <w:color w:val="444444"/>
          <w:sz w:val="24"/>
          <w:szCs w:val="24"/>
        </w:rPr>
        <w:t xml:space="preserve">Real Estate</w:t>
      </w:r>
    </w:p>
    <w:p>
      <w:pPr>
        <w:spacing w:after="120"/>
      </w:pPr>
      <w:r>
        <w:rPr>
          <w:rFonts w:ascii="Arial" w:cs="Arial" w:eastAsia="Arial" w:hAnsi="Arial"/>
          <w:sz w:val="22"/>
          <w:szCs w:val="22"/>
        </w:rPr>
        <w:t xml:space="preserve">$320 trillion globally — and illiquid by infrastructure, not nature. A $10M property tokenized into 10M tokens at $1 each enables $1,000 fractional ownership without attorneys, brokers, or $250K minimums. Rental yield distributes automatically via smart contract. Secondary markets provide continuous price discovery and exit liquidity — eliminating the structural reason institutions hold real estate in 7-10 year closed-end funds.</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Even 1% of the $320T real estate market migrating on-chain is $3.2 trillion. That context lands.</w:t>
      </w:r>
    </w:p>
    <w:p>
      <w:pPr>
        <w:pStyle w:val="Heading3"/>
      </w:pPr>
      <w:r>
        <w:rPr>
          <w:rFonts w:ascii="Arial" w:cs="Arial" w:eastAsia="Arial" w:hAnsi="Arial"/>
          <w:b/>
          <w:bCs/>
          <w:color w:val="444444"/>
          <w:sz w:val="24"/>
          <w:szCs w:val="24"/>
        </w:rPr>
        <w:t xml:space="preserve">Private Equity and Venture Capital</w:t>
      </w:r>
    </w:p>
    <w:p>
      <w:pPr>
        <w:spacing w:after="120"/>
      </w:pPr>
      <w:r>
        <w:rPr>
          <w:rFonts w:ascii="Arial" w:cs="Arial" w:eastAsia="Arial" w:hAnsi="Arial"/>
          <w:sz w:val="22"/>
          <w:szCs w:val="22"/>
        </w:rPr>
        <w:t xml:space="preserve">PE funds: 10-year life, $1M-25M minimum commitments, no exit until distribution. Tokenization converts a 10-year lockup into a continuously tradable position and collapses minimums — a $500M PE fund as 500M tokens can accept $100 investments. Pension funds and endowments that avoid PE due to liquidity constraints gain access. Retail investors gain access to the highest-return asset class in history.</w:t>
      </w:r>
    </w:p>
    <w:p>
      <w:pPr>
        <w:pStyle w:val="Heading3"/>
      </w:pPr>
      <w:r>
        <w:rPr>
          <w:rFonts w:ascii="Arial" w:cs="Arial" w:eastAsia="Arial" w:hAnsi="Arial"/>
          <w:b/>
          <w:bCs/>
          <w:color w:val="444444"/>
          <w:sz w:val="24"/>
          <w:szCs w:val="24"/>
        </w:rPr>
        <w:t xml:space="preserve">Fixed Income and Government Bonds</w:t>
      </w:r>
    </w:p>
    <w:p>
      <w:pPr>
        <w:spacing w:after="120"/>
      </w:pPr>
      <w:r>
        <w:rPr>
          <w:rFonts w:ascii="Arial" w:cs="Arial" w:eastAsia="Arial" w:hAnsi="Arial"/>
          <w:sz w:val="22"/>
          <w:szCs w:val="22"/>
        </w:rPr>
        <w:t xml:space="preserve">$133 trillion — larger than global equities, traded in opaque OTC markets with institutional minimums and T+2 settlement. Franklin Templeton, BlackRock's BUIDL, and Ondo Finance have tokenized US Treasuries, making T-bill yields accessible to anyone with a crypto wallet. Coupon payments distribute automatically to token holders — no transfer agent, no paying agent, no clearing bank needed.</w:t>
      </w:r>
    </w:p>
    <w:p>
      <w:pPr>
        <w:pStyle w:val="Heading3"/>
      </w:pPr>
      <w:r>
        <w:rPr>
          <w:rFonts w:ascii="Arial" w:cs="Arial" w:eastAsia="Arial" w:hAnsi="Arial"/>
          <w:b/>
          <w:bCs/>
          <w:color w:val="444444"/>
          <w:sz w:val="24"/>
          <w:szCs w:val="24"/>
        </w:rPr>
        <w:t xml:space="preserve">Commodities and Natural Resources</w:t>
      </w:r>
    </w:p>
    <w:p>
      <w:pPr>
        <w:spacing w:after="120"/>
      </w:pPr>
      <w:r>
        <w:rPr>
          <w:rFonts w:ascii="Arial" w:cs="Arial" w:eastAsia="Arial" w:hAnsi="Arial"/>
          <w:sz w:val="22"/>
          <w:szCs w:val="22"/>
        </w:rPr>
        <w:t xml:space="preserve">Tether Gold (XAUT) and PAX Gold (PAXG) tokenize physical gold in Swiss vaults — tradable 24/7 with instant settlement. Carbon credits are being tokenized (Toucan Protocol, KlimaDAO) to replace opaque, fragmentation-prone voluntary markets with transparent, auditable, immutable records. Agricultural commodities, energy contracts, and water rights follow the same logic: any commodity with a verifiable provenance chain and a need for liquid secondary markets is a candidate.</w:t>
      </w:r>
    </w:p>
    <w:p>
      <w:pPr>
        <w:pStyle w:val="Heading3"/>
      </w:pPr>
      <w:r>
        <w:rPr>
          <w:rFonts w:ascii="Arial" w:cs="Arial" w:eastAsia="Arial" w:hAnsi="Arial"/>
          <w:b/>
          <w:bCs/>
          <w:color w:val="444444"/>
          <w:sz w:val="24"/>
          <w:szCs w:val="24"/>
        </w:rPr>
        <w:t xml:space="preserve">Intellectual Property and Royalty Streams</w:t>
      </w:r>
    </w:p>
    <w:p>
      <w:pPr>
        <w:spacing w:after="120"/>
      </w:pPr>
      <w:r>
        <w:rPr>
          <w:rFonts w:ascii="Arial" w:cs="Arial" w:eastAsia="Arial" w:hAnsi="Arial"/>
          <w:sz w:val="22"/>
          <w:szCs w:val="22"/>
        </w:rPr>
        <w:t xml:space="preserve">Patents, music royalties, film residuals — large, illiquid, and historically impossible to fractionalize. Tokenization creates direct markets: a musician tokenizes future catalog royalties and sells fractional interests to fans; a pharma company tokenizes a patent for investor exposure to commercial success. NFTs are the technical primitive — not JPEG speculation, but the infrastructure for recording patent ownership, deed transfers, and license rights permanently and publicly on-chain.</w:t>
      </w:r>
    </w:p>
    <w:p>
      <w:pPr>
        <w:pStyle w:val="Heading2"/>
      </w:pPr>
      <w:r>
        <w:rPr>
          <w:rFonts w:ascii="Arial" w:cs="Arial" w:eastAsia="Arial" w:hAnsi="Arial"/>
          <w:b/>
          <w:bCs/>
          <w:color w:val="2E75B6"/>
          <w:sz w:val="28"/>
          <w:szCs w:val="28"/>
        </w:rPr>
        <w:t xml:space="preserve">4.4.3 — How Tokenization Actually Works</w:t>
      </w:r>
    </w:p>
    <w:p>
      <w:pPr>
        <w:spacing w:after="120"/>
      </w:pPr>
      <w:r>
        <w:rPr>
          <w:rFonts w:ascii="Arial" w:cs="Arial" w:eastAsia="Arial" w:hAnsi="Arial"/>
          <w:sz w:val="22"/>
          <w:szCs w:val="22"/>
        </w:rPr>
        <w:t xml:space="preserve">Three things must be right for a tokenized asset to function: the token standard (ERC-20 for fungible assets like bonds; ERC-721 for unique assets like real estate; ERC-3643 for regulated instruments with built-in KYC/AML enforcement); a reliable oracle connecting off-chain asset values to on-chain logic; and a legal wrapper — typically an SPV with token holders as beneficial owners — making the token an enforceable ownership claim, not just a startup's promise. The legal wrapper is the most important due diligence step most retail investors skip.</w:t>
      </w:r>
    </w:p>
    <w:p>
      <w:pPr>
        <w:pStyle w:val="Heading2"/>
      </w:pPr>
      <w:r>
        <w:rPr>
          <w:rFonts w:ascii="Arial" w:cs="Arial" w:eastAsia="Arial" w:hAnsi="Arial"/>
          <w:b/>
          <w:bCs/>
          <w:color w:val="2E75B6"/>
          <w:sz w:val="28"/>
          <w:szCs w:val="28"/>
        </w:rPr>
        <w:t xml:space="preserve">4.4.4 — DeFi: The Financial Services Layer</w:t>
      </w:r>
    </w:p>
    <w:p>
      <w:pPr>
        <w:spacing w:after="120"/>
      </w:pPr>
      <w:r>
        <w:rPr>
          <w:rFonts w:ascii="Arial" w:cs="Arial" w:eastAsia="Arial" w:hAnsi="Arial"/>
          <w:sz w:val="22"/>
          <w:szCs w:val="22"/>
        </w:rPr>
        <w:t xml:space="preserve">Tokenized assets don't sit in isolation — they plug into Decentralized Finance protocols that provide all the functions of traditional finance without any of the intermediaries. Uniswap ($2T+ in cumulative trading volume) replaces exchange order books with algorithmically governed liquidity pools. Aave and Compound enable collateralized lending at algorithmically set rates with no credit check or business hours. MakerDAO executes an entire bank function — accepting collateral, issuing credit — in smart contracts.</w:t>
      </w:r>
    </w:p>
    <w:p>
      <w:pPr>
        <w:spacing w:after="120"/>
      </w:pPr>
      <w:r>
        <w:rPr>
          <w:rFonts w:ascii="Arial" w:cs="Arial" w:eastAsia="Arial" w:hAnsi="Arial"/>
          <w:sz w:val="22"/>
          <w:szCs w:val="22"/>
        </w:rPr>
        <w:t xml:space="preserve">The convergence: a tokenized T-bill deposited as collateral in Aave can generate USDC borrowing, deployed in a yield strategy, with returns flowing automatically to the depositor. The entire capital markets value chain executes in code with no intermediaries. This is not a prototype — DeFi has processed trillions of dollars in cumulative volume.</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Entrepreneurial opportunity: not building the protocols (requires deep cryptographic expertise) but the institutional interfaces, compliance layers, and user-facing products connecting TradFi to DeFi. Open source, permissionless — the picks and shovels are wide open.</w:t>
      </w:r>
    </w:p>
    <w:p>
      <w:pPr>
        <w:pStyle w:val="Heading2"/>
      </w:pPr>
      <w:r>
        <w:rPr>
          <w:rFonts w:ascii="Arial" w:cs="Arial" w:eastAsia="Arial" w:hAnsi="Arial"/>
          <w:b/>
          <w:bCs/>
          <w:color w:val="2E75B6"/>
          <w:sz w:val="28"/>
          <w:szCs w:val="28"/>
        </w:rPr>
        <w:t xml:space="preserve">4.4.5 — x402: Payment-Native Infrastructure for the Digital Asset Era</w:t>
      </w:r>
    </w:p>
    <w:p>
      <w:pPr>
        <w:spacing w:after="120"/>
      </w:pPr>
      <w:r>
        <w:rPr>
          <w:rFonts w:ascii="Arial" w:cs="Arial" w:eastAsia="Arial" w:hAnsi="Arial"/>
          <w:sz w:val="22"/>
          <w:szCs w:val="22"/>
        </w:rPr>
        <w:t xml:space="preserve">A thread running through everything we've covered — stablecoins, tokenized assets, DeFi — is that value can now move programmatically, without banks, without business hours, and without geographic constraints. But one friction point has remained: actually paying for things on the internet still requires a human in the loop. A credit card form. A billing account. A payment processor relationship.</w:t>
      </w:r>
    </w:p>
    <w:p>
      <w:pPr>
        <w:spacing w:after="120"/>
      </w:pPr>
      <w:r>
        <w:rPr>
          <w:rFonts w:ascii="Arial" w:cs="Arial" w:eastAsia="Arial" w:hAnsi="Arial"/>
          <w:sz w:val="22"/>
          <w:szCs w:val="22"/>
        </w:rPr>
        <w:t xml:space="preserve">That is changing right now. On March 18, 2026 — three days ago — engineers from Tempo Labs and Coinbase submitted a specification called x402 to the developer community. Named after HTTP status code 402 ('Payment Required') — which has sat unused in the HTTP specification since 1991, reserved for a payment mechanism that didn't yet exist — x402 gives that code its full semantics for the first time.</w:t>
      </w:r>
    </w:p>
    <w:p>
      <w:pPr>
        <w:spacing w:after="120"/>
      </w:pPr>
      <w:r>
        <w:rPr>
          <w:rFonts w:ascii="Arial" w:cs="Arial" w:eastAsia="Arial" w:hAnsi="Arial"/>
          <w:sz w:val="22"/>
          <w:szCs w:val="22"/>
        </w:rPr>
        <w:t xml:space="preserve">The mechanism is simple: a client requests a resource; the server responds with 402 and a payment challenge specifying the amount, currency, and recipient; the client fulfills the payment — using any registered method: a stablecoin transfer, a Lightning invoice, a card charge — and resubmits with a cryptographic proof of payment; the server verifies and delivers the resource along with a signed receipt. No bank. No payment processor. No human checkpoint.</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[WHY x402 MATTERS]  </w:t>
      </w:r>
      <w:r>
        <w:rPr>
          <w:rFonts w:ascii="Arial" w:cs="Arial" w:eastAsia="Arial" w:hAnsi="Arial"/>
          <w:color w:val="222222"/>
          <w:sz w:val="20"/>
          <w:szCs w:val="20"/>
        </w:rPr>
        <w:t xml:space="preserve">Every concept from today converges here. Stablecoins provide the settlement medium. Tokenized assets can be paywalled. AI agents with funded wallets can now pay for any HTTP-accessible resource autonomously. x402 is the missing payment rail for the agentic economy.</w:t>
      </w:r>
    </w:p>
    <w:p>
      <w:pPr>
        <w:spacing w:after="120"/>
      </w:pPr>
      <w:r>
        <w:rPr>
          <w:rFonts w:ascii="Arial" w:cs="Arial" w:eastAsia="Arial" w:hAnsi="Arial"/>
          <w:sz w:val="22"/>
          <w:szCs w:val="22"/>
        </w:rPr>
        <w:t xml:space="preserve">The specification is payment-method agnostic by design — any payment network can register a method identifier, which means every digital asset we've discussed today has a potential on-ramp to native internet settlement. The protocol is open, royalty-free, and being built into SDKs by Coinbase and others now. It follows the same architectural principle as every durable internet standard: define the interface, not the implementation.</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This is a good moment to tie the threads together: Bitcoin and Lightning for the base monetary layer and micropayments, stablecoins for dollar-denominated settlement, tokenized assets as the payable resources, DeFi as the financial services layer, and x402 as the HTTP-native payment protocol connecting all of them to every client and server on the internet. The architecture is coherent and it is being built.</w:t>
      </w:r>
    </w:p>
    <w:p>
      <w:pPr>
        <w:pStyle w:val="Heading2"/>
      </w:pPr>
      <w:r>
        <w:rPr>
          <w:rFonts w:ascii="Arial" w:cs="Arial" w:eastAsia="Arial" w:hAnsi="Arial"/>
          <w:b/>
          <w:bCs/>
          <w:color w:val="2E75B6"/>
          <w:sz w:val="28"/>
          <w:szCs w:val="28"/>
        </w:rPr>
        <w:t xml:space="preserve">4.4.6 — The Strategic Synthesis</w:t>
      </w:r>
    </w:p>
    <w:p>
      <w:pPr>
        <w:spacing w:after="120"/>
      </w:pPr>
      <w:r>
        <w:rPr>
          <w:rFonts w:ascii="Arial" w:cs="Arial" w:eastAsia="Arial" w:hAnsi="Arial"/>
          <w:sz w:val="22"/>
          <w:szCs w:val="22"/>
        </w:rPr>
        <w:t xml:space="preserve">Three structural constraints define traditional markets — all exist for infrastructure reasons, not natural ones:</w:t>
      </w:r>
    </w:p>
    <w:p>
      <w:pPr>
        <w:pStyle w:val="ListParagraph"/>
        <w:numPr>
          <w:ilvl w:val="0"/>
          <w:numId w:val="2"/>
        </w:numPr>
        <w:spacing w:after="80"/>
      </w:pPr>
      <w:r>
        <w:rPr>
          <w:rFonts w:ascii="Arial" w:cs="Arial" w:eastAsia="Arial" w:hAnsi="Arial"/>
          <w:sz w:val="22"/>
          <w:szCs w:val="22"/>
        </w:rPr>
        <w:t xml:space="preserve">Fragmentation — equities, bonds, real estate, commodities, and alternatives all run on separate systems with separate intermediaries, hours, and fees.</w:t>
      </w:r>
    </w:p>
    <w:p>
      <w:pPr>
        <w:pStyle w:val="ListParagraph"/>
        <w:numPr>
          <w:ilvl w:val="0"/>
          <w:numId w:val="2"/>
        </w:numPr>
        <w:spacing w:after="80"/>
      </w:pPr>
      <w:r>
        <w:rPr>
          <w:rFonts w:ascii="Arial" w:cs="Arial" w:eastAsia="Arial" w:hAnsi="Arial"/>
          <w:sz w:val="22"/>
          <w:szCs w:val="22"/>
        </w:rPr>
        <w:t xml:space="preserve">Illiquidity — PE, real estate, infrastructure, and private credit are illiquid not because of genuine risk, but because no secondary market infrastructure exists. The illiquidity premium is compensation for absent plumbing.</w:t>
      </w:r>
    </w:p>
    <w:p>
      <w:pPr>
        <w:pStyle w:val="ListParagraph"/>
        <w:numPr>
          <w:ilvl w:val="0"/>
          <w:numId w:val="2"/>
        </w:numPr>
        <w:spacing w:after="80"/>
      </w:pPr>
      <w:r>
        <w:rPr>
          <w:rFonts w:ascii="Arial" w:cs="Arial" w:eastAsia="Arial" w:hAnsi="Arial"/>
          <w:sz w:val="22"/>
          <w:szCs w:val="22"/>
        </w:rPr>
        <w:t xml:space="preserve">Access barriers — minimums, accreditation, geography, and correspondent banking exclude most global capital from the highest-return asset classes.</w:t>
      </w:r>
    </w:p>
    <w:p>
      <w:pPr>
        <w:spacing w:after="120"/>
      </w:pPr>
      <w:r>
        <w:rPr>
          <w:rFonts w:ascii="Arial" w:cs="Arial" w:eastAsia="Arial" w:hAnsi="Arial"/>
          <w:sz w:val="22"/>
          <w:szCs w:val="22"/>
        </w:rPr>
        <w:t xml:space="preserve">Tokenization dismantles all three simultaneously: a single wallet holds tokenized Treasuries, real estate, PE, and carbon credits on a unified interface; any asset listed on a secondary market trades instantly; minimums are fractional and geography is unenforceable on a public blockchain.</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[THE 30-YEAR VIEW]  </w:t>
      </w:r>
      <w:r>
        <w:rPr>
          <w:rFonts w:ascii="Arial" w:cs="Arial" w:eastAsia="Arial" w:hAnsi="Arial"/>
          <w:color w:val="222222"/>
          <w:sz w:val="20"/>
          <w:szCs w:val="20"/>
        </w:rPr>
        <w:t xml:space="preserve">Every financial market that moved from physical to digital became faster, cheaper, and higher-volume. NYSE floor → electronic. Paper bonds → DTCC. Physical commodities → futures. Tokenization removes more friction than any prior step because it replaces not just the paper but the institutional trust infrastructure beneath it.</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Challenge: 'Pick any financial intermediary — clearing house, transfer agent, prime broker, custodian. What do they do? Could a smart contract do it better?' In most cases: yes. What is their sustainable competitive position in a mature tokenization world?</w:t>
      </w:r>
    </w:p>
    <w:p>
      <w:pPr>
        <w:spacing w:before="200" w:after="200"/>
      </w:pPr>
      <w:r>
        <w:rPr>
          <w:rFonts w:ascii="Arial" w:cs="Arial" w:eastAsia="Arial" w:hAnsi="Arial"/>
          <w:b/>
          <w:bCs/>
          <w:i/>
          <w:iCs/>
          <w:color w:val="2E75B6"/>
          <w:sz w:val="20"/>
          <w:szCs w:val="20"/>
        </w:rPr>
        <w:t xml:space="preserve">→  The architecture is now visible: stablecoins as settlement, tokenization as asset representation, DeFi as financial services. Before discussing what AI agents do with it, there is a different architectural philosophy worth examining.</w:t>
      </w:r>
    </w:p>
    <w:p>
      <w:r>
        <w:br w:type="page"/>
      </w:r>
    </w:p>
    <w:p>
      <w:pPr>
        <w:pStyle w:val="Heading1"/>
      </w:pPr>
      <w:r>
        <w:rPr>
          <w:rFonts w:ascii="Arial" w:cs="Arial" w:eastAsia="Arial" w:hAnsi="Arial"/>
          <w:b/>
          <w:bCs/>
          <w:color w:val="1F4E79"/>
          <w:sz w:val="36"/>
          <w:szCs w:val="36"/>
        </w:rPr>
        <w:t xml:space="preserve">SECTION 4.5 — Alternative Architectures: XRP and the Institutional Settlement Model</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XRP makes different trilemma choices from Bitcoin and Ethereum — not worse ones. Understanding both positions prevents the error of treating any single architecture as the only valid approach.</w:t>
      </w:r>
    </w:p>
    <w:p>
      <w:pPr>
        <w:pStyle w:val="Heading2"/>
      </w:pPr>
      <w:r>
        <w:rPr>
          <w:rFonts w:ascii="Arial" w:cs="Arial" w:eastAsia="Arial" w:hAnsi="Arial"/>
          <w:b/>
          <w:bCs/>
          <w:color w:val="2E75B6"/>
          <w:sz w:val="28"/>
          <w:szCs w:val="28"/>
        </w:rPr>
        <w:t xml:space="preserve">4.5.1 — The Problem XRP Was Designed to Solve</w:t>
      </w:r>
    </w:p>
    <w:p>
      <w:pPr>
        <w:spacing w:after="120"/>
      </w:pPr>
      <w:r>
        <w:rPr>
          <w:rFonts w:ascii="Arial" w:cs="Arial" w:eastAsia="Arial" w:hAnsi="Arial"/>
          <w:sz w:val="22"/>
          <w:szCs w:val="22"/>
        </w:rPr>
        <w:t xml:space="preserve">Ripple was founded in 2012 with one mandate: fix correspondent banking. A payment from the Philippines to Germany passes through a chain of correspondent banks — each holding pre-funded nostro/vostro liquidity, each taking 1-3 days, each extracting fees. By arrival, 3-7% is consumed. SWIFT coordinates the messaging; it does not move money. The web of bilateral relationships does — and requires an estimated $27 trillion in pre-funded idle liquidity to function.</w:t>
      </w:r>
    </w:p>
    <w:p>
      <w:pPr>
        <w:spacing w:after="120"/>
      </w:pPr>
      <w:r>
        <w:rPr>
          <w:rFonts w:ascii="Arial" w:cs="Arial" w:eastAsia="Arial" w:hAnsi="Arial"/>
          <w:sz w:val="22"/>
          <w:szCs w:val="22"/>
        </w:rPr>
        <w:t xml:space="preserve">XRP's goal: replace that pre-funded liquidity with real-time bridge currency settlement at near-zero cost.</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[THE TARGET]  </w:t>
      </w:r>
      <w:r>
        <w:rPr>
          <w:rFonts w:ascii="Arial" w:cs="Arial" w:eastAsia="Arial" w:hAnsi="Arial"/>
          <w:color w:val="222222"/>
          <w:sz w:val="20"/>
          <w:szCs w:val="20"/>
        </w:rPr>
        <w:t xml:space="preserve">$27T in idle liquidity. 3-7% cost on $5T in daily cross-border flows. 1-5 day settlement. XRP is a B2B infrastructure replacement proposal — not a retail payment story or investment thesis.</w:t>
      </w:r>
    </w:p>
    <w:p>
      <w:pPr>
        <w:pStyle w:val="Heading2"/>
      </w:pPr>
      <w:r>
        <w:rPr>
          <w:rFonts w:ascii="Arial" w:cs="Arial" w:eastAsia="Arial" w:hAnsi="Arial"/>
          <w:b/>
          <w:bCs/>
          <w:color w:val="2E75B6"/>
          <w:sz w:val="28"/>
          <w:szCs w:val="28"/>
        </w:rPr>
        <w:t xml:space="preserve">4.5.2 — The XRP Ledger: A Different Consensus Architecture</w:t>
      </w:r>
    </w:p>
    <w:p>
      <w:pPr>
        <w:pStyle w:val="Heading3"/>
      </w:pPr>
      <w:r>
        <w:rPr>
          <w:rFonts w:ascii="Arial" w:cs="Arial" w:eastAsia="Arial" w:hAnsi="Arial"/>
          <w:b/>
          <w:bCs/>
          <w:color w:val="444444"/>
          <w:sz w:val="24"/>
          <w:szCs w:val="24"/>
        </w:rPr>
        <w:t xml:space="preserve">How XRP Consensus Works</w:t>
      </w:r>
    </w:p>
    <w:p>
      <w:pPr>
        <w:spacing w:after="120"/>
      </w:pPr>
      <w:r>
        <w:rPr>
          <w:rFonts w:ascii="Arial" w:cs="Arial" w:eastAsia="Arial" w:hAnsi="Arial"/>
          <w:sz w:val="22"/>
          <w:szCs w:val="22"/>
        </w:rPr>
        <w:t xml:space="preserve">Validators vote on transaction sets across iterative rounds — thresholds rising from 50% to 80% agreement — until 80% of trusted validators converge. The ledger closes and is final. Total time: 3-5 seconds. No miners, no energy expenditure, no block reward. XRP was pre-mined entirely at genesis.</w:t>
      </w:r>
    </w:p>
    <w:p>
      <w:pPr>
        <w:pStyle w:val="Heading3"/>
      </w:pPr>
      <w:r>
        <w:rPr>
          <w:rFonts w:ascii="Arial" w:cs="Arial" w:eastAsia="Arial" w:hAnsi="Arial"/>
          <w:b/>
          <w:bCs/>
          <w:color w:val="444444"/>
          <w:sz w:val="24"/>
          <w:szCs w:val="24"/>
        </w:rPr>
        <w:t xml:space="preserve">The Unique Node List (UNL)</w:t>
      </w:r>
    </w:p>
    <w:p>
      <w:pPr>
        <w:spacing w:after="120"/>
      </w:pPr>
      <w:r>
        <w:rPr>
          <w:rFonts w:ascii="Arial" w:cs="Arial" w:eastAsia="Arial" w:hAnsi="Arial"/>
          <w:sz w:val="22"/>
          <w:szCs w:val="22"/>
        </w:rPr>
        <w:t xml:space="preserve">Each participant maintains a list of validators they trust. The default UNL is published by Ripple. Consensus depends on a small set of known institutional validators — universities, exchanges, payment processors, Ripple itself. This is more centralized than Bitcoin's anonymous global mining competition.</w:t>
      </w:r>
    </w:p>
    <w:p>
      <w:pPr>
        <w:spacing w:after="120"/>
      </w:pPr>
      <w:r>
        <w:rPr>
          <w:rFonts w:ascii="Arial" w:cs="Arial" w:eastAsia="Arial" w:hAnsi="Arial"/>
          <w:sz w:val="22"/>
          <w:szCs w:val="22"/>
        </w:rPr>
        <w:t xml:space="preserve">Ripple's position: a pragmatic trade-off enabling institutional-grade performance, with the open validator set providing a check on any single entity. Critics' position: a network whose default trust list is published by its issuer is not meaningfully decentralized.</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Frame it honestly: XRP is more centralized than Bitcoin, more decentralized than PayPal. For known, regulated counterparties doing institutional settlement, the UNL model is appropriate. For censorship resistance in an adversarial regulatory environment, it is clearly insufficient.</w:t>
      </w:r>
    </w:p>
    <w:p>
      <w:pPr>
        <w:pStyle w:val="Heading2"/>
      </w:pPr>
      <w:r>
        <w:rPr>
          <w:rFonts w:ascii="Arial" w:cs="Arial" w:eastAsia="Arial" w:hAnsi="Arial"/>
          <w:b/>
          <w:bCs/>
          <w:color w:val="2E75B6"/>
          <w:sz w:val="28"/>
          <w:szCs w:val="28"/>
        </w:rPr>
        <w:t xml:space="preserve">4.5.3 — XRP's Performance Characteristics</w:t>
      </w:r>
    </w:p>
    <w:p>
      <w:pPr>
        <w:pStyle w:val="ListParagraph"/>
        <w:numPr>
          <w:ilvl w:val="0"/>
          <w:numId w:val="2"/>
        </w:numPr>
        <w:spacing w:after="80"/>
      </w:pPr>
      <w:r>
        <w:rPr>
          <w:rFonts w:ascii="Arial" w:cs="Arial" w:eastAsia="Arial" w:hAnsi="Arial"/>
          <w:sz w:val="22"/>
          <w:szCs w:val="22"/>
        </w:rPr>
        <w:t xml:space="preserve">Finality: 3-5 seconds — deterministic, not probabilistic</w:t>
      </w:r>
    </w:p>
    <w:p>
      <w:pPr>
        <w:pStyle w:val="ListParagraph"/>
        <w:numPr>
          <w:ilvl w:val="0"/>
          <w:numId w:val="2"/>
        </w:numPr>
        <w:spacing w:after="80"/>
      </w:pPr>
      <w:r>
        <w:rPr>
          <w:rFonts w:ascii="Arial" w:cs="Arial" w:eastAsia="Arial" w:hAnsi="Arial"/>
          <w:sz w:val="22"/>
          <w:szCs w:val="22"/>
        </w:rPr>
        <w:t xml:space="preserve">Throughput: ~1,500 TPS baseline</w:t>
      </w:r>
    </w:p>
    <w:p>
      <w:pPr>
        <w:pStyle w:val="ListParagraph"/>
        <w:numPr>
          <w:ilvl w:val="0"/>
          <w:numId w:val="2"/>
        </w:numPr>
        <w:spacing w:after="80"/>
      </w:pPr>
      <w:r>
        <w:rPr>
          <w:rFonts w:ascii="Arial" w:cs="Arial" w:eastAsia="Arial" w:hAnsi="Arial"/>
          <w:sz w:val="22"/>
          <w:szCs w:val="22"/>
        </w:rPr>
        <w:t xml:space="preserve">Cost: fractions of a cent per transaction, fee burned on execution</w:t>
      </w:r>
    </w:p>
    <w:p>
      <w:pPr>
        <w:pStyle w:val="ListParagraph"/>
        <w:numPr>
          <w:ilvl w:val="0"/>
          <w:numId w:val="2"/>
        </w:numPr>
        <w:spacing w:after="80"/>
      </w:pPr>
      <w:r>
        <w:rPr>
          <w:rFonts w:ascii="Arial" w:cs="Arial" w:eastAsia="Arial" w:hAnsi="Arial"/>
          <w:sz w:val="22"/>
          <w:szCs w:val="22"/>
        </w:rPr>
        <w:t xml:space="preserve">Energy: negligible — standard server hardware</w:t>
      </w:r>
    </w:p>
    <w:p>
      <w:pPr>
        <w:spacing w:after="120"/>
      </w:pPr>
      <w:r>
        <w:rPr>
          <w:rFonts w:ascii="Arial" w:cs="Arial" w:eastAsia="Arial" w:hAnsi="Arial"/>
          <w:sz w:val="22"/>
          <w:szCs w:val="22"/>
        </w:rPr>
        <w:t xml:space="preserve">Deterministic finality matters for institutions. A $10M settlement needs certainty, not a probability distribution improving over an hour of Bitcoin confirmations. XRP's 5-second irreversible close maps cleanly onto institutional settlement workflows.</w:t>
      </w:r>
    </w:p>
    <w:p>
      <w:pPr>
        <w:pStyle w:val="Heading2"/>
      </w:pPr>
      <w:r>
        <w:rPr>
          <w:rFonts w:ascii="Arial" w:cs="Arial" w:eastAsia="Arial" w:hAnsi="Arial"/>
          <w:b/>
          <w:bCs/>
          <w:color w:val="2E75B6"/>
          <w:sz w:val="28"/>
          <w:szCs w:val="28"/>
        </w:rPr>
        <w:t xml:space="preserve">4.5.4 — On-Demand Liquidity: The Bridge Currency Mechanism</w:t>
      </w:r>
    </w:p>
    <w:p>
      <w:pPr>
        <w:spacing w:after="120"/>
      </w:pPr>
      <w:r>
        <w:rPr>
          <w:rFonts w:ascii="Arial" w:cs="Arial" w:eastAsia="Arial" w:hAnsi="Arial"/>
          <w:sz w:val="22"/>
          <w:szCs w:val="22"/>
        </w:rPr>
        <w:t xml:space="preserve">ODL flow for a US-to-Mexico payment: (1) US sender deposits USD at a Ripple-connected exchange; (2) exchange buys XRP; (3) XRP transmits to a Mexican exchange in 3-5 seconds; (4) Mexican exchange sells XRP for MXN; (5) MXN deposited to recipient. Total time: under 60 seconds. No pre-funded liquidity in Mexico. No correspondent bank. No SWIFT chain.</w:t>
      </w:r>
    </w:p>
    <w:p>
      <w:pPr>
        <w:spacing w:after="120"/>
      </w:pPr>
      <w:r>
        <w:rPr>
          <w:rFonts w:ascii="Arial" w:cs="Arial" w:eastAsia="Arial" w:hAnsi="Arial"/>
          <w:sz w:val="22"/>
          <w:szCs w:val="22"/>
        </w:rPr>
        <w:t xml:space="preserve">The XRP is held for seconds — counterparties carry no meaningful price risk. The pre-funded nostro account is replaced by real-time market liquidity.</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[THE FLYWHEEL]  </w:t>
      </w:r>
      <w:r>
        <w:rPr>
          <w:rFonts w:ascii="Arial" w:cs="Arial" w:eastAsia="Arial" w:hAnsi="Arial"/>
          <w:color w:val="222222"/>
          <w:sz w:val="20"/>
          <w:szCs w:val="20"/>
        </w:rPr>
        <w:t xml:space="preserve">ODL doesn't require believing in XRP as an investment — only that XRP markets are liquid enough in the relevant corridors. ODL volume → more market-making demand → more liquidity → more ODL. The institutional adoption strategy is coherent even for XRP skeptics.</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Trading-background students: ODL is a payment-synchronized FX trade using XRP as a synthetic vehicle. The innovation is reducing settlement from T+2 to T+5-seconds, eliminating the settlement risk that makes correspondent banks necessary.</w:t>
      </w:r>
    </w:p>
    <w:p>
      <w:pPr>
        <w:pStyle w:val="Heading2"/>
      </w:pPr>
      <w:r>
        <w:rPr>
          <w:rFonts w:ascii="Arial" w:cs="Arial" w:eastAsia="Arial" w:hAnsi="Arial"/>
          <w:b/>
          <w:bCs/>
          <w:color w:val="2E75B6"/>
          <w:sz w:val="28"/>
          <w:szCs w:val="28"/>
        </w:rPr>
        <w:t xml:space="preserve">4.5.5 — XRPL Native DEX and Tokenization</w:t>
      </w:r>
    </w:p>
    <w:p>
      <w:pPr>
        <w:spacing w:after="120"/>
      </w:pPr>
      <w:r>
        <w:rPr>
          <w:rFonts w:ascii="Arial" w:cs="Arial" w:eastAsia="Arial" w:hAnsi="Arial"/>
          <w:sz w:val="22"/>
          <w:szCs w:val="22"/>
        </w:rPr>
        <w:t xml:space="preserve">The XRP Ledger has had a native DEX since 2012 — predating Ethereum. Any tokenized asset trades against any other, including XRP, at the base protocol layer. RLUSD (Ripple's USD stablecoin, launched late 2024) provides native dollar settlement. XRPL has run CBDC pilots with multiple central banks and tokenized bonds. The architectural trade-off vs. Ethereum: token logic at the protocol layer is faster and cheaper but less flexible than EVM smart contracts. XRPL does payment, token issuance, and DEX trading excellently. It cannot execute arbitrary financial logic at Solidity's richness.</w:t>
      </w:r>
    </w:p>
    <w:p>
      <w:pPr>
        <w:pStyle w:val="Heading2"/>
      </w:pPr>
      <w:r>
        <w:rPr>
          <w:rFonts w:ascii="Arial" w:cs="Arial" w:eastAsia="Arial" w:hAnsi="Arial"/>
          <w:b/>
          <w:bCs/>
          <w:color w:val="2E75B6"/>
          <w:sz w:val="28"/>
          <w:szCs w:val="28"/>
        </w:rPr>
        <w:t xml:space="preserve">4.5.6 — Regulatory History: The SEC Battle</w:t>
      </w:r>
    </w:p>
    <w:p>
      <w:pPr>
        <w:spacing w:after="120"/>
      </w:pPr>
      <w:r>
        <w:rPr>
          <w:rFonts w:ascii="Arial" w:cs="Arial" w:eastAsia="Arial" w:hAnsi="Arial"/>
          <w:sz w:val="22"/>
          <w:szCs w:val="22"/>
        </w:rPr>
        <w:t xml:space="preserve">In December 2020, the SEC sued Ripple, alleging XRP was an unregistered security. XRP fell ~65% in a week; major US exchanges delisted it. Four years of litigation followed. In July 2023, Judge Torres issued a landmark partial ruling: programmatic retail sales of XRP were not securities offerings; direct institutional sales under negotiated contracts were. The same asset, different regulatory classification based on sale context.</w:t>
      </w:r>
    </w:p>
    <w:p>
      <w:pPr>
        <w:spacing w:after="120"/>
      </w:pPr>
      <w:r>
        <w:rPr>
          <w:rFonts w:ascii="Arial" w:cs="Arial" w:eastAsia="Arial" w:hAnsi="Arial"/>
          <w:sz w:val="22"/>
          <w:szCs w:val="22"/>
        </w:rPr>
        <w:t xml:space="preserve">The SEC appealed; in 2025, under a changed regulatory environment, the SEC dropped its appeal. Ripple paid a reduced penalty. XRP was re-admitted to the US institutional market.</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[THE CASE STUDY]  </w:t>
      </w:r>
      <w:r>
        <w:rPr>
          <w:rFonts w:ascii="Arial" w:cs="Arial" w:eastAsia="Arial" w:hAnsi="Arial"/>
          <w:color w:val="222222"/>
          <w:sz w:val="20"/>
          <w:szCs w:val="20"/>
        </w:rPr>
        <w:t xml:space="preserve">SEC v. Ripple established that the same asset can have different regulatory classifications depending on how it is sold — not what it is. Every token issuance and exchange listing must now account for this. Regulatory risk is first-class risk.</w:t>
      </w:r>
    </w:p>
    <w:p>
      <w:pPr>
        <w:pStyle w:val="Heading2"/>
      </w:pPr>
      <w:r>
        <w:rPr>
          <w:rFonts w:ascii="Arial" w:cs="Arial" w:eastAsia="Arial" w:hAnsi="Arial"/>
          <w:b/>
          <w:bCs/>
          <w:color w:val="2E75B6"/>
          <w:sz w:val="28"/>
          <w:szCs w:val="28"/>
        </w:rPr>
        <w:t xml:space="preserve">4.5.7 — XRP vs. Bitcoin vs. Ethereum: Comparative Analysis</w:t>
      </w:r>
    </w:p>
    <w:p>
      <w:pPr>
        <w:spacing w:after="120"/>
      </w:pPr>
      <w:r>
        <w:rPr>
          <w:rFonts w:ascii="Arial" w:cs="Arial" w:eastAsia="Arial" w:hAnsi="Arial"/>
          <w:sz w:val="22"/>
          <w:szCs w:val="22"/>
        </w:rPr>
        <w:t xml:space="preserve">These three architectures are not competing for the same market. They occupy different positions in the digital financial stack:</w:t>
      </w:r>
    </w:p>
    <w:p>
      <w:pPr>
        <w:pStyle w:val="Heading3"/>
      </w:pPr>
      <w:r>
        <w:rPr>
          <w:rFonts w:ascii="Arial" w:cs="Arial" w:eastAsia="Arial" w:hAnsi="Arial"/>
          <w:b/>
          <w:bCs/>
          <w:color w:val="444444"/>
          <w:sz w:val="24"/>
          <w:szCs w:val="24"/>
        </w:rPr>
        <w:t xml:space="preserve">Bitcoin — Monetary Reserve Layer</w:t>
      </w:r>
    </w:p>
    <w:p>
      <w:pPr>
        <w:spacing w:after="120"/>
      </w:pPr>
      <w:r>
        <w:rPr>
          <w:rFonts w:ascii="Arial" w:cs="Arial" w:eastAsia="Arial" w:hAnsi="Arial"/>
          <w:sz w:val="22"/>
          <w:szCs w:val="22"/>
        </w:rPr>
        <w:t xml:space="preserve">Maximum decentralization and security, low throughput accepted. PoW anchors security in thermodynamic reality. Fixed supply, no issuer, no counterparty. Best for: store of value, long-term monetary reserve, censorship-resistant transfers. Not for: micropayments (Lightning solves this), complex programmable logic (Ethereum solves this), deterministic institutional settlement.</w:t>
      </w:r>
    </w:p>
    <w:p>
      <w:pPr>
        <w:pStyle w:val="Heading3"/>
      </w:pPr>
      <w:r>
        <w:rPr>
          <w:rFonts w:ascii="Arial" w:cs="Arial" w:eastAsia="Arial" w:hAnsi="Arial"/>
          <w:b/>
          <w:bCs/>
          <w:color w:val="444444"/>
          <w:sz w:val="24"/>
          <w:szCs w:val="24"/>
        </w:rPr>
        <w:t xml:space="preserve">Ethereum — Programmable Settlement Layer</w:t>
      </w:r>
    </w:p>
    <w:p>
      <w:pPr>
        <w:spacing w:after="120"/>
      </w:pPr>
      <w:r>
        <w:rPr>
          <w:rFonts w:ascii="Arial" w:cs="Arial" w:eastAsia="Arial" w:hAnsi="Arial"/>
          <w:sz w:val="22"/>
          <w:szCs w:val="22"/>
        </w:rPr>
        <w:t xml:space="preserve">General-purpose programmable blockchain. PoS balances security and energy efficiency. Best for: DeFi, stablecoins, tokenized assets with complex programmable rules, composable protocols. Not for: pure payment throughput at base layer (L2s solve this), simple institutional settlement requiring deterministic finality.</w:t>
      </w:r>
    </w:p>
    <w:p>
      <w:pPr>
        <w:pStyle w:val="Heading3"/>
      </w:pPr>
      <w:r>
        <w:rPr>
          <w:rFonts w:ascii="Arial" w:cs="Arial" w:eastAsia="Arial" w:hAnsi="Arial"/>
          <w:b/>
          <w:bCs/>
          <w:color w:val="444444"/>
          <w:sz w:val="24"/>
          <w:szCs w:val="24"/>
        </w:rPr>
        <w:t xml:space="preserve">XRP — Institutional Bridge Layer</w:t>
      </w:r>
    </w:p>
    <w:p>
      <w:pPr>
        <w:spacing w:after="120"/>
      </w:pPr>
      <w:r>
        <w:rPr>
          <w:rFonts w:ascii="Arial" w:cs="Arial" w:eastAsia="Arial" w:hAnsi="Arial"/>
          <w:sz w:val="22"/>
          <w:szCs w:val="22"/>
        </w:rPr>
        <w:t xml:space="preserve">Designed for one job: correspondent banking. Federated consensus trades decentralization for performance. Best for: institutional cross-border settlement, FX bridge currency, tokenized financial instruments needing deterministic finality and regulatory legibility, CBDC pilots. Not for: censorship-resistant transfers (UNL is regulatorily pressurable), complex DeFi, store of value (no supply cap guarantee equivalent to Bitcoin).</w:t>
      </w:r>
    </w:p>
    <w:p>
      <w:pPr>
        <w:pStyle w:val="Heading3"/>
      </w:pPr>
      <w:r>
        <w:rPr>
          <w:rFonts w:ascii="Arial" w:cs="Arial" w:eastAsia="Arial" w:hAnsi="Arial"/>
          <w:b/>
          <w:bCs/>
          <w:color w:val="444444"/>
          <w:sz w:val="24"/>
          <w:szCs w:val="24"/>
        </w:rPr>
        <w:t xml:space="preserve">The Complementary Stack</w:t>
      </w:r>
    </w:p>
    <w:p>
      <w:pPr>
        <w:spacing w:after="120"/>
      </w:pPr>
      <w:r>
        <w:rPr>
          <w:rFonts w:ascii="Arial" w:cs="Arial" w:eastAsia="Arial" w:hAnsi="Arial"/>
          <w:sz w:val="22"/>
          <w:szCs w:val="22"/>
        </w:rPr>
        <w:t xml:space="preserve">Bitcoin for base monetary reserve. Ethereum for programmable tokenized assets and DeFi. XRP for real-time institutional cross-border settlement. Lightning for consumer and machine micropayments. Stablecoins as the settlement medium across all layers. No single architecture provides all these properties — the future financial system is multi-chain, as the internet is multi-protocol.</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[STRATEGIC IMPLICATION]  </w:t>
      </w:r>
      <w:r>
        <w:rPr>
          <w:rFonts w:ascii="Arial" w:cs="Arial" w:eastAsia="Arial" w:hAnsi="Arial"/>
          <w:color w:val="222222"/>
          <w:sz w:val="20"/>
          <w:szCs w:val="20"/>
        </w:rPr>
        <w:t xml:space="preserve">Advising on digital asset strategy requires mapping use case requirements — settlement speed, counterparty risk tolerance, regulatory environment, transaction volume — to the right architectural trade-offs. There is no universal 'best blockchain.' There is only the right trilemma position for the specific problem.</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Return to the trilemma triangle: place Bitcoin, Ethereum, XRP, Solana. Then ask: where do CBDCs sit? Fedimint? Lightning? The exercise forces application of the framework to architectures they haven't studied directly.</w:t>
      </w:r>
    </w:p>
    <w:p>
      <w:pPr>
        <w:pStyle w:val="Heading2"/>
      </w:pPr>
      <w:r>
        <w:rPr>
          <w:rFonts w:ascii="Arial" w:cs="Arial" w:eastAsia="Arial" w:hAnsi="Arial"/>
          <w:b/>
          <w:bCs/>
          <w:color w:val="2E75B6"/>
          <w:sz w:val="28"/>
          <w:szCs w:val="28"/>
        </w:rPr>
        <w:t xml:space="preserve">4.5.8 — Solana, Avalanche, and the Broader Landscape</w:t>
      </w:r>
    </w:p>
    <w:p>
      <w:pPr>
        <w:spacing w:after="120"/>
      </w:pPr>
      <w:r>
        <w:rPr>
          <w:rFonts w:ascii="Arial" w:cs="Arial" w:eastAsia="Arial" w:hAnsi="Arial"/>
          <w:sz w:val="22"/>
          <w:szCs w:val="22"/>
        </w:rPr>
        <w:t xml:space="preserve">Solana's Proof of History allows parallel transaction processing — theoretical 65,000 TPS, low fees, dominant for consumer apps, gaming, and NFTs. Trade-off: high-performance validator hardware concentrates the network; Solana has experienced multiple network outages under load. Sits at the scalability corner of the trilemma.</w:t>
      </w:r>
    </w:p>
    <w:p>
      <w:pPr>
        <w:spacing w:after="120"/>
      </w:pPr>
      <w:r>
        <w:rPr>
          <w:rFonts w:ascii="Arial" w:cs="Arial" w:eastAsia="Arial" w:hAnsi="Arial"/>
          <w:sz w:val="22"/>
          <w:szCs w:val="22"/>
        </w:rPr>
        <w:t xml:space="preserve">Avalanche introduces three-chain primary network architecture (P-Chain, X-Chain, C-Chain) plus custom subnets — isolated permissioned blockchains with their own validators and rules, interoperable with the broader Avalanche ecosystem. A financial institution can deploy a permissioned Avalanche subnet meeting its compliance requirements while accessing public liquidity. This enterprise model has attracted significant institutional interest.</w:t>
      </w:r>
    </w:p>
    <w:p>
      <w:pPr>
        <w:spacing w:after="120"/>
      </w:pPr>
      <w:r>
        <w:rPr>
          <w:rFonts w:ascii="Arial" w:cs="Arial" w:eastAsia="Arial" w:hAnsi="Arial"/>
          <w:sz w:val="22"/>
          <w:szCs w:val="22"/>
        </w:rPr>
        <w:t xml:space="preserve">The analytical framework — trilemma positions, consensus security, governance structure, regulatory legibility — applies identically to every architecture. Understand the framework and you can evaluate any new entrant from first principles without memorizing implementation details.</w:t>
      </w:r>
    </w:p>
    <w:p>
      <w:pPr>
        <w:spacing w:before="200" w:after="200"/>
      </w:pPr>
      <w:r>
        <w:rPr>
          <w:rFonts w:ascii="Arial" w:cs="Arial" w:eastAsia="Arial" w:hAnsi="Arial"/>
          <w:b/>
          <w:bCs/>
          <w:i/>
          <w:iCs/>
          <w:color w:val="2E75B6"/>
          <w:sz w:val="20"/>
          <w:szCs w:val="20"/>
        </w:rPr>
        <w:t xml:space="preserve">→  The full stack is mapped: Bitcoin at the base, Lightning and Fedimint for scaling, Ethereum and DeFi for programmable finance, tokenization for real-world assets, stablecoins for settlement, XRP and alternatives for institutional bridges. What happens when autonomous AI agents are given access to all of it?</w:t>
      </w:r>
    </w:p>
    <w:p>
      <w:r>
        <w:br w:type="page"/>
      </w:r>
    </w:p>
    <w:p>
      <w:pPr>
        <w:pStyle w:val="Heading1"/>
      </w:pPr>
      <w:r>
        <w:rPr>
          <w:rFonts w:ascii="Arial" w:cs="Arial" w:eastAsia="Arial" w:hAnsi="Arial"/>
          <w:b/>
          <w:bCs/>
          <w:color w:val="1F4E79"/>
          <w:sz w:val="36"/>
          <w:szCs w:val="36"/>
        </w:rPr>
        <w:t xml:space="preserve">SECTION 5 — The Convergence: Blockchain Meets Generative AI</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Forward-looking and entrepreneurial. Frame as a thinking framework, not specific price predictions.</w:t>
      </w:r>
    </w:p>
    <w:p>
      <w:pPr>
        <w:pStyle w:val="Heading2"/>
      </w:pPr>
      <w:r>
        <w:rPr>
          <w:rFonts w:ascii="Arial" w:cs="Arial" w:eastAsia="Arial" w:hAnsi="Arial"/>
          <w:b/>
          <w:bCs/>
          <w:color w:val="2E75B6"/>
          <w:sz w:val="28"/>
          <w:szCs w:val="28"/>
        </w:rPr>
        <w:t xml:space="preserve">5.1 — Two Technologies, One Convergence</w:t>
      </w:r>
    </w:p>
    <w:p>
      <w:pPr>
        <w:spacing w:after="120"/>
      </w:pPr>
      <w:r>
        <w:rPr>
          <w:rFonts w:ascii="Arial" w:cs="Arial" w:eastAsia="Arial" w:hAnsi="Arial"/>
          <w:sz w:val="22"/>
          <w:szCs w:val="22"/>
        </w:rPr>
        <w:t xml:space="preserve">Two foundational technologies are maturing simultaneously: blockchain — trustless, programmable infrastructure for recording and transferring value — and generative AI — systems capable of complex reasoning, code generation, and autonomous action at scale. Each is transformative in isolation. Their convergence creates markets that cannot exist without both.</w:t>
      </w:r>
    </w:p>
    <w:p>
      <w:pPr>
        <w:pStyle w:val="Heading2"/>
      </w:pPr>
      <w:r>
        <w:rPr>
          <w:rFonts w:ascii="Arial" w:cs="Arial" w:eastAsia="Arial" w:hAnsi="Arial"/>
          <w:b/>
          <w:bCs/>
          <w:color w:val="2E75B6"/>
          <w:sz w:val="28"/>
          <w:szCs w:val="28"/>
        </w:rPr>
        <w:t xml:space="preserve">5.2 — Autonomous Agents: Not Bots</w:t>
      </w:r>
    </w:p>
    <w:p>
      <w:pPr>
        <w:spacing w:after="120"/>
      </w:pPr>
      <w:r>
        <w:rPr>
          <w:rFonts w:ascii="Arial" w:cs="Arial" w:eastAsia="Arial" w:hAnsi="Arial"/>
          <w:sz w:val="22"/>
          <w:szCs w:val="22"/>
        </w:rPr>
        <w:t xml:space="preserve">A bot follows a predefined script. An agent is given a goal and autonomously determines the sequence of actions to achieve it.</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[ANALOGY]  </w:t>
      </w:r>
      <w:r>
        <w:rPr>
          <w:rFonts w:ascii="Arial" w:cs="Arial" w:eastAsia="Arial" w:hAnsi="Arial"/>
          <w:color w:val="222222"/>
          <w:sz w:val="20"/>
          <w:szCs w:val="20"/>
        </w:rPr>
        <w:t xml:space="preserve">A bot is an assembly line worker following precise instructions. An agent is a junior associate given 'close this deal by Friday' and left to figure out strategy, communication, and execution.</w:t>
      </w:r>
    </w:p>
    <w:p>
      <w:pPr>
        <w:spacing w:after="120"/>
      </w:pPr>
      <w:r>
        <w:rPr>
          <w:rFonts w:ascii="Arial" w:cs="Arial" w:eastAsia="Arial" w:hAnsi="Arial"/>
          <w:sz w:val="22"/>
          <w:szCs w:val="22"/>
        </w:rPr>
        <w:t xml:space="preserve">Financial implications: an agent can read market conditions, assess counterparty risk, identify optimal contract terms, and execute — without human intervention at each step. It can monitor a DeFi portfolio and rebalance in real time. It can represent a business in contract negotiations, signing smart contracts with the owner's cryptographic credentials.</w:t>
      </w:r>
    </w:p>
    <w:p>
      <w:pPr>
        <w:pStyle w:val="Heading2"/>
      </w:pPr>
      <w:r>
        <w:rPr>
          <w:rFonts w:ascii="Arial" w:cs="Arial" w:eastAsia="Arial" w:hAnsi="Arial"/>
          <w:b/>
          <w:bCs/>
          <w:color w:val="2E75B6"/>
          <w:sz w:val="28"/>
          <w:szCs w:val="28"/>
        </w:rPr>
        <w:t xml:space="preserve">5.3 — The Identity Problem: Solved by Cryptography</w:t>
      </w:r>
    </w:p>
    <w:p>
      <w:pPr>
        <w:spacing w:after="120"/>
      </w:pPr>
      <w:r>
        <w:rPr>
          <w:rFonts w:ascii="Arial" w:cs="Arial" w:eastAsia="Arial" w:hAnsi="Arial"/>
          <w:sz w:val="22"/>
          <w:szCs w:val="22"/>
        </w:rPr>
        <w:t xml:space="preserve">How do you know the agent on the other side of a smart contract is authorized? The answer is already in the architecture:</w:t>
      </w:r>
    </w:p>
    <w:p>
      <w:pPr>
        <w:pBdr>
          <w:left w:val="thick" w:color="1F4E79" w:sz="8" w:space="8"/>
        </w:pBdr>
        <w:shd w:fill="D6E4F0" w:val="clear"/>
        <w:spacing w:before="200" w:after="200"/>
        <w:ind w:left="360"/>
      </w:pPr>
      <w:r>
        <w:rPr>
          <w:rFonts w:ascii="Arial" w:cs="Arial" w:eastAsia="Arial" w:hAnsi="Arial"/>
          <w:b/>
          <w:bCs/>
          <w:color w:val="1F4E79"/>
          <w:sz w:val="24"/>
          <w:szCs w:val="24"/>
        </w:rPr>
        <w:t xml:space="preserve">The agent signs the transaction with the principal's private key.</w:t>
      </w:r>
    </w:p>
    <w:p>
      <w:pPr>
        <w:spacing w:after="120"/>
      </w:pPr>
      <w:r>
        <w:rPr>
          <w:rFonts w:ascii="Arial" w:cs="Arial" w:eastAsia="Arial" w:hAnsi="Arial"/>
          <w:sz w:val="22"/>
          <w:szCs w:val="22"/>
        </w:rPr>
        <w:t xml:space="preserve">Cryptographic authorization is mathematically verifiable and unforgeable. Every agent action is permanently recorded on-chain. Smart contracts execute only when the authorizing signature matches a specific key — enabling fine-grained, conditional delegation of authority.</w:t>
      </w:r>
    </w:p>
    <w:p>
      <w:pPr>
        <w:pStyle w:val="Heading2"/>
      </w:pPr>
      <w:r>
        <w:rPr>
          <w:rFonts w:ascii="Arial" w:cs="Arial" w:eastAsia="Arial" w:hAnsi="Arial"/>
          <w:b/>
          <w:bCs/>
          <w:color w:val="2E75B6"/>
          <w:sz w:val="28"/>
          <w:szCs w:val="28"/>
        </w:rPr>
        <w:t xml:space="preserve">5.4 — Emerging Market Structures</w:t>
      </w:r>
    </w:p>
    <w:p>
      <w:pPr>
        <w:pStyle w:val="Heading3"/>
      </w:pPr>
      <w:r>
        <w:rPr>
          <w:rFonts w:ascii="Arial" w:cs="Arial" w:eastAsia="Arial" w:hAnsi="Arial"/>
          <w:b/>
          <w:bCs/>
          <w:color w:val="444444"/>
          <w:sz w:val="24"/>
          <w:szCs w:val="24"/>
        </w:rPr>
        <w:t xml:space="preserve">Agent-to-Agent Commerce</w:t>
      </w:r>
    </w:p>
    <w:p>
      <w:pPr>
        <w:spacing w:after="120"/>
      </w:pPr>
      <w:r>
        <w:rPr>
          <w:rFonts w:ascii="Arial" w:cs="Arial" w:eastAsia="Arial" w:hAnsi="Arial"/>
          <w:sz w:val="22"/>
          <w:szCs w:val="22"/>
        </w:rPr>
        <w:t xml:space="preserve">Two AI agents — representing different organizations — negotiate and settle commercial transactions autonomously. Procurement, spot trading, logistics capacity allocation. Humans set strategy and constraints; agents execute.</w:t>
      </w:r>
    </w:p>
    <w:p>
      <w:pPr>
        <w:pStyle w:val="Heading3"/>
      </w:pPr>
      <w:r>
        <w:rPr>
          <w:rFonts w:ascii="Arial" w:cs="Arial" w:eastAsia="Arial" w:hAnsi="Arial"/>
          <w:b/>
          <w:bCs/>
          <w:color w:val="444444"/>
          <w:sz w:val="24"/>
          <w:szCs w:val="24"/>
        </w:rPr>
        <w:t xml:space="preserve">Agentic DeFi and Treasury Management</w:t>
      </w:r>
    </w:p>
    <w:p>
      <w:pPr>
        <w:spacing w:after="120"/>
      </w:pPr>
      <w:r>
        <w:rPr>
          <w:rFonts w:ascii="Arial" w:cs="Arial" w:eastAsia="Arial" w:hAnsi="Arial"/>
          <w:sz w:val="22"/>
          <w:szCs w:val="22"/>
        </w:rPr>
        <w:t xml:space="preserve">AI agents optimizing treasury positions across DeFi protocols — yield optimization, collateral management, exposure hedging — at speed and precision impossible for human portfolio managers.</w:t>
      </w:r>
    </w:p>
    <w:p>
      <w:pPr>
        <w:pStyle w:val="Heading3"/>
      </w:pPr>
      <w:r>
        <w:rPr>
          <w:rFonts w:ascii="Arial" w:cs="Arial" w:eastAsia="Arial" w:hAnsi="Arial"/>
          <w:b/>
          <w:bCs/>
          <w:color w:val="444444"/>
          <w:sz w:val="24"/>
          <w:szCs w:val="24"/>
        </w:rPr>
        <w:t xml:space="preserve">On-Chain Data Markets</w:t>
      </w:r>
    </w:p>
    <w:p>
      <w:pPr>
        <w:spacing w:after="120"/>
      </w:pPr>
      <w:r>
        <w:rPr>
          <w:rFonts w:ascii="Arial" w:cs="Arial" w:eastAsia="Arial" w:hAnsi="Arial"/>
          <w:sz w:val="22"/>
          <w:szCs w:val="22"/>
        </w:rPr>
        <w:t xml:space="preserve">AI models need training data. Blockchain creates verifiable provenance: who created it, what licenses apply, what was paid. A market for authenticated, licensed data where creators receive automatic smart contract compensation when their data is used.</w:t>
      </w:r>
    </w:p>
    <w:p>
      <w:pPr>
        <w:pStyle w:val="Heading3"/>
      </w:pPr>
      <w:r>
        <w:rPr>
          <w:rFonts w:ascii="Arial" w:cs="Arial" w:eastAsia="Arial" w:hAnsi="Arial"/>
          <w:b/>
          <w:bCs/>
          <w:color w:val="444444"/>
          <w:sz w:val="24"/>
          <w:szCs w:val="24"/>
        </w:rPr>
        <w:t xml:space="preserve">Decentralized Identity and Credentials</w:t>
      </w:r>
    </w:p>
    <w:p>
      <w:pPr>
        <w:spacing w:after="120"/>
      </w:pPr>
      <w:r>
        <w:rPr>
          <w:rFonts w:ascii="Arial" w:cs="Arial" w:eastAsia="Arial" w:hAnsi="Arial"/>
          <w:sz w:val="22"/>
          <w:szCs w:val="22"/>
        </w:rPr>
        <w:t xml:space="preserve">As agents proliferate, identity and reputation become critical infrastructure. Blockchain-based decentralized identity lets credentials — degrees, employment history, transaction reputation — be verified without a centralized authority, enabling trust between strangers, human or AI, in permissionless environments.</w:t>
      </w:r>
    </w:p>
    <w:p>
      <w:pPr>
        <w:pStyle w:val="Heading3"/>
      </w:pPr>
      <w:r>
        <w:rPr>
          <w:rFonts w:ascii="Arial" w:cs="Arial" w:eastAsia="Arial" w:hAnsi="Arial"/>
          <w:b/>
          <w:bCs/>
          <w:color w:val="444444"/>
          <w:sz w:val="24"/>
          <w:szCs w:val="24"/>
        </w:rPr>
        <w:t xml:space="preserve">AI-Governed DAOs</w:t>
      </w:r>
    </w:p>
    <w:p>
      <w:pPr>
        <w:spacing w:after="120"/>
      </w:pPr>
      <w:r>
        <w:rPr>
          <w:rFonts w:ascii="Arial" w:cs="Arial" w:eastAsia="Arial" w:hAnsi="Arial"/>
          <w:sz w:val="22"/>
          <w:szCs w:val="22"/>
        </w:rPr>
        <w:t xml:space="preserve">AI agents can analyze governance proposals, model outcomes, and cast votes within parameters set by human stakeholders — a new organizational form with no precedent in corporate law.</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[ENTREPRENEURIAL LENS]  </w:t>
      </w:r>
      <w:r>
        <w:rPr>
          <w:rFonts w:ascii="Arial" w:cs="Arial" w:eastAsia="Arial" w:hAnsi="Arial"/>
          <w:color w:val="222222"/>
          <w:sz w:val="20"/>
          <w:szCs w:val="20"/>
        </w:rPr>
        <w:t xml:space="preserve">Value is created not by the technology itself but by the entrepreneur who identifies where intermediaries extract rent and builds the trustless alternative. Where is the bottleneck in your industry's value chain?</w:t>
      </w:r>
    </w:p>
    <w:p>
      <w:pPr>
        <w:pStyle w:val="Heading2"/>
      </w:pPr>
      <w:r>
        <w:rPr>
          <w:rFonts w:ascii="Arial" w:cs="Arial" w:eastAsia="Arial" w:hAnsi="Arial"/>
          <w:b/>
          <w:bCs/>
          <w:color w:val="2E75B6"/>
          <w:sz w:val="28"/>
          <w:szCs w:val="28"/>
        </w:rPr>
        <w:t xml:space="preserve">5.5 — The Competitive Imperative</w:t>
      </w:r>
    </w:p>
    <w:p>
      <w:pPr>
        <w:spacing w:after="120"/>
      </w:pPr>
      <w:r>
        <w:rPr>
          <w:rFonts w:ascii="Arial" w:cs="Arial" w:eastAsia="Arial" w:hAnsi="Arial"/>
          <w:sz w:val="22"/>
          <w:szCs w:val="22"/>
        </w:rPr>
        <w:t xml:space="preserve">Bitcoin sits on sovereign wealth fund and nation-state balance sheets. Stablecoins process trillions annually. Bitcoin ETFs are SEC-approved. BlackRock has a tokenized money market fund on Ethereum. This infrastructure is transitioning from experimental to institutional now, in this window.</w:t>
      </w:r>
    </w:p>
    <w:p>
      <w:pPr>
        <w:spacing w:after="120"/>
      </w:pPr>
      <w:r>
        <w:rPr>
          <w:rFonts w:ascii="Arial" w:cs="Arial" w:eastAsia="Arial" w:hAnsi="Arial"/>
          <w:sz w:val="22"/>
          <w:szCs w:val="22"/>
        </w:rPr>
        <w:t xml:space="preserve">The entrepreneurs who understood TCP/IP in 1995 built Amazon, Google, and Facebook. Those who understood mobile in 2007 built Uber, Airbnb, and Stripe. The window for foundational positioning in blockchain-native and agentic AI markets is open. It will not remain open indefinitely.</w:t>
      </w:r>
    </w:p>
    <w:p>
      <w:pPr>
        <w:spacing w:before="200" w:after="200"/>
      </w:pPr>
      <w:r>
        <w:rPr>
          <w:rFonts w:ascii="Arial" w:cs="Arial" w:eastAsia="Arial" w:hAnsi="Arial"/>
          <w:b/>
          <w:bCs/>
          <w:i/>
          <w:iCs/>
          <w:color w:val="2E75B6"/>
          <w:sz w:val="20"/>
          <w:szCs w:val="20"/>
        </w:rPr>
        <w:t xml:space="preserve">→  Let's move from strategic context to concrete evidence that this future is already being built at the protocol level.</w:t>
      </w:r>
    </w:p>
    <w:p>
      <w:r>
        <w:br w:type="page"/>
      </w:r>
    </w:p>
    <w:p>
      <w:pPr>
        <w:pStyle w:val="Heading1"/>
      </w:pPr>
      <w:r>
        <w:rPr>
          <w:rFonts w:ascii="Arial" w:cs="Arial" w:eastAsia="Arial" w:hAnsi="Arial"/>
          <w:b/>
          <w:bCs/>
          <w:color w:val="1F4E79"/>
          <w:sz w:val="36"/>
          <w:szCs w:val="36"/>
        </w:rPr>
        <w:t xml:space="preserve">SECTION 6 — The Protocol Layer: Machine-to-Machine Payments Become Real</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Theory becomes infrastructure. The IETF draft was published March 18, 2026 — three days ago. Show students the actual plumbing being built RIGHT NOW for the agentic economy.</w:t>
      </w:r>
    </w:p>
    <w:p>
      <w:pPr>
        <w:pStyle w:val="Heading2"/>
      </w:pPr>
      <w:r>
        <w:rPr>
          <w:rFonts w:ascii="Arial" w:cs="Arial" w:eastAsia="Arial" w:hAnsi="Arial"/>
          <w:b/>
          <w:bCs/>
          <w:color w:val="2E75B6"/>
          <w:sz w:val="28"/>
          <w:szCs w:val="28"/>
        </w:rPr>
        <w:t xml:space="preserve">6.1 — From Vision to Specification</w:t>
      </w:r>
    </w:p>
    <w:p>
      <w:pPr>
        <w:spacing w:after="120"/>
      </w:pPr>
      <w:r>
        <w:rPr>
          <w:rFonts w:ascii="Arial" w:cs="Arial" w:eastAsia="Arial" w:hAnsi="Arial"/>
          <w:sz w:val="22"/>
          <w:szCs w:val="22"/>
        </w:rPr>
        <w:t xml:space="preserve">On March 18, 2026 — three days ago — engineers from Tempo Labs and Stripe submitted an Internet Draft to the IETF: the Internet Engineering Task Force. The IETF standardized HTTP, email, and TLS. What they ratify becomes the plumbing of the global internet.</w:t>
      </w:r>
    </w:p>
    <w:p>
      <w:pPr>
        <w:spacing w:after="120"/>
      </w:pPr>
      <w:r>
        <w:rPr>
          <w:rFonts w:ascii="Arial" w:cs="Arial" w:eastAsia="Arial" w:hAnsi="Arial"/>
          <w:sz w:val="22"/>
          <w:szCs w:val="22"/>
        </w:rPr>
        <w:t xml:space="preserve">The draft: 'The Payment HTTP Authentication Scheme' — draft-httpauth-payment-00.</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[WHY THIS MATTERS]  </w:t>
      </w:r>
      <w:r>
        <w:rPr>
          <w:rFonts w:ascii="Arial" w:cs="Arial" w:eastAsia="Arial" w:hAnsi="Arial"/>
          <w:color w:val="222222"/>
          <w:sz w:val="20"/>
          <w:szCs w:val="20"/>
        </w:rPr>
        <w:t xml:space="preserve">The IETF builds protocols, not products. A standards-track submission asks every HTTP client and server on the internet to implement something, forever. This is not a startup announcement — it is an attempt to change the plumbing of the web.</w:t>
      </w:r>
    </w:p>
    <w:p>
      <w:pPr>
        <w:pStyle w:val="Heading2"/>
      </w:pPr>
      <w:r>
        <w:rPr>
          <w:rFonts w:ascii="Arial" w:cs="Arial" w:eastAsia="Arial" w:hAnsi="Arial"/>
          <w:b/>
          <w:bCs/>
          <w:color w:val="2E75B6"/>
          <w:sz w:val="28"/>
          <w:szCs w:val="28"/>
        </w:rPr>
        <w:t xml:space="preserve">6.2 — HTTP 402: The Dormant Status Code</w:t>
      </w:r>
    </w:p>
    <w:p>
      <w:pPr>
        <w:spacing w:after="120"/>
      </w:pPr>
      <w:r>
        <w:rPr>
          <w:rFonts w:ascii="Arial" w:cs="Arial" w:eastAsia="Arial" w:hAnsi="Arial"/>
          <w:sz w:val="22"/>
          <w:szCs w:val="22"/>
        </w:rPr>
        <w:t xml:space="preserve">In the early 1990s, the original HTTP/1.1 group reserved status code 402 for 'Payment Required.' Every developer knows 404 (Not Found) and 401 (Unauthorized). But 402 was a placeholder for a payment mechanism nobody had designed yet. For thirty years, it sat unused. This draft gives it full semantics: server responds to an unpaid request with 402 and a payment challenge; client fulfills the challenge; server delivers the resource. No bank. No payment processor. No human.</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Ask: 'How many of you use the internet every day? How many have ever paid for a single HTTP request?' Nobody — because the web was never designed for micropayments. Every API call, data fetch, and AI inference could now natively carry payment.</w:t>
      </w:r>
    </w:p>
    <w:p>
      <w:pPr>
        <w:pStyle w:val="Heading2"/>
      </w:pPr>
      <w:r>
        <w:rPr>
          <w:rFonts w:ascii="Arial" w:cs="Arial" w:eastAsia="Arial" w:hAnsi="Arial"/>
          <w:b/>
          <w:bCs/>
          <w:color w:val="2E75B6"/>
          <w:sz w:val="28"/>
          <w:szCs w:val="28"/>
        </w:rPr>
        <w:t xml:space="preserve">6.3 — How the Protocol Works</w:t>
      </w:r>
    </w:p>
    <w:p>
      <w:pPr>
        <w:pStyle w:val="Heading3"/>
      </w:pPr>
      <w:r>
        <w:rPr>
          <w:rFonts w:ascii="Arial" w:cs="Arial" w:eastAsia="Arial" w:hAnsi="Arial"/>
          <w:b/>
          <w:bCs/>
          <w:color w:val="444444"/>
          <w:sz w:val="24"/>
          <w:szCs w:val="24"/>
        </w:rPr>
        <w:t xml:space="preserve">The Six-Step Flow</w:t>
      </w:r>
    </w:p>
    <w:p>
      <w:pPr>
        <w:pStyle w:val="ListParagraph"/>
        <w:numPr>
          <w:ilvl w:val="0"/>
          <w:numId w:val="2"/>
        </w:numPr>
        <w:spacing w:after="80"/>
      </w:pPr>
      <w:r>
        <w:rPr>
          <w:rFonts w:ascii="Arial" w:cs="Arial" w:eastAsia="Arial" w:hAnsi="Arial"/>
          <w:sz w:val="22"/>
          <w:szCs w:val="22"/>
        </w:rPr>
        <w:t xml:space="preserve">1. Client sends standard HTTP GET</w:t>
      </w:r>
    </w:p>
    <w:p>
      <w:pPr>
        <w:pStyle w:val="ListParagraph"/>
        <w:numPr>
          <w:ilvl w:val="0"/>
          <w:numId w:val="2"/>
        </w:numPr>
        <w:spacing w:after="80"/>
      </w:pPr>
      <w:r>
        <w:rPr>
          <w:rFonts w:ascii="Arial" w:cs="Arial" w:eastAsia="Arial" w:hAnsi="Arial"/>
          <w:sz w:val="22"/>
          <w:szCs w:val="22"/>
        </w:rPr>
        <w:t xml:space="preserve">2. Server responds: HTTP 402 + WWW-Authenticate: Payment header with challenge ID, method, intent, and base64-encoded payment parameters</w:t>
      </w:r>
    </w:p>
    <w:p>
      <w:pPr>
        <w:pStyle w:val="ListParagraph"/>
        <w:numPr>
          <w:ilvl w:val="0"/>
          <w:numId w:val="2"/>
        </w:numPr>
        <w:spacing w:after="80"/>
      </w:pPr>
      <w:r>
        <w:rPr>
          <w:rFonts w:ascii="Arial" w:cs="Arial" w:eastAsia="Arial" w:hAnsi="Arial"/>
          <w:sz w:val="22"/>
          <w:szCs w:val="22"/>
        </w:rPr>
        <w:t xml:space="preserve">3. Client fulfills the payment challenge — method-agnostic: blockchain transaction, Lightning invoice, card charge</w:t>
      </w:r>
    </w:p>
    <w:p>
      <w:pPr>
        <w:pStyle w:val="ListParagraph"/>
        <w:numPr>
          <w:ilvl w:val="0"/>
          <w:numId w:val="2"/>
        </w:numPr>
        <w:spacing w:after="80"/>
      </w:pPr>
      <w:r>
        <w:rPr>
          <w:rFonts w:ascii="Arial" w:cs="Arial" w:eastAsia="Arial" w:hAnsi="Arial"/>
          <w:sz w:val="22"/>
          <w:szCs w:val="22"/>
        </w:rPr>
        <w:t xml:space="preserve">4. Client resubmits with Authorization: Payment header containing cryptographic proof of payment</w:t>
      </w:r>
    </w:p>
    <w:p>
      <w:pPr>
        <w:pStyle w:val="ListParagraph"/>
        <w:numPr>
          <w:ilvl w:val="0"/>
          <w:numId w:val="2"/>
        </w:numPr>
        <w:spacing w:after="80"/>
      </w:pPr>
      <w:r>
        <w:rPr>
          <w:rFonts w:ascii="Arial" w:cs="Arial" w:eastAsia="Arial" w:hAnsi="Arial"/>
          <w:sz w:val="22"/>
          <w:szCs w:val="22"/>
        </w:rPr>
        <w:t xml:space="preserve">5. Server verifies proof and settles</w:t>
      </w:r>
    </w:p>
    <w:p>
      <w:pPr>
        <w:pStyle w:val="ListParagraph"/>
        <w:numPr>
          <w:ilvl w:val="0"/>
          <w:numId w:val="2"/>
        </w:numPr>
        <w:spacing w:after="80"/>
      </w:pPr>
      <w:r>
        <w:rPr>
          <w:rFonts w:ascii="Arial" w:cs="Arial" w:eastAsia="Arial" w:hAnsi="Arial"/>
          <w:sz w:val="22"/>
          <w:szCs w:val="22"/>
        </w:rPr>
        <w:t xml:space="preserve">6. Server responds 200 OK + resource + Payment-Receipt header (cryptographically signed)</w:t>
      </w:r>
    </w:p>
    <w:p>
      <w:pPr>
        <w:pStyle w:val="Heading3"/>
      </w:pPr>
      <w:r>
        <w:rPr>
          <w:rFonts w:ascii="Arial" w:cs="Arial" w:eastAsia="Arial" w:hAnsi="Arial"/>
          <w:b/>
          <w:bCs/>
          <w:color w:val="444444"/>
          <w:sz w:val="24"/>
          <w:szCs w:val="24"/>
        </w:rPr>
        <w:t xml:space="preserve">Payment Method Agnosticism</w:t>
      </w:r>
    </w:p>
    <w:p>
      <w:pPr>
        <w:spacing w:after="120"/>
      </w:pPr>
      <w:r>
        <w:rPr>
          <w:rFonts w:ascii="Arial" w:cs="Arial" w:eastAsia="Arial" w:hAnsi="Arial"/>
          <w:sz w:val="22"/>
          <w:szCs w:val="22"/>
        </w:rPr>
        <w:t xml:space="preserve">The protocol defines the challenge-and-credential framework; payment networks register separately. One HTTP infrastructure natively supports: stablecoin transfers, Lightning micropayments, Stripe card charges, CBDCs, or any future payment method. Define the interface, not the implementation — the design pattern of durable infrastructure.</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Analogy: SMTP defines how email moves between servers; content and attachments are separate specs. The Payment scheme is the SMTP of machine payments.</w:t>
      </w:r>
    </w:p>
    <w:p>
      <w:pPr>
        <w:pStyle w:val="Heading3"/>
      </w:pPr>
      <w:r>
        <w:rPr>
          <w:rFonts w:ascii="Arial" w:cs="Arial" w:eastAsia="Arial" w:hAnsi="Arial"/>
          <w:b/>
          <w:bCs/>
          <w:color w:val="444444"/>
          <w:sz w:val="24"/>
          <w:szCs w:val="24"/>
        </w:rPr>
        <w:t xml:space="preserve">Challenge Binding and Cryptographic Integrity</w:t>
      </w:r>
    </w:p>
    <w:p>
      <w:pPr>
        <w:spacing w:after="120"/>
      </w:pPr>
      <w:r>
        <w:rPr>
          <w:rFonts w:ascii="Arial" w:cs="Arial" w:eastAsia="Arial" w:hAnsi="Arial"/>
          <w:sz w:val="22"/>
          <w:szCs w:val="22"/>
        </w:rPr>
        <w:t xml:space="preserve">The server binds the challenge ID to all payment parameters via HMAC-SHA256. Any modification in transit breaks the signature — a man-in-the-middle cannot swap a $1 challenge for a $1,000 challenge. Each challenge ID is unique and single-use: stolen credentials cannot be replayed.</w:t>
      </w:r>
    </w:p>
    <w:p>
      <w:pPr>
        <w:pStyle w:val="Heading2"/>
      </w:pPr>
      <w:r>
        <w:rPr>
          <w:rFonts w:ascii="Arial" w:cs="Arial" w:eastAsia="Arial" w:hAnsi="Arial"/>
          <w:b/>
          <w:bCs/>
          <w:color w:val="2E75B6"/>
          <w:sz w:val="28"/>
          <w:szCs w:val="28"/>
        </w:rPr>
        <w:t xml:space="preserve">6.4 — The Agentic AI Connection</w:t>
      </w:r>
    </w:p>
    <w:p>
      <w:pPr>
        <w:spacing w:after="120"/>
      </w:pPr>
      <w:r>
        <w:rPr>
          <w:rFonts w:ascii="Arial" w:cs="Arial" w:eastAsia="Arial" w:hAnsi="Arial"/>
          <w:sz w:val="22"/>
          <w:szCs w:val="22"/>
        </w:rPr>
        <w:t xml:space="preserve">Today, an AI agent needing to pay for an API call, a data source, or compute time cannot — every payment path requires human authorization. The Payment HTTP Authentication Scheme eliminates that checkpoint. An agent with a funded wallet and private key can: autonomously pay for any HTTP-accessible service; negotiate payment methods from the server's menu; receive cryptographically signed receipts for a permanent audit trail; operate globally without banking relationships; execute micropayments at granularity economically impossible with existing infrastructure.</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[CONCRETE IMPLICATION]  </w:t>
      </w:r>
      <w:r>
        <w:rPr>
          <w:rFonts w:ascii="Arial" w:cs="Arial" w:eastAsia="Arial" w:hAnsi="Arial"/>
          <w:color w:val="222222"/>
          <w:sz w:val="20"/>
          <w:szCs w:val="20"/>
        </w:rPr>
        <w:t xml:space="preserve">AI API billing today runs through monthly cycles and enterprise contracts. With x402, an agent pays per-inference in fractions of a cent — no human in the loop, any payment network, real-time settlement. The entire billing relationship between AI consumers and providers changes.</w:t>
      </w:r>
    </w:p>
    <w:p>
      <w:pPr>
        <w:pStyle w:val="Heading2"/>
      </w:pPr>
      <w:r>
        <w:rPr>
          <w:rFonts w:ascii="Arial" w:cs="Arial" w:eastAsia="Arial" w:hAnsi="Arial"/>
          <w:b/>
          <w:bCs/>
          <w:color w:val="2E75B6"/>
          <w:sz w:val="28"/>
          <w:szCs w:val="28"/>
        </w:rPr>
        <w:t xml:space="preserve">6.5 — Protocols vs. Technologies: Winner-Take-All Dynamics</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Counterintuitive for students trained on competitive markets with multiple winners. Protocols are categorically different from products.</w:t>
      </w:r>
    </w:p>
    <w:p>
      <w:pPr>
        <w:pStyle w:val="Heading3"/>
      </w:pPr>
      <w:r>
        <w:rPr>
          <w:rFonts w:ascii="Arial" w:cs="Arial" w:eastAsia="Arial" w:hAnsi="Arial"/>
          <w:b/>
          <w:bCs/>
          <w:color w:val="444444"/>
          <w:sz w:val="24"/>
          <w:szCs w:val="24"/>
        </w:rPr>
        <w:t xml:space="preserve">The Core Distinction</w:t>
      </w:r>
    </w:p>
    <w:p>
      <w:pPr>
        <w:spacing w:after="120"/>
      </w:pPr>
      <w:r>
        <w:rPr>
          <w:rFonts w:ascii="Arial" w:cs="Arial" w:eastAsia="Arial" w:hAnsi="Arial"/>
          <w:sz w:val="22"/>
          <w:szCs w:val="22"/>
        </w:rPr>
        <w:t xml:space="preserve">Product competition: Apple vs. Samsung, Netflix vs. Disney+. Competitors coexist. This framing is wrong for protocol markets. A protocol is a shared set of rules enabling independent systems to interoperate. Once a protocol achieves sufficient adoption, displacing it is essentially impossible — not because it is optimal, but because the coordination cost of switching exceeds any benefit.</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[CORE DISTINCTION]  </w:t>
      </w:r>
      <w:r>
        <w:rPr>
          <w:rFonts w:ascii="Arial" w:cs="Arial" w:eastAsia="Arial" w:hAnsi="Arial"/>
          <w:color w:val="222222"/>
          <w:sz w:val="20"/>
          <w:szCs w:val="20"/>
        </w:rPr>
        <w:t xml:space="preserve">Technologies compete. Protocols converge. In a protocol market, winner-take-all is not a possibility — it is the inevitable end state.</w:t>
      </w:r>
    </w:p>
    <w:p>
      <w:pPr>
        <w:pStyle w:val="Heading3"/>
      </w:pPr>
      <w:r>
        <w:rPr>
          <w:rFonts w:ascii="Arial" w:cs="Arial" w:eastAsia="Arial" w:hAnsi="Arial"/>
          <w:b/>
          <w:bCs/>
          <w:color w:val="444444"/>
          <w:sz w:val="24"/>
          <w:szCs w:val="24"/>
        </w:rPr>
        <w:t xml:space="preserve">Metcalfe's Law: Why Protocols Converge</w:t>
      </w:r>
    </w:p>
    <w:p>
      <w:pPr>
        <w:spacing w:after="120"/>
      </w:pPr>
      <w:r>
        <w:rPr>
          <w:rFonts w:ascii="Arial" w:cs="Arial" w:eastAsia="Arial" w:hAnsi="Arial"/>
          <w:sz w:val="22"/>
          <w:szCs w:val="22"/>
        </w:rPr>
        <w:t xml:space="preserve">Two competing email protocols: A (60% adoption), B (40%). A users can reach 60% of the world; B users reach 40%. More users join A, making A more valuable, driving more users to A. Protocol B spirals to zero. Network value grows with the square of participants. No stable equilibrium where competing protocols coexist at scale — hence one internet, one HTTP, one TCP/IP.</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Why we drive on one side of the road: it doesn't matter which side — what matters is universal agreement. Protocols are coordination conventions with trillion-dollar stakes.</w:t>
      </w:r>
    </w:p>
    <w:p>
      <w:pPr>
        <w:pStyle w:val="Heading3"/>
      </w:pPr>
      <w:r>
        <w:rPr>
          <w:rFonts w:ascii="Arial" w:cs="Arial" w:eastAsia="Arial" w:hAnsi="Arial"/>
          <w:b/>
          <w:bCs/>
          <w:color w:val="444444"/>
          <w:sz w:val="24"/>
          <w:szCs w:val="24"/>
        </w:rPr>
        <w:t xml:space="preserve">Historical Case Studies</w:t>
      </w:r>
    </w:p>
    <w:p>
      <w:pPr>
        <w:pStyle w:val="ListParagraph"/>
        <w:numPr>
          <w:ilvl w:val="0"/>
          <w:numId w:val="2"/>
        </w:numPr>
        <w:spacing w:after="80"/>
      </w:pPr>
      <w:r>
        <w:rPr>
          <w:rFonts w:ascii="Arial" w:cs="Arial" w:eastAsia="Arial" w:hAnsi="Arial"/>
          <w:sz w:val="22"/>
          <w:szCs w:val="22"/>
        </w:rPr>
        <w:t xml:space="preserve">TCP/IP vs. OSI: OSI was more theoretically elegant, had more institutional backing. TCP/IP had more deployment. Once TCP/IP reached critical mass, OSI's advantages became irrelevant.</w:t>
      </w:r>
    </w:p>
    <w:p>
      <w:pPr>
        <w:pStyle w:val="ListParagraph"/>
        <w:numPr>
          <w:ilvl w:val="0"/>
          <w:numId w:val="2"/>
        </w:numPr>
        <w:spacing w:after="80"/>
      </w:pPr>
      <w:r>
        <w:rPr>
          <w:rFonts w:ascii="Arial" w:cs="Arial" w:eastAsia="Arial" w:hAnsi="Arial"/>
          <w:sz w:val="22"/>
          <w:szCs w:val="22"/>
        </w:rPr>
        <w:t xml:space="preserve">VHS vs. Betamax: Betamax was technically superior. VHS achieved rental library dominance first — switching cost (replacing tape libraries) became prohibitive. Inferior protocol, first to network mass, wins.</w:t>
      </w:r>
    </w:p>
    <w:p>
      <w:pPr>
        <w:pStyle w:val="ListParagraph"/>
        <w:numPr>
          <w:ilvl w:val="0"/>
          <w:numId w:val="2"/>
        </w:numPr>
        <w:spacing w:after="80"/>
      </w:pPr>
      <w:r>
        <w:rPr>
          <w:rFonts w:ascii="Arial" w:cs="Arial" w:eastAsia="Arial" w:hAnsi="Arial"/>
          <w:sz w:val="22"/>
          <w:szCs w:val="22"/>
        </w:rPr>
        <w:t xml:space="preserve">HTTP vs. Gopher: In 1993 Gopher traffic exceeded HTTP. Minnesota announced Gopher licensing fees; CERN announced HTTP would be royalty-free forever. Developers migrated overnight. Gopher was dead by 1996. Charging for protocol access taxes your own network effects.</w:t>
      </w:r>
    </w:p>
    <w:p>
      <w:pPr>
        <w:pStyle w:val="ListParagraph"/>
        <w:numPr>
          <w:ilvl w:val="0"/>
          <w:numId w:val="2"/>
        </w:numPr>
        <w:spacing w:after="80"/>
      </w:pPr>
      <w:r>
        <w:rPr>
          <w:rFonts w:ascii="Arial" w:cs="Arial" w:eastAsia="Arial" w:hAnsi="Arial"/>
          <w:sz w:val="22"/>
          <w:szCs w:val="22"/>
        </w:rPr>
        <w:t xml:space="preserve">Bitcoin as monetary protocol: Bitcoin competes not against Ethereum or Solana as products, but as a monetary protocol against every other monetary system. Hardest money + most secure network + widest adoption = Metcalfe's Law prediction of continued monetary concentration.</w:t>
      </w:r>
    </w:p>
    <w:p>
      <w:pPr>
        <w:pStyle w:val="Heading3"/>
      </w:pPr>
      <w:r>
        <w:rPr>
          <w:rFonts w:ascii="Arial" w:cs="Arial" w:eastAsia="Arial" w:hAnsi="Arial"/>
          <w:b/>
          <w:bCs/>
          <w:color w:val="444444"/>
          <w:sz w:val="24"/>
          <w:szCs w:val="24"/>
        </w:rPr>
        <w:t xml:space="preserve">The Three Rules</w:t>
      </w:r>
    </w:p>
    <w:p>
      <w:pPr>
        <w:pStyle w:val="ListParagraph"/>
        <w:numPr>
          <w:ilvl w:val="0"/>
          <w:numId w:val="2"/>
        </w:numPr>
        <w:spacing w:after="80"/>
      </w:pPr>
      <w:r>
        <w:rPr>
          <w:rFonts w:ascii="Arial" w:cs="Arial" w:eastAsia="Arial" w:hAnsi="Arial"/>
          <w:sz w:val="22"/>
          <w:szCs w:val="22"/>
        </w:rPr>
        <w:t xml:space="preserve">Adoption beats quality — first to critical mass wins, regardless of technical superiority.</w:t>
      </w:r>
    </w:p>
    <w:p>
      <w:pPr>
        <w:pStyle w:val="ListParagraph"/>
        <w:numPr>
          <w:ilvl w:val="0"/>
          <w:numId w:val="2"/>
        </w:numPr>
        <w:spacing w:after="80"/>
      </w:pPr>
      <w:r>
        <w:rPr>
          <w:rFonts w:ascii="Arial" w:cs="Arial" w:eastAsia="Arial" w:hAnsi="Arial"/>
          <w:sz w:val="22"/>
          <w:szCs w:val="22"/>
        </w:rPr>
        <w:t xml:space="preserve">Openness accelerates adoption — royalty-free licensing removes the largest barrier.</w:t>
      </w:r>
    </w:p>
    <w:p>
      <w:pPr>
        <w:pStyle w:val="ListParagraph"/>
        <w:numPr>
          <w:ilvl w:val="0"/>
          <w:numId w:val="2"/>
        </w:numPr>
        <w:spacing w:after="80"/>
      </w:pPr>
      <w:r>
        <w:rPr>
          <w:rFonts w:ascii="Arial" w:cs="Arial" w:eastAsia="Arial" w:hAnsi="Arial"/>
          <w:sz w:val="22"/>
          <w:szCs w:val="22"/>
        </w:rPr>
        <w:t xml:space="preserve">Switching costs are permanent — once at network mass, coordination cost exceeds any technical benefit. HTTP will not be replaced in your lifetime.</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[STRATEGIC IMPLICATION]  </w:t>
      </w:r>
      <w:r>
        <w:rPr>
          <w:rFonts w:ascii="Arial" w:cs="Arial" w:eastAsia="Arial" w:hAnsi="Arial"/>
          <w:color w:val="222222"/>
          <w:sz w:val="20"/>
          <w:szCs w:val="20"/>
        </w:rPr>
        <w:t xml:space="preserve">In a protocol market you are not competing for market share — you are competing for the right to define the standard. Winning that is worth infinitely more than winning the product competition: protocol winners capture value from every product built on their standard, forever.</w:t>
      </w:r>
    </w:p>
    <w:p>
      <w:pPr>
        <w:pStyle w:val="Heading3"/>
      </w:pPr>
      <w:r>
        <w:rPr>
          <w:rFonts w:ascii="Arial" w:cs="Arial" w:eastAsia="Arial" w:hAnsi="Arial"/>
          <w:b/>
          <w:bCs/>
          <w:color w:val="444444"/>
          <w:sz w:val="24"/>
          <w:szCs w:val="24"/>
        </w:rPr>
        <w:t xml:space="preserve">Protocol Stacks and Where Value Accrues</w:t>
      </w:r>
    </w:p>
    <w:p>
      <w:pPr>
        <w:spacing w:after="120"/>
      </w:pPr>
      <w:r>
        <w:rPr>
          <w:rFonts w:ascii="Arial" w:cs="Arial" w:eastAsia="Arial" w:hAnsi="Arial"/>
          <w:sz w:val="22"/>
          <w:szCs w:val="22"/>
        </w:rPr>
        <w:t xml:space="preserve">In the internet stack, value accrued at the application layer: Google, Amazon, Facebook. TCP/IP and HTTP captured nothing. The 'fat protocol thesis' argues blockchain inverts this: Bitcoin and ETH are both protocols and monetary assets. As Ethereum's ecosystem grows, demand for ETH grows proportionally — unlike HTTP, which has no corresponding asset. Whether this inversion holds durably is genuinely contested and one of the most important open questions in technology economics.</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Ask: 'Is the fat protocol thesis correct? What evidence would confirm or reject it?' No right answer — the reasoning is the point.</w:t>
      </w:r>
    </w:p>
    <w:p>
      <w:pPr>
        <w:pStyle w:val="Heading3"/>
      </w:pPr>
      <w:r>
        <w:rPr>
          <w:rFonts w:ascii="Arial" w:cs="Arial" w:eastAsia="Arial" w:hAnsi="Arial"/>
          <w:b/>
          <w:bCs/>
          <w:color w:val="444444"/>
          <w:sz w:val="24"/>
          <w:szCs w:val="24"/>
        </w:rPr>
        <w:t xml:space="preserve">What This Means for the Payment HTTP Authentication Scheme</w:t>
      </w:r>
    </w:p>
    <w:p>
      <w:pPr>
        <w:spacing w:after="120"/>
      </w:pPr>
      <w:r>
        <w:rPr>
          <w:rFonts w:ascii="Arial" w:cs="Arial" w:eastAsia="Arial" w:hAnsi="Arial"/>
          <w:sz w:val="22"/>
          <w:szCs w:val="22"/>
        </w:rPr>
        <w:t xml:space="preserve">The draft is not a product — it is an attempt to establish a universal, royalty-free, open standard for machine-to-machine HTTP payments. If it succeeds, it doesn't compete with payment solutions; it becomes the substrate they run on. Every HTTP server becomes a potential paywall; every registered payment network gains access to every internet-connected device. The fifteen-year on-ramp problem for digital currency adoption becomes structurally solved. Stripe co-authored this because a universal machine payment protocol makes every HTTP interaction a potential Stripe transaction.</w:t>
      </w:r>
    </w:p>
    <w:p>
      <w:pPr>
        <w:spacing w:before="200" w:after="200"/>
      </w:pPr>
      <w:r>
        <w:rPr>
          <w:rFonts w:ascii="Arial" w:cs="Arial" w:eastAsia="Arial" w:hAnsi="Arial"/>
          <w:b/>
          <w:bCs/>
          <w:i/>
          <w:iCs/>
          <w:color w:val="2E75B6"/>
          <w:sz w:val="20"/>
          <w:szCs w:val="20"/>
        </w:rPr>
        <w:t xml:space="preserve">→  Let's close the loop on the IETF process and what standards-track means.</w:t>
      </w:r>
    </w:p>
    <w:p>
      <w:pPr>
        <w:pStyle w:val="Heading2"/>
      </w:pPr>
      <w:r>
        <w:rPr>
          <w:rFonts w:ascii="Arial" w:cs="Arial" w:eastAsia="Arial" w:hAnsi="Arial"/>
          <w:b/>
          <w:bCs/>
          <w:color w:val="2E75B6"/>
          <w:sz w:val="28"/>
          <w:szCs w:val="28"/>
        </w:rPr>
        <w:t xml:space="preserve">6.6 — The IETF Process</w:t>
      </w:r>
    </w:p>
    <w:p>
      <w:pPr>
        <w:spacing w:after="120"/>
      </w:pPr>
      <w:r>
        <w:rPr>
          <w:rFonts w:ascii="Arial" w:cs="Arial" w:eastAsia="Arial" w:hAnsi="Arial"/>
          <w:sz w:val="22"/>
          <w:szCs w:val="22"/>
        </w:rPr>
        <w:t xml:space="preserve">Internet Draft → six months public review → RFC. HTTP is RFC 9110. TLS 1.3 is RFC 8446. Standards Track means binding interoperability requirements for every HTTP implementation globally. Tempo Labs (blockchain payment tooling) + Stripe (global internet payment processor) co-authoring this is the institutional convergence Theory 1 predicts, happening in real time.</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'This is what convergence looks like from the inside — not a revolution, but engineers writing a spec together. The revolution happens when it becomes the default behavior of every HTTP server on the internet.'</w:t>
      </w:r>
    </w:p>
    <w:p>
      <w:pPr>
        <w:pStyle w:val="Heading2"/>
      </w:pPr>
      <w:r>
        <w:rPr>
          <w:rFonts w:ascii="Arial" w:cs="Arial" w:eastAsia="Arial" w:hAnsi="Arial"/>
          <w:b/>
          <w:bCs/>
          <w:color w:val="2E75B6"/>
          <w:sz w:val="28"/>
          <w:szCs w:val="28"/>
        </w:rPr>
        <w:t xml:space="preserve">6.7 — Open Questions and Entrepreneurial Opportunities</w:t>
      </w:r>
    </w:p>
    <w:p>
      <w:pPr>
        <w:pStyle w:val="ListParagraph"/>
        <w:numPr>
          <w:ilvl w:val="0"/>
          <w:numId w:val="2"/>
        </w:numPr>
        <w:spacing w:after="80"/>
      </w:pPr>
      <w:r>
        <w:rPr>
          <w:rFonts w:ascii="Arial" w:cs="Arial" w:eastAsia="Arial" w:hAnsi="Arial"/>
          <w:sz w:val="22"/>
          <w:szCs w:val="22"/>
        </w:rPr>
        <w:t xml:space="preserve">Agent wallet infrastructure: custody, key management, and funding for trillion-plus agent interactions</w:t>
      </w:r>
    </w:p>
    <w:p>
      <w:pPr>
        <w:pStyle w:val="ListParagraph"/>
        <w:numPr>
          <w:ilvl w:val="0"/>
          <w:numId w:val="2"/>
        </w:numPr>
        <w:spacing w:after="80"/>
      </w:pPr>
      <w:r>
        <w:rPr>
          <w:rFonts w:ascii="Arial" w:cs="Arial" w:eastAsia="Arial" w:hAnsi="Arial"/>
          <w:sz w:val="22"/>
          <w:szCs w:val="22"/>
        </w:rPr>
        <w:t xml:space="preserve">Discovery: no yellow pages for payable HTTP resources yet</w:t>
      </w:r>
    </w:p>
    <w:p>
      <w:pPr>
        <w:pStyle w:val="ListParagraph"/>
        <w:numPr>
          <w:ilvl w:val="0"/>
          <w:numId w:val="2"/>
        </w:numPr>
        <w:spacing w:after="80"/>
      </w:pPr>
      <w:r>
        <w:rPr>
          <w:rFonts w:ascii="Arial" w:cs="Arial" w:eastAsia="Arial" w:hAnsi="Arial"/>
          <w:sz w:val="22"/>
          <w:szCs w:val="22"/>
        </w:rPr>
        <w:t xml:space="preserve">Compliance bridge: Payment-Receipt headers need integration with KYC/AML frameworks</w:t>
      </w:r>
    </w:p>
    <w:p>
      <w:pPr>
        <w:pStyle w:val="ListParagraph"/>
        <w:numPr>
          <w:ilvl w:val="0"/>
          <w:numId w:val="2"/>
        </w:numPr>
        <w:spacing w:after="80"/>
      </w:pPr>
      <w:r>
        <w:rPr>
          <w:rFonts w:ascii="Arial" w:cs="Arial" w:eastAsia="Arial" w:hAnsi="Arial"/>
          <w:sz w:val="22"/>
          <w:szCs w:val="22"/>
        </w:rPr>
        <w:t xml:space="preserve">Agent identity: DID format recommended but the DID ecosystem is nascent</w:t>
      </w:r>
    </w:p>
    <w:p>
      <w:pPr>
        <w:pStyle w:val="ListParagraph"/>
        <w:numPr>
          <w:ilvl w:val="0"/>
          <w:numId w:val="2"/>
        </w:numPr>
        <w:spacing w:after="80"/>
      </w:pPr>
      <w:r>
        <w:rPr>
          <w:rFonts w:ascii="Arial" w:cs="Arial" w:eastAsia="Arial" w:hAnsi="Arial"/>
          <w:sz w:val="22"/>
          <w:szCs w:val="22"/>
        </w:rPr>
        <w:t xml:space="preserve">Abuse prevention: autonomous micropayments enable autonomous payment-based DoS</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[ENTREPRENEURIAL LENS]  </w:t>
      </w:r>
      <w:r>
        <w:rPr>
          <w:rFonts w:ascii="Arial" w:cs="Arial" w:eastAsia="Arial" w:hAnsi="Arial"/>
          <w:color w:val="222222"/>
          <w:sz w:val="20"/>
          <w:szCs w:val="20"/>
        </w:rPr>
        <w:t xml:space="preserve">The most powerful position in a new protocol ecosystem is the infrastructure layer above it. HTTP gave us the web; Google, Amazon, and Stripe captured the value. What are the browsers, search engines, and commerce platforms of the machine payment web?</w:t>
      </w:r>
    </w:p>
    <w:p>
      <w:pPr>
        <w:pStyle w:val="Heading2"/>
      </w:pPr>
      <w:r>
        <w:rPr>
          <w:rFonts w:ascii="Arial" w:cs="Arial" w:eastAsia="Arial" w:hAnsi="Arial"/>
          <w:b/>
          <w:bCs/>
          <w:color w:val="2E75B6"/>
          <w:sz w:val="28"/>
          <w:szCs w:val="28"/>
        </w:rPr>
        <w:t xml:space="preserve">6.8 — Integration With Our Three Theories</w:t>
      </w:r>
    </w:p>
    <w:p>
      <w:pPr>
        <w:spacing w:after="120"/>
      </w:pPr>
      <w:r>
        <w:rPr>
          <w:rFonts w:ascii="Arial" w:cs="Arial" w:eastAsia="Arial" w:hAnsi="Arial"/>
          <w:sz w:val="22"/>
          <w:szCs w:val="22"/>
        </w:rPr>
        <w:t xml:space="preserve">Theory 1 (digital currency displacing fiat): every server becomes a potential receiver of any registered currency — the payment method registry is the universal on-ramp.</w:t>
      </w:r>
    </w:p>
    <w:p>
      <w:pPr>
        <w:spacing w:after="120"/>
      </w:pPr>
      <w:r>
        <w:rPr>
          <w:rFonts w:ascii="Arial" w:cs="Arial" w:eastAsia="Arial" w:hAnsi="Arial"/>
          <w:sz w:val="22"/>
          <w:szCs w:val="22"/>
        </w:rPr>
        <w:t xml:space="preserve">Theory 2 (smart contracts eliminating intermediaries): the Authorization: Payment credential can carry any smart-contract-verifiable proof — the layers connect seamlessly.</w:t>
      </w:r>
    </w:p>
    <w:p>
      <w:pPr>
        <w:spacing w:after="120"/>
      </w:pPr>
      <w:r>
        <w:rPr>
          <w:rFonts w:ascii="Arial" w:cs="Arial" w:eastAsia="Arial" w:hAnsi="Arial"/>
          <w:sz w:val="22"/>
          <w:szCs w:val="22"/>
        </w:rPr>
        <w:t xml:space="preserve">Theory 3 (agentic AI on blockchain): agents cannot pay without human authorization today. This protocol gives them a native payment mechanism. Theory 3 moves from plausible future to infrastructure being standardized now.</w:t>
      </w:r>
    </w:p>
    <w:p>
      <w:pPr>
        <w:spacing w:before="200" w:after="200"/>
      </w:pPr>
      <w:r>
        <w:rPr>
          <w:rFonts w:ascii="Arial" w:cs="Arial" w:eastAsia="Arial" w:hAnsi="Arial"/>
          <w:b/>
          <w:bCs/>
          <w:i/>
          <w:iCs/>
          <w:color w:val="2E75B6"/>
          <w:sz w:val="20"/>
          <w:szCs w:val="20"/>
        </w:rPr>
        <w:t xml:space="preserve">→  With that grounding in place, let's close.</w:t>
      </w:r>
    </w:p>
    <w:p>
      <w:r>
        <w:br w:type="page"/>
      </w:r>
    </w:p>
    <w:p>
      <w:pPr>
        <w:pStyle w:val="Heading1"/>
      </w:pPr>
      <w:r>
        <w:rPr>
          <w:rFonts w:ascii="Arial" w:cs="Arial" w:eastAsia="Arial" w:hAnsi="Arial"/>
          <w:b/>
          <w:bCs/>
          <w:color w:val="1F4E79"/>
          <w:sz w:val="36"/>
          <w:szCs w:val="36"/>
        </w:rPr>
        <w:t xml:space="preserve">SECTION 7 — Closing: First Principles, Then Action</w:t>
      </w:r>
    </w:p>
    <w:p>
      <w:pPr>
        <w:pBdr>
          <w:left w:val="single" w:color="FFA500" w:sz="6" w:space="6"/>
        </w:pBdr>
        <w:shd w:fill="FFF3CD" w:val="clear"/>
        <w:spacing w:before="80" w:after="160"/>
        <w:ind w:left="360"/>
      </w:pPr>
      <w:r>
        <w:rPr>
          <w:rFonts w:ascii="Arial" w:cs="Arial" w:eastAsia="Arial" w:hAnsi="Arial"/>
          <w:b/>
          <w:bCs/>
          <w:i/>
          <w:iCs/>
          <w:color w:val="7B3F00"/>
          <w:sz w:val="20"/>
          <w:szCs w:val="20"/>
        </w:rPr>
        <w:t xml:space="preserve">🎤  SPEAKER NOTE: </w:t>
      </w:r>
      <w:r>
        <w:rPr>
          <w:rFonts w:ascii="Arial" w:cs="Arial" w:eastAsia="Arial" w:hAnsi="Arial"/>
          <w:i/>
          <w:iCs/>
          <w:color w:val="7B3F00"/>
          <w:sz w:val="20"/>
          <w:szCs w:val="20"/>
        </w:rPr>
        <w:t xml:space="preserve">Close with conviction, not hype. Reinforce the epistemic framework — Don't Trust, Verify — as the lens through which to evaluate everything. Leave them with a sense of personal agency.</w:t>
      </w:r>
    </w:p>
    <w:p>
      <w:pPr>
        <w:pStyle w:val="Heading2"/>
      </w:pPr>
      <w:r>
        <w:rPr>
          <w:rFonts w:ascii="Arial" w:cs="Arial" w:eastAsia="Arial" w:hAnsi="Arial"/>
          <w:b/>
          <w:bCs/>
          <w:color w:val="2E75B6"/>
          <w:sz w:val="28"/>
          <w:szCs w:val="28"/>
        </w:rPr>
        <w:t xml:space="preserve">7.1 — The Theories and Predictions, Summarized</w:t>
      </w:r>
    </w:p>
    <w:p>
      <w:pPr>
        <w:spacing w:after="120"/>
      </w:pPr>
      <w:r>
        <w:rPr>
          <w:rFonts w:ascii="Arial" w:cs="Arial" w:eastAsia="Arial" w:hAnsi="Arial"/>
          <w:sz w:val="22"/>
          <w:szCs w:val="22"/>
        </w:rPr>
        <w:t xml:space="preserve">Let me be explicit about the claims I've made today so you can evaluate them properly:</w:t>
      </w:r>
    </w:p>
    <w:p>
      <w:pPr>
        <w:spacing w:before="160" w:after="40"/>
      </w:pPr>
      <w:r>
        <w:rPr>
          <w:rFonts w:ascii="Arial" w:cs="Arial" w:eastAsia="Arial" w:hAnsi="Arial"/>
          <w:b/>
          <w:bCs/>
          <w:color w:val="1F4E79"/>
          <w:sz w:val="22"/>
          <w:szCs w:val="22"/>
        </w:rPr>
        <w:t xml:space="preserve">Theory 1:</w:t>
      </w:r>
    </w:p>
    <w:p>
      <w:pPr>
        <w:spacing w:after="120"/>
      </w:pPr>
      <w:r>
        <w:rPr>
          <w:rFonts w:ascii="Arial" w:cs="Arial" w:eastAsia="Arial" w:hAnsi="Arial"/>
          <w:sz w:val="22"/>
          <w:szCs w:val="22"/>
        </w:rPr>
        <w:t xml:space="preserve">Blockchains form the technical basis for digital currency, and digital currencies will displace fiat currencies as the dominant form of global value transfer — not overnight, but progressively over the coming decades.</w:t>
      </w:r>
    </w:p>
    <w:p>
      <w:pPr>
        <w:spacing w:before="160" w:after="40"/>
      </w:pPr>
      <w:r>
        <w:rPr>
          <w:rFonts w:ascii="Arial" w:cs="Arial" w:eastAsia="Arial" w:hAnsi="Arial"/>
          <w:b/>
          <w:bCs/>
          <w:color w:val="1F4E79"/>
          <w:sz w:val="22"/>
          <w:szCs w:val="22"/>
        </w:rPr>
        <w:t xml:space="preserve">Theory 2:</w:t>
      </w:r>
    </w:p>
    <w:p>
      <w:pPr>
        <w:spacing w:after="120"/>
      </w:pPr>
      <w:r>
        <w:rPr>
          <w:rFonts w:ascii="Arial" w:cs="Arial" w:eastAsia="Arial" w:hAnsi="Arial"/>
          <w:sz w:val="22"/>
          <w:szCs w:val="22"/>
        </w:rPr>
        <w:t xml:space="preserve">Cryptographically signed transactions on distributed networks are the key to permissionless global financial transactions. Stablecoins — both public and central-bank-issued — will serve as the bridge between the fiat era and the digital asset era.</w:t>
      </w:r>
    </w:p>
    <w:p>
      <w:pPr>
        <w:spacing w:before="160" w:after="40"/>
      </w:pPr>
      <w:r>
        <w:rPr>
          <w:rFonts w:ascii="Arial" w:cs="Arial" w:eastAsia="Arial" w:hAnsi="Arial"/>
          <w:b/>
          <w:bCs/>
          <w:color w:val="1F4E79"/>
          <w:sz w:val="22"/>
          <w:szCs w:val="22"/>
        </w:rPr>
        <w:t xml:space="preserve">Theory 3:</w:t>
      </w:r>
    </w:p>
    <w:p>
      <w:pPr>
        <w:spacing w:after="120"/>
      </w:pPr>
      <w:r>
        <w:rPr>
          <w:rFonts w:ascii="Arial" w:cs="Arial" w:eastAsia="Arial" w:hAnsi="Arial"/>
          <w:sz w:val="22"/>
          <w:szCs w:val="22"/>
        </w:rPr>
        <w:t xml:space="preserve">The large general-purpose language models of today will be supplemented — and in many domains replaced — by specialized, personalized, task-specific AI agents. These agents, acting on behalf of humans and organizations, will transact autonomously on blockchain infrastructure. The coordination of billions of such agents will constitute the backbone of a new global economy.</w:t>
      </w:r>
    </w:p>
    <w:p>
      <w:pPr>
        <w:spacing w:after="120"/>
      </w:pPr>
      <w:r>
        <w:rPr>
          <w:rFonts w:ascii="Arial" w:cs="Arial" w:eastAsia="Arial" w:hAnsi="Arial"/>
          <w:sz w:val="22"/>
          <w:szCs w:val="22"/>
        </w:rPr>
        <w:t xml:space="preserve">I am presenting these as hypotheses derived from first principles — not as facts. Your assignment, implicit in everything I've said today, is to apply your own first-principles reasoning. Do these theories hold? Where are the gaps? What are the counterarguments?</w:t>
      </w:r>
    </w:p>
    <w:p>
      <w:pPr>
        <w:pStyle w:val="Heading2"/>
      </w:pPr>
      <w:r>
        <w:rPr>
          <w:rFonts w:ascii="Arial" w:cs="Arial" w:eastAsia="Arial" w:hAnsi="Arial"/>
          <w:b/>
          <w:bCs/>
          <w:color w:val="2E75B6"/>
          <w:sz w:val="28"/>
          <w:szCs w:val="28"/>
        </w:rPr>
        <w:t xml:space="preserve">7.2 — The Framework to Carry Forward</w:t>
      </w:r>
    </w:p>
    <w:p>
      <w:pPr>
        <w:spacing w:after="120"/>
      </w:pPr>
      <w:r>
        <w:rPr>
          <w:rFonts w:ascii="Arial" w:cs="Arial" w:eastAsia="Arial" w:hAnsi="Arial"/>
          <w:sz w:val="22"/>
          <w:szCs w:val="22"/>
        </w:rPr>
        <w:t xml:space="preserve">Whatever you believe about the specific predictions, here is the analytical framework that will serve you regardless:</w:t>
      </w:r>
    </w:p>
    <w:p>
      <w:pPr>
        <w:pStyle w:val="ListParagraph"/>
        <w:numPr>
          <w:ilvl w:val="0"/>
          <w:numId w:val="2"/>
        </w:numPr>
        <w:spacing w:after="80"/>
      </w:pPr>
      <w:r>
        <w:rPr>
          <w:rFonts w:ascii="Arial" w:cs="Arial" w:eastAsia="Arial" w:hAnsi="Arial"/>
          <w:sz w:val="22"/>
          <w:szCs w:val="22"/>
        </w:rPr>
        <w:t xml:space="preserve">Identify the trust dependencies in any system. Every place where you must rely on a counterparty is a place where risk exists — and a place where blockchain infrastructure may eventually provide a trustless alternative.</w:t>
      </w:r>
    </w:p>
    <w:p>
      <w:pPr>
        <w:pStyle w:val="ListParagraph"/>
        <w:numPr>
          <w:ilvl w:val="0"/>
          <w:numId w:val="2"/>
        </w:numPr>
        <w:spacing w:after="80"/>
      </w:pPr>
      <w:r>
        <w:rPr>
          <w:rFonts w:ascii="Arial" w:cs="Arial" w:eastAsia="Arial" w:hAnsi="Arial"/>
          <w:sz w:val="22"/>
          <w:szCs w:val="22"/>
        </w:rPr>
        <w:t xml:space="preserve">Ask where AI agents could replace human judgment in high-frequency, rule-governed decisions. Those are the early adoption points for agentic systems.</w:t>
      </w:r>
    </w:p>
    <w:p>
      <w:pPr>
        <w:pStyle w:val="ListParagraph"/>
        <w:numPr>
          <w:ilvl w:val="0"/>
          <w:numId w:val="2"/>
        </w:numPr>
        <w:spacing w:after="80"/>
      </w:pPr>
      <w:r>
        <w:rPr>
          <w:rFonts w:ascii="Arial" w:cs="Arial" w:eastAsia="Arial" w:hAnsi="Arial"/>
          <w:sz w:val="22"/>
          <w:szCs w:val="22"/>
        </w:rPr>
        <w:t xml:space="preserve">Trace the money: wherever a new financial infrastructure emerges, the first movers in market-making, settlement, and protocol governance capture disproportionate value.</w:t>
      </w:r>
    </w:p>
    <w:p>
      <w:pPr>
        <w:pStyle w:val="ListParagraph"/>
        <w:numPr>
          <w:ilvl w:val="0"/>
          <w:numId w:val="2"/>
        </w:numPr>
        <w:spacing w:after="80"/>
      </w:pPr>
      <w:r>
        <w:rPr>
          <w:rFonts w:ascii="Arial" w:cs="Arial" w:eastAsia="Arial" w:hAnsi="Arial"/>
          <w:sz w:val="22"/>
          <w:szCs w:val="22"/>
        </w:rPr>
        <w:t xml:space="preserve">Reason from first principles, not from incumbents. The firms that will define this era are not yet the largest — and they are not looking at the world through the lens of the existing system.</w:t>
      </w:r>
    </w:p>
    <w:p>
      <w:pPr>
        <w:pStyle w:val="Heading2"/>
      </w:pPr>
      <w:r>
        <w:rPr>
          <w:rFonts w:ascii="Arial" w:cs="Arial" w:eastAsia="Arial" w:hAnsi="Arial"/>
          <w:b/>
          <w:bCs/>
          <w:color w:val="2E75B6"/>
          <w:sz w:val="28"/>
          <w:szCs w:val="28"/>
        </w:rPr>
        <w:t xml:space="preserve">7.3 — A Closing Provocation</w:t>
      </w:r>
    </w:p>
    <w:p>
      <w:pPr>
        <w:spacing w:after="120"/>
      </w:pPr>
      <w:r>
        <w:rPr>
          <w:rFonts w:ascii="Arial" w:cs="Arial" w:eastAsia="Arial" w:hAnsi="Arial"/>
          <w:sz w:val="22"/>
          <w:szCs w:val="22"/>
        </w:rPr>
        <w:t xml:space="preserve">I want to leave you with a question, not an answer.</w:t>
      </w:r>
    </w:p>
    <w:p>
      <w:pPr>
        <w:pBdr>
          <w:left w:val="thick" w:color="1F4E79" w:sz="6" w:space="6"/>
        </w:pBdr>
        <w:shd w:fill="D6E4F0" w:val="clear"/>
        <w:spacing w:before="80" w:after="160"/>
        <w:ind w:left="360"/>
      </w:pPr>
      <w:r>
        <w:rPr>
          <w:rFonts w:ascii="Arial" w:cs="Arial" w:eastAsia="Arial" w:hAnsi="Arial"/>
          <w:b/>
          <w:bCs/>
          <w:color w:val="1F4E79"/>
          <w:sz w:val="20"/>
          <w:szCs w:val="20"/>
        </w:rPr>
        <w:t xml:space="preserve">[FINAL QUESTION]  </w:t>
      </w:r>
      <w:r>
        <w:rPr>
          <w:rFonts w:ascii="Arial" w:cs="Arial" w:eastAsia="Arial" w:hAnsi="Arial"/>
          <w:color w:val="222222"/>
          <w:sz w:val="20"/>
          <w:szCs w:val="20"/>
        </w:rPr>
        <w:t xml:space="preserve">Ten years from now, when you are running a business, managing a fund, or advising a board — which of the structural changes we've discussed today will seem obvious in retrospect? And what decisions are you positioned to make now, with that knowledge, that most of your peers are not yet making?</w:t>
      </w:r>
    </w:p>
    <w:p>
      <w:pPr>
        <w:spacing w:after="120"/>
      </w:pPr>
      <w:r>
        <w:rPr>
          <w:rFonts w:ascii="Arial" w:cs="Arial" w:eastAsia="Arial" w:hAnsi="Arial"/>
          <w:sz w:val="22"/>
          <w:szCs w:val="22"/>
        </w:rPr>
        <w:t xml:space="preserve">The best way to predict the future is to invent it.</w:t>
      </w:r>
    </w:p>
    <w:p>
      <w:pPr>
        <w:spacing w:after="120"/>
      </w:pPr>
      <w:r>
        <w:rPr>
          <w:rFonts w:ascii="Arial" w:cs="Arial" w:eastAsia="Arial" w:hAnsi="Arial"/>
          <w:sz w:val="22"/>
          <w:szCs w:val="22"/>
        </w:rPr>
        <w:t xml:space="preserve">Don't take what I've said today on trust.</w:t>
      </w:r>
    </w:p>
    <w:p>
      <w:pPr>
        <w:spacing w:before="240" w:after="240"/>
        <w:jc w:val="center"/>
      </w:pPr>
      <w:r>
        <w:rPr>
          <w:rFonts w:ascii="Arial" w:cs="Arial" w:eastAsia="Arial" w:hAnsi="Arial"/>
          <w:b/>
          <w:bCs/>
          <w:i/>
          <w:iCs/>
          <w:color w:val="1F4E79"/>
          <w:sz w:val="28"/>
          <w:szCs w:val="28"/>
        </w:rPr>
        <w:t xml:space="preserve">Don't Trust — Verify.</w:t>
      </w:r>
    </w:p>
    <w:p>
      <w:pPr>
        <w:spacing w:after="120"/>
      </w:pPr>
      <w:r>
        <w:rPr>
          <w:rFonts w:ascii="Arial" w:cs="Arial" w:eastAsia="Arial" w:hAnsi="Arial"/>
          <w:sz w:val="22"/>
          <w:szCs w:val="22"/>
        </w:rPr>
        <w:t xml:space="preserve">And then go build something.</w:t>
      </w:r>
    </w:p>
    <w:p>
      <w:pPr>
        <w:pBdr>
          <w:bottom w:val="single" w:color="2E75B6" w:sz="6" w:space="1"/>
        </w:pBdr>
        <w:spacing w:before="120" w:after="120"/>
      </w:pPr>
    </w:p>
    <w:p>
      <w:pPr>
        <w:spacing w:before="360" w:after="360"/>
        <w:jc w:val="center"/>
      </w:pPr>
      <w:r>
        <w:rPr>
          <w:rFonts w:ascii="Arial" w:cs="Arial" w:eastAsia="Arial" w:hAnsi="Arial"/>
          <w:b/>
          <w:bCs/>
          <w:color w:val="1F4E79"/>
          <w:sz w:val="32"/>
          <w:szCs w:val="32"/>
        </w:rPr>
        <w:t xml:space="preserve">Thank you.</w:t>
      </w:r>
    </w:p>
    <w:p>
      <w:pPr>
        <w:pBdr>
          <w:bottom w:val="single" w:color="2E75B6" w:sz="6" w:space="1"/>
        </w:pBdr>
        <w:spacing w:before="120" w:after="120"/>
      </w:pPr>
    </w:p>
    <w:p>
      <w:r>
        <w:br w:type="page"/>
      </w:r>
    </w:p>
    <w:p>
      <w:pPr>
        <w:spacing w:before="360" w:after="120"/>
        <w:jc w:val="center"/>
      </w:pPr>
      <w:r>
        <w:rPr>
          <w:rFonts w:ascii="Arial" w:cs="Arial" w:eastAsia="Arial" w:hAnsi="Arial"/>
          <w:i/>
          <w:iCs/>
          <w:color w:val="888888"/>
          <w:sz w:val="20"/>
          <w:szCs w:val="20"/>
        </w:rPr>
        <w:t xml:space="preserve">— End of Presenter Script —</w:t>
      </w:r>
    </w:p>
    <w:p>
      <w:pPr>
        <w:spacing w:before="0" w:after="80"/>
        <w:jc w:val="center"/>
      </w:pPr>
      <w:r>
        <w:rPr>
          <w:rFonts w:ascii="Arial" w:cs="Arial" w:eastAsia="Arial" w:hAnsi="Arial"/>
          <w:color w:val="888888"/>
          <w:sz w:val="20"/>
          <w:szCs w:val="20"/>
        </w:rPr>
        <w:t xml:space="preserve">Q&amp;A reference, discussion questions, and key terms glossary are in the separate Student Handout.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2026-03-21T22:18:07.959Z</dcterms:created>
  <dcterms:modified xsi:type="dcterms:W3CDTF">2026-03-21T22:18:07.960Z</dcterms:modified>
</cp:coreProperties>
</file>

<file path=docProps/custom.xml><?xml version="1.0" encoding="utf-8"?>
<Properties xmlns="http://schemas.openxmlformats.org/officeDocument/2006/custom-properties" xmlns:vt="http://schemas.openxmlformats.org/officeDocument/2006/docPropsVTypes"/>
</file>