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2C496F" w14:textId="77777777" w:rsidR="00916B52" w:rsidRDefault="00916B52">
      <w:pPr>
        <w:jc w:val="both"/>
        <w:rPr>
          <w:rFonts w:ascii="Playfair Display" w:eastAsia="Playfair Display" w:hAnsi="Playfair Display" w:cs="Playfair Display"/>
        </w:rPr>
      </w:pPr>
      <w:bookmarkStart w:id="0" w:name="_heading=h.gjdgxs" w:colFirst="0" w:colLast="0"/>
      <w:bookmarkEnd w:id="0"/>
    </w:p>
    <w:p w14:paraId="420A1B3D" w14:textId="7EF3BDF7" w:rsidR="00916B52" w:rsidRDefault="00000000">
      <w:pPr>
        <w:jc w:val="both"/>
        <w:rPr>
          <w:rFonts w:ascii="Playfair Display" w:eastAsia="Playfair Display" w:hAnsi="Playfair Display" w:cs="Playfair Display"/>
          <w:b/>
          <w:sz w:val="36"/>
          <w:szCs w:val="36"/>
        </w:rPr>
      </w:pPr>
      <w:r>
        <w:rPr>
          <w:rFonts w:ascii="Playfair Display" w:eastAsia="Playfair Display" w:hAnsi="Playfair Display" w:cs="Playfair Display"/>
          <w:b/>
          <w:sz w:val="42"/>
          <w:szCs w:val="42"/>
        </w:rPr>
        <w:t xml:space="preserve">Utvecklingsplan för LIA 1 – </w:t>
      </w:r>
      <w:proofErr w:type="spellStart"/>
      <w:r w:rsidR="00484A25">
        <w:rPr>
          <w:rFonts w:ascii="Playfair Display" w:eastAsia="Playfair Display" w:hAnsi="Playfair Display" w:cs="Playfair Display"/>
          <w:b/>
          <w:sz w:val="42"/>
          <w:szCs w:val="42"/>
        </w:rPr>
        <w:t>Frontendutvecklare</w:t>
      </w:r>
      <w:proofErr w:type="spellEnd"/>
      <w:r w:rsidR="00484A25">
        <w:rPr>
          <w:rFonts w:ascii="Playfair Display" w:eastAsia="Playfair Display" w:hAnsi="Playfair Display" w:cs="Playfair Display"/>
          <w:b/>
          <w:sz w:val="42"/>
          <w:szCs w:val="42"/>
        </w:rPr>
        <w:t xml:space="preserve"> med inriktning webbsäkerhet</w:t>
      </w:r>
    </w:p>
    <w:p w14:paraId="18C3CCED" w14:textId="77777777" w:rsidR="00916B52" w:rsidRDefault="00916B52">
      <w:pPr>
        <w:jc w:val="both"/>
        <w:rPr>
          <w:rFonts w:ascii="Playfair Display" w:eastAsia="Playfair Display" w:hAnsi="Playfair Display" w:cs="Playfair Display"/>
        </w:rPr>
      </w:pPr>
    </w:p>
    <w:p w14:paraId="2A996ACE" w14:textId="77777777" w:rsidR="00916B52" w:rsidRDefault="00000000">
      <w:pPr>
        <w:jc w:val="both"/>
        <w:rPr>
          <w:rFonts w:ascii="Playfair Display" w:eastAsia="Playfair Display" w:hAnsi="Playfair Display" w:cs="Playfair Display"/>
        </w:rPr>
      </w:pPr>
      <w:r>
        <w:rPr>
          <w:rFonts w:ascii="Playfair Display" w:eastAsia="Playfair Display" w:hAnsi="Playfair Display" w:cs="Playfair Display"/>
          <w:b/>
          <w:sz w:val="24"/>
          <w:szCs w:val="24"/>
        </w:rPr>
        <w:t>Kontaktuppgifter</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16B52" w14:paraId="62C9CBA0" w14:textId="77777777">
        <w:tc>
          <w:tcPr>
            <w:tcW w:w="3120" w:type="dxa"/>
            <w:tcMar>
              <w:top w:w="100" w:type="dxa"/>
              <w:left w:w="100" w:type="dxa"/>
              <w:bottom w:w="100" w:type="dxa"/>
              <w:right w:w="100" w:type="dxa"/>
            </w:tcMar>
          </w:tcPr>
          <w:p w14:paraId="5AA317FB" w14:textId="77777777" w:rsidR="00916B52" w:rsidRDefault="00000000">
            <w:pPr>
              <w:widowControl w:val="0"/>
              <w:spacing w:line="240" w:lineRule="auto"/>
              <w:jc w:val="both"/>
              <w:rPr>
                <w:rFonts w:ascii="Playfair Display" w:eastAsia="Playfair Display" w:hAnsi="Playfair Display" w:cs="Playfair Display"/>
                <w:b/>
              </w:rPr>
            </w:pPr>
            <w:r>
              <w:rPr>
                <w:rFonts w:ascii="Playfair Display" w:eastAsia="Playfair Display" w:hAnsi="Playfair Display" w:cs="Playfair Display"/>
                <w:b/>
                <w:sz w:val="16"/>
                <w:szCs w:val="16"/>
              </w:rPr>
              <w:t>Studerande:</w:t>
            </w:r>
          </w:p>
          <w:p w14:paraId="3DDBEC66" w14:textId="77777777" w:rsidR="00916B52" w:rsidRDefault="00916B52">
            <w:pPr>
              <w:widowControl w:val="0"/>
              <w:spacing w:line="240" w:lineRule="auto"/>
              <w:jc w:val="both"/>
              <w:rPr>
                <w:rFonts w:ascii="Playfair Display" w:eastAsia="Playfair Display" w:hAnsi="Playfair Display" w:cs="Playfair Display"/>
                <w:b/>
              </w:rPr>
            </w:pPr>
          </w:p>
          <w:p w14:paraId="3908D454" w14:textId="77777777" w:rsidR="00916B52" w:rsidRDefault="00916B52">
            <w:pPr>
              <w:widowControl w:val="0"/>
              <w:spacing w:line="240" w:lineRule="auto"/>
              <w:jc w:val="both"/>
              <w:rPr>
                <w:rFonts w:ascii="Playfair Display" w:eastAsia="Playfair Display" w:hAnsi="Playfair Display" w:cs="Playfair Display"/>
                <w:b/>
              </w:rPr>
            </w:pPr>
          </w:p>
        </w:tc>
        <w:tc>
          <w:tcPr>
            <w:tcW w:w="3120" w:type="dxa"/>
            <w:tcMar>
              <w:top w:w="100" w:type="dxa"/>
              <w:left w:w="100" w:type="dxa"/>
              <w:bottom w:w="100" w:type="dxa"/>
              <w:right w:w="100" w:type="dxa"/>
            </w:tcMar>
          </w:tcPr>
          <w:p w14:paraId="22C67B1A" w14:textId="77777777" w:rsidR="00916B52" w:rsidRDefault="00000000">
            <w:pPr>
              <w:widowControl w:val="0"/>
              <w:spacing w:line="240" w:lineRule="auto"/>
              <w:jc w:val="both"/>
              <w:rPr>
                <w:rFonts w:ascii="Playfair Display" w:eastAsia="Playfair Display" w:hAnsi="Playfair Display" w:cs="Playfair Display"/>
                <w:b/>
              </w:rPr>
            </w:pPr>
            <w:r>
              <w:rPr>
                <w:rFonts w:ascii="Playfair Display" w:eastAsia="Playfair Display" w:hAnsi="Playfair Display" w:cs="Playfair Display"/>
                <w:b/>
                <w:sz w:val="16"/>
                <w:szCs w:val="16"/>
              </w:rPr>
              <w:t>Klass:</w:t>
            </w:r>
          </w:p>
        </w:tc>
        <w:tc>
          <w:tcPr>
            <w:tcW w:w="3120" w:type="dxa"/>
            <w:tcMar>
              <w:top w:w="100" w:type="dxa"/>
              <w:left w:w="100" w:type="dxa"/>
              <w:bottom w:w="100" w:type="dxa"/>
              <w:right w:w="100" w:type="dxa"/>
            </w:tcMar>
          </w:tcPr>
          <w:p w14:paraId="336D4D18" w14:textId="77777777" w:rsidR="00916B52" w:rsidRDefault="00000000">
            <w:pPr>
              <w:widowControl w:val="0"/>
              <w:spacing w:line="240" w:lineRule="auto"/>
              <w:jc w:val="both"/>
              <w:rPr>
                <w:rFonts w:ascii="Playfair Display" w:eastAsia="Playfair Display" w:hAnsi="Playfair Display" w:cs="Playfair Display"/>
                <w:b/>
              </w:rPr>
            </w:pPr>
            <w:r>
              <w:rPr>
                <w:rFonts w:ascii="Playfair Display" w:eastAsia="Playfair Display" w:hAnsi="Playfair Display" w:cs="Playfair Display"/>
                <w:b/>
                <w:sz w:val="16"/>
                <w:szCs w:val="16"/>
              </w:rPr>
              <w:t>E-post:</w:t>
            </w:r>
          </w:p>
          <w:p w14:paraId="0333517D" w14:textId="77777777" w:rsidR="00916B52" w:rsidRDefault="00916B52">
            <w:pPr>
              <w:widowControl w:val="0"/>
              <w:spacing w:line="240" w:lineRule="auto"/>
              <w:jc w:val="both"/>
              <w:rPr>
                <w:rFonts w:ascii="Playfair Display" w:eastAsia="Playfair Display" w:hAnsi="Playfair Display" w:cs="Playfair Display"/>
                <w:b/>
              </w:rPr>
            </w:pPr>
          </w:p>
        </w:tc>
      </w:tr>
      <w:tr w:rsidR="00916B52" w14:paraId="119B55C1" w14:textId="77777777">
        <w:tc>
          <w:tcPr>
            <w:tcW w:w="3120" w:type="dxa"/>
            <w:tcMar>
              <w:top w:w="100" w:type="dxa"/>
              <w:left w:w="100" w:type="dxa"/>
              <w:bottom w:w="100" w:type="dxa"/>
              <w:right w:w="100" w:type="dxa"/>
            </w:tcMar>
          </w:tcPr>
          <w:p w14:paraId="7295A133" w14:textId="77777777" w:rsidR="00916B52" w:rsidRDefault="00000000">
            <w:pPr>
              <w:widowControl w:val="0"/>
              <w:spacing w:line="240" w:lineRule="auto"/>
              <w:jc w:val="both"/>
              <w:rPr>
                <w:rFonts w:ascii="Playfair Display" w:eastAsia="Playfair Display" w:hAnsi="Playfair Display" w:cs="Playfair Display"/>
                <w:b/>
              </w:rPr>
            </w:pPr>
            <w:r>
              <w:rPr>
                <w:rFonts w:ascii="Playfair Display" w:eastAsia="Playfair Display" w:hAnsi="Playfair Display" w:cs="Playfair Display"/>
                <w:b/>
                <w:sz w:val="16"/>
                <w:szCs w:val="16"/>
              </w:rPr>
              <w:t>Handledare:</w:t>
            </w:r>
          </w:p>
          <w:p w14:paraId="71561DD5" w14:textId="77777777" w:rsidR="00916B52" w:rsidRDefault="00916B52">
            <w:pPr>
              <w:widowControl w:val="0"/>
              <w:spacing w:line="240" w:lineRule="auto"/>
              <w:jc w:val="both"/>
              <w:rPr>
                <w:rFonts w:ascii="Playfair Display" w:eastAsia="Playfair Display" w:hAnsi="Playfair Display" w:cs="Playfair Display"/>
                <w:b/>
              </w:rPr>
            </w:pPr>
          </w:p>
          <w:p w14:paraId="0FC35B69" w14:textId="77777777" w:rsidR="00916B52" w:rsidRDefault="00916B52">
            <w:pPr>
              <w:widowControl w:val="0"/>
              <w:spacing w:line="240" w:lineRule="auto"/>
              <w:jc w:val="both"/>
              <w:rPr>
                <w:rFonts w:ascii="Playfair Display" w:eastAsia="Playfair Display" w:hAnsi="Playfair Display" w:cs="Playfair Display"/>
                <w:b/>
              </w:rPr>
            </w:pPr>
          </w:p>
        </w:tc>
        <w:tc>
          <w:tcPr>
            <w:tcW w:w="3120" w:type="dxa"/>
            <w:tcMar>
              <w:top w:w="100" w:type="dxa"/>
              <w:left w:w="100" w:type="dxa"/>
              <w:bottom w:w="100" w:type="dxa"/>
              <w:right w:w="100" w:type="dxa"/>
            </w:tcMar>
          </w:tcPr>
          <w:p w14:paraId="54967554" w14:textId="77777777" w:rsidR="00916B52" w:rsidRDefault="00000000">
            <w:pPr>
              <w:widowControl w:val="0"/>
              <w:spacing w:line="240" w:lineRule="auto"/>
              <w:jc w:val="both"/>
              <w:rPr>
                <w:rFonts w:ascii="Playfair Display" w:eastAsia="Playfair Display" w:hAnsi="Playfair Display" w:cs="Playfair Display"/>
                <w:b/>
              </w:rPr>
            </w:pPr>
            <w:r>
              <w:rPr>
                <w:rFonts w:ascii="Playfair Display" w:eastAsia="Playfair Display" w:hAnsi="Playfair Display" w:cs="Playfair Display"/>
                <w:b/>
                <w:sz w:val="16"/>
                <w:szCs w:val="16"/>
              </w:rPr>
              <w:t>Företag:</w:t>
            </w:r>
          </w:p>
          <w:p w14:paraId="2B1FFB79" w14:textId="77777777" w:rsidR="00916B52" w:rsidRDefault="00916B52">
            <w:pPr>
              <w:widowControl w:val="0"/>
              <w:spacing w:line="240" w:lineRule="auto"/>
              <w:jc w:val="both"/>
              <w:rPr>
                <w:rFonts w:ascii="Playfair Display" w:eastAsia="Playfair Display" w:hAnsi="Playfair Display" w:cs="Playfair Display"/>
                <w:b/>
              </w:rPr>
            </w:pPr>
          </w:p>
        </w:tc>
        <w:tc>
          <w:tcPr>
            <w:tcW w:w="3120" w:type="dxa"/>
            <w:tcMar>
              <w:top w:w="100" w:type="dxa"/>
              <w:left w:w="100" w:type="dxa"/>
              <w:bottom w:w="100" w:type="dxa"/>
              <w:right w:w="100" w:type="dxa"/>
            </w:tcMar>
          </w:tcPr>
          <w:p w14:paraId="04FF1046" w14:textId="77777777" w:rsidR="00916B52" w:rsidRDefault="00000000">
            <w:pPr>
              <w:widowControl w:val="0"/>
              <w:spacing w:line="240" w:lineRule="auto"/>
              <w:jc w:val="both"/>
              <w:rPr>
                <w:rFonts w:ascii="Playfair Display" w:eastAsia="Playfair Display" w:hAnsi="Playfair Display" w:cs="Playfair Display"/>
                <w:b/>
              </w:rPr>
            </w:pPr>
            <w:r>
              <w:rPr>
                <w:rFonts w:ascii="Playfair Display" w:eastAsia="Playfair Display" w:hAnsi="Playfair Display" w:cs="Playfair Display"/>
                <w:b/>
                <w:sz w:val="16"/>
                <w:szCs w:val="16"/>
              </w:rPr>
              <w:t>E-post:</w:t>
            </w:r>
          </w:p>
          <w:p w14:paraId="48201390" w14:textId="77777777" w:rsidR="00916B52" w:rsidRDefault="00916B52">
            <w:pPr>
              <w:widowControl w:val="0"/>
              <w:spacing w:line="240" w:lineRule="auto"/>
              <w:jc w:val="both"/>
              <w:rPr>
                <w:rFonts w:ascii="Playfair Display" w:eastAsia="Playfair Display" w:hAnsi="Playfair Display" w:cs="Playfair Display"/>
                <w:b/>
              </w:rPr>
            </w:pPr>
          </w:p>
        </w:tc>
      </w:tr>
      <w:tr w:rsidR="00916B52" w14:paraId="270A6856" w14:textId="77777777">
        <w:tc>
          <w:tcPr>
            <w:tcW w:w="3120" w:type="dxa"/>
            <w:tcMar>
              <w:top w:w="100" w:type="dxa"/>
              <w:left w:w="100" w:type="dxa"/>
              <w:bottom w:w="100" w:type="dxa"/>
              <w:right w:w="100" w:type="dxa"/>
            </w:tcMar>
          </w:tcPr>
          <w:p w14:paraId="0F3589CF" w14:textId="77777777" w:rsidR="00916B52" w:rsidRDefault="00000000">
            <w:pPr>
              <w:widowControl w:val="0"/>
              <w:spacing w:line="240" w:lineRule="auto"/>
              <w:jc w:val="both"/>
              <w:rPr>
                <w:rFonts w:ascii="Playfair Display" w:eastAsia="Playfair Display" w:hAnsi="Playfair Display" w:cs="Playfair Display"/>
                <w:b/>
              </w:rPr>
            </w:pPr>
            <w:r>
              <w:rPr>
                <w:rFonts w:ascii="Playfair Display" w:eastAsia="Playfair Display" w:hAnsi="Playfair Display" w:cs="Playfair Display"/>
                <w:b/>
                <w:sz w:val="16"/>
                <w:szCs w:val="16"/>
              </w:rPr>
              <w:t>Besöksadress:</w:t>
            </w:r>
          </w:p>
          <w:p w14:paraId="13F482A0" w14:textId="77777777" w:rsidR="00916B52" w:rsidRDefault="00916B52">
            <w:pPr>
              <w:widowControl w:val="0"/>
              <w:spacing w:line="240" w:lineRule="auto"/>
              <w:jc w:val="both"/>
              <w:rPr>
                <w:rFonts w:ascii="Playfair Display" w:eastAsia="Playfair Display" w:hAnsi="Playfair Display" w:cs="Playfair Display"/>
                <w:b/>
              </w:rPr>
            </w:pPr>
          </w:p>
          <w:p w14:paraId="2643DEFC" w14:textId="77777777" w:rsidR="00916B52" w:rsidRDefault="00916B52">
            <w:pPr>
              <w:widowControl w:val="0"/>
              <w:spacing w:line="240" w:lineRule="auto"/>
              <w:jc w:val="both"/>
              <w:rPr>
                <w:rFonts w:ascii="Playfair Display" w:eastAsia="Playfair Display" w:hAnsi="Playfair Display" w:cs="Playfair Display"/>
                <w:b/>
              </w:rPr>
            </w:pPr>
          </w:p>
        </w:tc>
        <w:tc>
          <w:tcPr>
            <w:tcW w:w="3120" w:type="dxa"/>
            <w:tcMar>
              <w:top w:w="100" w:type="dxa"/>
              <w:left w:w="100" w:type="dxa"/>
              <w:bottom w:w="100" w:type="dxa"/>
              <w:right w:w="100" w:type="dxa"/>
            </w:tcMar>
          </w:tcPr>
          <w:p w14:paraId="14CE3F7E" w14:textId="77777777" w:rsidR="00916B52" w:rsidRDefault="00000000">
            <w:pPr>
              <w:widowControl w:val="0"/>
              <w:spacing w:line="240" w:lineRule="auto"/>
              <w:jc w:val="both"/>
              <w:rPr>
                <w:rFonts w:ascii="Playfair Display" w:eastAsia="Playfair Display" w:hAnsi="Playfair Display" w:cs="Playfair Display"/>
                <w:b/>
              </w:rPr>
            </w:pPr>
            <w:r>
              <w:rPr>
                <w:rFonts w:ascii="Playfair Display" w:eastAsia="Playfair Display" w:hAnsi="Playfair Display" w:cs="Playfair Display"/>
                <w:b/>
                <w:sz w:val="16"/>
                <w:szCs w:val="16"/>
              </w:rPr>
              <w:t>Telefon:</w:t>
            </w:r>
          </w:p>
          <w:p w14:paraId="4766855D" w14:textId="77777777" w:rsidR="00916B52" w:rsidRDefault="00916B52">
            <w:pPr>
              <w:widowControl w:val="0"/>
              <w:spacing w:line="240" w:lineRule="auto"/>
              <w:jc w:val="both"/>
              <w:rPr>
                <w:rFonts w:ascii="Playfair Display" w:eastAsia="Playfair Display" w:hAnsi="Playfair Display" w:cs="Playfair Display"/>
                <w:b/>
              </w:rPr>
            </w:pPr>
          </w:p>
        </w:tc>
        <w:tc>
          <w:tcPr>
            <w:tcW w:w="3120" w:type="dxa"/>
            <w:tcMar>
              <w:top w:w="100" w:type="dxa"/>
              <w:left w:w="100" w:type="dxa"/>
              <w:bottom w:w="100" w:type="dxa"/>
              <w:right w:w="100" w:type="dxa"/>
            </w:tcMar>
          </w:tcPr>
          <w:p w14:paraId="43170A4A" w14:textId="77777777" w:rsidR="00916B52" w:rsidRDefault="00000000">
            <w:pPr>
              <w:widowControl w:val="0"/>
              <w:spacing w:line="240" w:lineRule="auto"/>
              <w:jc w:val="both"/>
              <w:rPr>
                <w:rFonts w:ascii="Playfair Display" w:eastAsia="Playfair Display" w:hAnsi="Playfair Display" w:cs="Playfair Display"/>
                <w:b/>
              </w:rPr>
            </w:pPr>
            <w:r>
              <w:rPr>
                <w:rFonts w:ascii="Playfair Display" w:eastAsia="Playfair Display" w:hAnsi="Playfair Display" w:cs="Playfair Display"/>
                <w:b/>
                <w:sz w:val="16"/>
                <w:szCs w:val="16"/>
              </w:rPr>
              <w:t>LIA-period:</w:t>
            </w:r>
          </w:p>
          <w:p w14:paraId="65F299FD" w14:textId="77777777" w:rsidR="00916B52" w:rsidRDefault="00916B52">
            <w:pPr>
              <w:widowControl w:val="0"/>
              <w:spacing w:line="240" w:lineRule="auto"/>
              <w:jc w:val="both"/>
              <w:rPr>
                <w:rFonts w:ascii="Playfair Display" w:eastAsia="Playfair Display" w:hAnsi="Playfair Display" w:cs="Playfair Display"/>
                <w:b/>
              </w:rPr>
            </w:pPr>
          </w:p>
        </w:tc>
      </w:tr>
    </w:tbl>
    <w:p w14:paraId="55517485" w14:textId="77777777" w:rsidR="00916B52" w:rsidRDefault="00916B52">
      <w:pPr>
        <w:jc w:val="both"/>
        <w:rPr>
          <w:rFonts w:ascii="Playfair Display" w:eastAsia="Playfair Display" w:hAnsi="Playfair Display" w:cs="Playfair Display"/>
        </w:rPr>
      </w:pPr>
    </w:p>
    <w:p w14:paraId="30F004E2" w14:textId="77777777" w:rsidR="00916B52" w:rsidRDefault="00000000">
      <w:pPr>
        <w:jc w:val="both"/>
        <w:rPr>
          <w:rFonts w:ascii="Playfair Display" w:eastAsia="Playfair Display" w:hAnsi="Playfair Display" w:cs="Playfair Display"/>
          <w:sz w:val="20"/>
          <w:szCs w:val="20"/>
        </w:rPr>
      </w:pPr>
      <w:r>
        <w:rPr>
          <w:rFonts w:ascii="Playfair Display" w:eastAsia="Playfair Display" w:hAnsi="Playfair Display" w:cs="Playfair Display"/>
          <w:sz w:val="20"/>
          <w:szCs w:val="20"/>
        </w:rPr>
        <w:t xml:space="preserve">Gå igenom målen och betygskriterierna noga för att försäkra er om att de kan uppfyllas under </w:t>
      </w:r>
      <w:proofErr w:type="spellStart"/>
      <w:proofErr w:type="gramStart"/>
      <w:r>
        <w:rPr>
          <w:rFonts w:ascii="Playfair Display" w:eastAsia="Playfair Display" w:hAnsi="Playfair Display" w:cs="Playfair Display"/>
          <w:sz w:val="20"/>
          <w:szCs w:val="20"/>
        </w:rPr>
        <w:t>LIA:n</w:t>
      </w:r>
      <w:proofErr w:type="spellEnd"/>
      <w:r>
        <w:rPr>
          <w:rFonts w:ascii="Playfair Display" w:eastAsia="Playfair Display" w:hAnsi="Playfair Display" w:cs="Playfair Display"/>
          <w:sz w:val="20"/>
          <w:szCs w:val="20"/>
        </w:rPr>
        <w:t>.</w:t>
      </w:r>
      <w:proofErr w:type="gramEnd"/>
      <w:r>
        <w:rPr>
          <w:rFonts w:ascii="Playfair Display" w:eastAsia="Playfair Display" w:hAnsi="Playfair Display" w:cs="Playfair Display"/>
          <w:sz w:val="20"/>
          <w:szCs w:val="20"/>
        </w:rPr>
        <w:t xml:space="preserve"> Om något mål eller betygskriterier inte kan uppfyllas, är det viktigt att JENSEN yrkeshögskola får reda på detta så snabbt som möjligt.</w:t>
      </w:r>
    </w:p>
    <w:p w14:paraId="02F82188" w14:textId="77777777" w:rsidR="00916B52" w:rsidRDefault="00916B52">
      <w:pPr>
        <w:tabs>
          <w:tab w:val="right" w:pos="6804"/>
        </w:tabs>
        <w:spacing w:line="240" w:lineRule="auto"/>
        <w:rPr>
          <w:rFonts w:ascii="Playfair Display" w:eastAsia="Playfair Display" w:hAnsi="Playfair Display" w:cs="Playfair Display"/>
          <w:b/>
          <w:sz w:val="20"/>
          <w:szCs w:val="20"/>
        </w:rPr>
      </w:pPr>
    </w:p>
    <w:p w14:paraId="050DC194" w14:textId="53E230DE"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p>
    <w:p w14:paraId="7BC7F4B9"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b/>
          <w:bCs/>
          <w:color w:val="222222"/>
          <w:sz w:val="18"/>
          <w:szCs w:val="18"/>
        </w:rPr>
      </w:pPr>
      <w:r w:rsidRPr="00484A25">
        <w:rPr>
          <w:rFonts w:ascii="Playfair Display" w:eastAsia="Playfair Display" w:hAnsi="Playfair Display" w:cs="Playfair Display"/>
          <w:b/>
          <w:bCs/>
          <w:color w:val="222222"/>
          <w:sz w:val="18"/>
          <w:szCs w:val="18"/>
        </w:rPr>
        <w:t>Kursmål</w:t>
      </w:r>
    </w:p>
    <w:p w14:paraId="4104529F"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Efter genomförd kurs med godkänt resultat ska den studerande kunna:</w:t>
      </w:r>
    </w:p>
    <w:p w14:paraId="5DE26983"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 xml:space="preserve"> </w:t>
      </w:r>
    </w:p>
    <w:p w14:paraId="51F6B8EE"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Kunskaper</w:t>
      </w:r>
    </w:p>
    <w:p w14:paraId="01216359"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1.      Den studerande ska, under LIA-perioden, tillämpa kunskaperna från de klassrumsbaserade kurserna. Den studerande ska även beskriva och förklara LIA-periodens arbetsuppgifter och relatera arbetsuppgifterna till yrkesrollen.</w:t>
      </w:r>
    </w:p>
    <w:p w14:paraId="78ECFB7C"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2.     Metoder för att kontakta och följa upp företag</w:t>
      </w:r>
    </w:p>
    <w:p w14:paraId="3678C00E"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3.     Metoder för att ta fram ett anpassat CV och personligt brev</w:t>
      </w:r>
    </w:p>
    <w:p w14:paraId="516CAFC7"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 xml:space="preserve"> </w:t>
      </w:r>
    </w:p>
    <w:p w14:paraId="51A04533"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Färdigheter</w:t>
      </w:r>
    </w:p>
    <w:p w14:paraId="0C8BA28D"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4.     Tillämpa kunskaperna från de klassrumsbaserade kurserna</w:t>
      </w:r>
    </w:p>
    <w:p w14:paraId="63E7B9B6"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5.     Reflektera över och utvärdera självständigt sitt arbete och sina prestationer i relation till målen för denna LIA-period</w:t>
      </w:r>
    </w:p>
    <w:p w14:paraId="4BCC67B0"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6.     Tillämpa metoder för att kontakta och följa upp företag</w:t>
      </w:r>
    </w:p>
    <w:p w14:paraId="7BB2AC57"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7.     Tillämpa metoder för att ta fram ett anpassat CV och personligt brev</w:t>
      </w:r>
    </w:p>
    <w:p w14:paraId="108A8AE8"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 xml:space="preserve"> </w:t>
      </w:r>
    </w:p>
    <w:p w14:paraId="2DFF9F27"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Kompetenser</w:t>
      </w:r>
    </w:p>
    <w:p w14:paraId="42896FD6"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8.     Analysera, bedöma och utveckla sina kunskaper och färdigheter</w:t>
      </w:r>
    </w:p>
    <w:p w14:paraId="2D944853"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 xml:space="preserve"> </w:t>
      </w:r>
    </w:p>
    <w:p w14:paraId="2CA75AFD"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b/>
          <w:bCs/>
          <w:color w:val="222222"/>
          <w:sz w:val="18"/>
          <w:szCs w:val="18"/>
        </w:rPr>
      </w:pPr>
      <w:r w:rsidRPr="00484A25">
        <w:rPr>
          <w:rFonts w:ascii="Playfair Display" w:eastAsia="Playfair Display" w:hAnsi="Playfair Display" w:cs="Playfair Display"/>
          <w:b/>
          <w:bCs/>
          <w:color w:val="222222"/>
          <w:sz w:val="18"/>
          <w:szCs w:val="18"/>
        </w:rPr>
        <w:t xml:space="preserve">Former för kunskapskontroll </w:t>
      </w:r>
    </w:p>
    <w:p w14:paraId="2B5A76A6"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Den studerandes kunskaper, färdigheter och kompetenser bedöms utifrån resultatet av följande kunskapskontroller:</w:t>
      </w:r>
    </w:p>
    <w:p w14:paraId="488696DF"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lastRenderedPageBreak/>
        <w:t>·       Kursmål 1 och 4: LIA-handledarens bedömning av den studerandes insatser och lärande under LIA-perioden (IG/G)</w:t>
      </w:r>
    </w:p>
    <w:p w14:paraId="6E56B74F"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       Kursmål 3 och 6: CV och personligt brev (IG/G)</w:t>
      </w:r>
    </w:p>
    <w:p w14:paraId="0FC34AC9"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 xml:space="preserve">·       Kursmål </w:t>
      </w:r>
      <w:proofErr w:type="gramStart"/>
      <w:r w:rsidRPr="00484A25">
        <w:rPr>
          <w:rFonts w:ascii="Playfair Display" w:eastAsia="Playfair Display" w:hAnsi="Playfair Display" w:cs="Playfair Display"/>
          <w:color w:val="222222"/>
          <w:sz w:val="18"/>
          <w:szCs w:val="18"/>
        </w:rPr>
        <w:t>1-2</w:t>
      </w:r>
      <w:proofErr w:type="gramEnd"/>
      <w:r w:rsidRPr="00484A25">
        <w:rPr>
          <w:rFonts w:ascii="Playfair Display" w:eastAsia="Playfair Display" w:hAnsi="Playfair Display" w:cs="Playfair Display"/>
          <w:color w:val="222222"/>
          <w:sz w:val="18"/>
          <w:szCs w:val="18"/>
        </w:rPr>
        <w:t>, 4-6 och 8: inlämningsuppgift (IG/G/VG)</w:t>
      </w:r>
    </w:p>
    <w:p w14:paraId="5218C8E0"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 xml:space="preserve"> </w:t>
      </w:r>
    </w:p>
    <w:p w14:paraId="1BDF1AA2"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Kursbetyget baseras på en sammanvägning av samtliga bedömningsunderlag.</w:t>
      </w:r>
    </w:p>
    <w:p w14:paraId="590D89D9"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p>
    <w:p w14:paraId="776E313B"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b/>
          <w:bCs/>
          <w:color w:val="222222"/>
          <w:sz w:val="18"/>
          <w:szCs w:val="18"/>
        </w:rPr>
      </w:pPr>
      <w:r w:rsidRPr="00484A25">
        <w:rPr>
          <w:rFonts w:ascii="Playfair Display" w:eastAsia="Playfair Display" w:hAnsi="Playfair Display" w:cs="Playfair Display"/>
          <w:b/>
          <w:bCs/>
          <w:color w:val="222222"/>
          <w:sz w:val="18"/>
          <w:szCs w:val="18"/>
        </w:rPr>
        <w:t>Principer för betygssättning</w:t>
      </w:r>
    </w:p>
    <w:p w14:paraId="596397BF"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Den studerandes prestation betygsätts efter genomförd kurs med betygen Icke Godkänt (IG), Godkänt (G) eller Väl Godkänt (VG).</w:t>
      </w:r>
    </w:p>
    <w:p w14:paraId="5CC16934"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 xml:space="preserve"> </w:t>
      </w:r>
    </w:p>
    <w:p w14:paraId="02EDE289"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Icke Godkänt (IG)</w:t>
      </w:r>
    </w:p>
    <w:p w14:paraId="7B1851CC"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För att få betyget Icke Godkänt (IG) ska den studerande ha genomfört kursen utan att nå alla kursmål.</w:t>
      </w:r>
    </w:p>
    <w:p w14:paraId="6F06E982"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 xml:space="preserve"> </w:t>
      </w:r>
    </w:p>
    <w:p w14:paraId="77390E71"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Godkänt (G)</w:t>
      </w:r>
    </w:p>
    <w:p w14:paraId="62EC0CBE"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För att få betyget Godkänt (G) ska den studerande ha genomfört kursen och nått alla kursmål.</w:t>
      </w:r>
    </w:p>
    <w:p w14:paraId="14B1D36E"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 xml:space="preserve"> </w:t>
      </w:r>
    </w:p>
    <w:p w14:paraId="0508E6DA" w14:textId="77777777" w:rsidR="00484A25" w:rsidRPr="00484A25"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Väl Godkänt (VG)</w:t>
      </w:r>
    </w:p>
    <w:p w14:paraId="00B37B4D" w14:textId="418CDC0A" w:rsidR="00916B52" w:rsidRDefault="00484A25" w:rsidP="00484A25">
      <w:pPr>
        <w:pBdr>
          <w:top w:val="nil"/>
          <w:left w:val="nil"/>
          <w:bottom w:val="nil"/>
          <w:right w:val="nil"/>
          <w:between w:val="nil"/>
        </w:pBdr>
        <w:spacing w:line="240" w:lineRule="auto"/>
        <w:rPr>
          <w:rFonts w:ascii="Playfair Display" w:eastAsia="Playfair Display" w:hAnsi="Playfair Display" w:cs="Playfair Display"/>
          <w:color w:val="222222"/>
          <w:sz w:val="18"/>
          <w:szCs w:val="18"/>
        </w:rPr>
      </w:pPr>
      <w:r w:rsidRPr="00484A25">
        <w:rPr>
          <w:rFonts w:ascii="Playfair Display" w:eastAsia="Playfair Display" w:hAnsi="Playfair Display" w:cs="Playfair Display"/>
          <w:color w:val="222222"/>
          <w:sz w:val="18"/>
          <w:szCs w:val="18"/>
        </w:rPr>
        <w:t>För att få betyget Väl Godkänt (VG) ska den studerande ha genomfört kursen och nått alla kursmål. Den studerande ska vidare kunna föra välgrundade och nyanserade resonemang och kunna göra välgrundade och nyanserade bedömningar gällande den egna förmågan att tillämpa kunskaperna från de klassrumsbaserade kurserna.</w:t>
      </w:r>
    </w:p>
    <w:p w14:paraId="0A6F0DD0" w14:textId="77777777" w:rsidR="00916B52" w:rsidRDefault="00916B52">
      <w:pPr>
        <w:widowControl w:val="0"/>
        <w:spacing w:after="100"/>
        <w:rPr>
          <w:rFonts w:ascii="Playfair Display" w:eastAsia="Playfair Display" w:hAnsi="Playfair Display" w:cs="Playfair Display"/>
          <w:color w:val="888800"/>
        </w:rPr>
      </w:pPr>
    </w:p>
    <w:p w14:paraId="61719CD5" w14:textId="77777777" w:rsidR="00916B52" w:rsidRDefault="00000000">
      <w:pPr>
        <w:rPr>
          <w:rFonts w:ascii="Playfair Display" w:eastAsia="Playfair Display" w:hAnsi="Playfair Display" w:cs="Playfair Display"/>
          <w:b/>
          <w:sz w:val="20"/>
          <w:szCs w:val="20"/>
        </w:rPr>
      </w:pPr>
      <w:r>
        <w:br w:type="page"/>
      </w:r>
    </w:p>
    <w:p w14:paraId="5E9A8107" w14:textId="77777777" w:rsidR="00916B52" w:rsidRDefault="00916B52">
      <w:pPr>
        <w:rPr>
          <w:rFonts w:ascii="Playfair Display" w:eastAsia="Playfair Display" w:hAnsi="Playfair Display" w:cs="Playfair Display"/>
          <w:b/>
          <w:sz w:val="20"/>
          <w:szCs w:val="20"/>
        </w:rPr>
      </w:pPr>
    </w:p>
    <w:p w14:paraId="6854C7BA" w14:textId="77777777" w:rsidR="00916B52" w:rsidRDefault="00916B52">
      <w:pPr>
        <w:rPr>
          <w:rFonts w:ascii="Playfair Display" w:eastAsia="Playfair Display" w:hAnsi="Playfair Display" w:cs="Playfair Display"/>
          <w:b/>
          <w:color w:val="000000"/>
          <w:sz w:val="24"/>
          <w:szCs w:val="24"/>
        </w:rPr>
      </w:pPr>
    </w:p>
    <w:p w14:paraId="177F10C6" w14:textId="77777777" w:rsidR="00916B52" w:rsidRDefault="00000000">
      <w:pPr>
        <w:rPr>
          <w:rFonts w:ascii="Playfair Display" w:eastAsia="Playfair Display" w:hAnsi="Playfair Display" w:cs="Playfair Display"/>
          <w:b/>
          <w:sz w:val="24"/>
          <w:szCs w:val="24"/>
        </w:rPr>
      </w:pPr>
      <w:r>
        <w:rPr>
          <w:rFonts w:ascii="Playfair Display" w:eastAsia="Playfair Display" w:hAnsi="Playfair Display" w:cs="Playfair Display"/>
          <w:b/>
          <w:sz w:val="24"/>
          <w:szCs w:val="24"/>
        </w:rPr>
        <w:t>Konkreta arbetsuppgifter under LIA-perioden (fylls i tillsammans med handledaren):</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16B52" w14:paraId="5F86F4C2" w14:textId="77777777">
        <w:trPr>
          <w:trHeight w:val="3720"/>
        </w:trPr>
        <w:tc>
          <w:tcPr>
            <w:tcW w:w="9360" w:type="dxa"/>
            <w:tcMar>
              <w:top w:w="100" w:type="dxa"/>
              <w:left w:w="100" w:type="dxa"/>
              <w:bottom w:w="100" w:type="dxa"/>
              <w:right w:w="100" w:type="dxa"/>
            </w:tcMar>
          </w:tcPr>
          <w:p w14:paraId="00B34C7B" w14:textId="77777777" w:rsidR="00916B52" w:rsidRDefault="00916B52">
            <w:pPr>
              <w:widowControl w:val="0"/>
              <w:spacing w:line="240" w:lineRule="auto"/>
              <w:jc w:val="both"/>
              <w:rPr>
                <w:rFonts w:ascii="Playfair Display" w:eastAsia="Playfair Display" w:hAnsi="Playfair Display" w:cs="Playfair Display"/>
              </w:rPr>
            </w:pPr>
          </w:p>
          <w:p w14:paraId="7989C845" w14:textId="77777777" w:rsidR="00916B52" w:rsidRDefault="00916B52">
            <w:pPr>
              <w:widowControl w:val="0"/>
              <w:spacing w:line="240" w:lineRule="auto"/>
              <w:jc w:val="both"/>
              <w:rPr>
                <w:rFonts w:ascii="Playfair Display" w:eastAsia="Playfair Display" w:hAnsi="Playfair Display" w:cs="Playfair Display"/>
              </w:rPr>
            </w:pPr>
          </w:p>
          <w:p w14:paraId="35D50B1C" w14:textId="77777777" w:rsidR="00916B52" w:rsidRDefault="00916B52">
            <w:pPr>
              <w:widowControl w:val="0"/>
              <w:spacing w:line="240" w:lineRule="auto"/>
              <w:jc w:val="both"/>
              <w:rPr>
                <w:rFonts w:ascii="Playfair Display" w:eastAsia="Playfair Display" w:hAnsi="Playfair Display" w:cs="Playfair Display"/>
              </w:rPr>
            </w:pPr>
          </w:p>
          <w:p w14:paraId="491802EB" w14:textId="77777777" w:rsidR="00916B52" w:rsidRDefault="00916B52">
            <w:pPr>
              <w:widowControl w:val="0"/>
              <w:spacing w:line="240" w:lineRule="auto"/>
              <w:jc w:val="both"/>
              <w:rPr>
                <w:rFonts w:ascii="Playfair Display" w:eastAsia="Playfair Display" w:hAnsi="Playfair Display" w:cs="Playfair Display"/>
              </w:rPr>
            </w:pPr>
          </w:p>
          <w:p w14:paraId="3934D1BB" w14:textId="77777777" w:rsidR="00916B52" w:rsidRDefault="00916B52">
            <w:pPr>
              <w:widowControl w:val="0"/>
              <w:spacing w:line="240" w:lineRule="auto"/>
              <w:jc w:val="both"/>
              <w:rPr>
                <w:rFonts w:ascii="Playfair Display" w:eastAsia="Playfair Display" w:hAnsi="Playfair Display" w:cs="Playfair Display"/>
              </w:rPr>
            </w:pPr>
          </w:p>
          <w:p w14:paraId="3A5EBD0A" w14:textId="77777777" w:rsidR="00916B52" w:rsidRDefault="00916B52">
            <w:pPr>
              <w:widowControl w:val="0"/>
              <w:spacing w:line="240" w:lineRule="auto"/>
              <w:jc w:val="both"/>
              <w:rPr>
                <w:rFonts w:ascii="Playfair Display" w:eastAsia="Playfair Display" w:hAnsi="Playfair Display" w:cs="Playfair Display"/>
              </w:rPr>
            </w:pPr>
          </w:p>
        </w:tc>
      </w:tr>
    </w:tbl>
    <w:p w14:paraId="5768A54B" w14:textId="77777777" w:rsidR="00916B52" w:rsidRDefault="00916B52">
      <w:pPr>
        <w:jc w:val="both"/>
        <w:rPr>
          <w:rFonts w:ascii="Playfair Display" w:eastAsia="Playfair Display" w:hAnsi="Playfair Display" w:cs="Playfair Display"/>
        </w:rPr>
      </w:pPr>
    </w:p>
    <w:p w14:paraId="649A20E2" w14:textId="77777777" w:rsidR="00916B52" w:rsidRDefault="00000000">
      <w:pPr>
        <w:jc w:val="both"/>
        <w:rPr>
          <w:rFonts w:ascii="Playfair Display" w:eastAsia="Playfair Display" w:hAnsi="Playfair Display" w:cs="Playfair Display"/>
        </w:rPr>
      </w:pPr>
      <w:r>
        <w:rPr>
          <w:rFonts w:ascii="Playfair Display" w:eastAsia="Playfair Display" w:hAnsi="Playfair Display" w:cs="Playfair Display"/>
          <w:b/>
          <w:sz w:val="24"/>
          <w:szCs w:val="24"/>
        </w:rPr>
        <w:t>Förväntad utveckling under LIA-perioden (fylls i tillsammans med handledaren):</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16B52" w14:paraId="04B22599" w14:textId="77777777">
        <w:trPr>
          <w:trHeight w:val="3540"/>
        </w:trPr>
        <w:tc>
          <w:tcPr>
            <w:tcW w:w="9360" w:type="dxa"/>
            <w:tcMar>
              <w:top w:w="100" w:type="dxa"/>
              <w:left w:w="100" w:type="dxa"/>
              <w:bottom w:w="100" w:type="dxa"/>
              <w:right w:w="100" w:type="dxa"/>
            </w:tcMar>
          </w:tcPr>
          <w:p w14:paraId="07EC7ADC" w14:textId="77777777" w:rsidR="00916B52" w:rsidRDefault="00916B52">
            <w:pPr>
              <w:widowControl w:val="0"/>
              <w:spacing w:line="240" w:lineRule="auto"/>
              <w:jc w:val="both"/>
              <w:rPr>
                <w:rFonts w:ascii="Playfair Display" w:eastAsia="Playfair Display" w:hAnsi="Playfair Display" w:cs="Playfair Display"/>
              </w:rPr>
            </w:pPr>
          </w:p>
          <w:p w14:paraId="16320DF6" w14:textId="77777777" w:rsidR="00916B52" w:rsidRDefault="00916B52">
            <w:pPr>
              <w:widowControl w:val="0"/>
              <w:spacing w:line="240" w:lineRule="auto"/>
              <w:jc w:val="both"/>
              <w:rPr>
                <w:rFonts w:ascii="Playfair Display" w:eastAsia="Playfair Display" w:hAnsi="Playfair Display" w:cs="Playfair Display"/>
              </w:rPr>
            </w:pPr>
          </w:p>
          <w:p w14:paraId="194E4726" w14:textId="77777777" w:rsidR="00916B52" w:rsidRDefault="00916B52">
            <w:pPr>
              <w:widowControl w:val="0"/>
              <w:spacing w:line="240" w:lineRule="auto"/>
              <w:jc w:val="both"/>
              <w:rPr>
                <w:rFonts w:ascii="Playfair Display" w:eastAsia="Playfair Display" w:hAnsi="Playfair Display" w:cs="Playfair Display"/>
              </w:rPr>
            </w:pPr>
          </w:p>
          <w:p w14:paraId="6B0C39CB" w14:textId="77777777" w:rsidR="00916B52" w:rsidRDefault="00916B52">
            <w:pPr>
              <w:widowControl w:val="0"/>
              <w:spacing w:line="240" w:lineRule="auto"/>
              <w:jc w:val="both"/>
              <w:rPr>
                <w:rFonts w:ascii="Playfair Display" w:eastAsia="Playfair Display" w:hAnsi="Playfair Display" w:cs="Playfair Display"/>
              </w:rPr>
            </w:pPr>
          </w:p>
          <w:p w14:paraId="4F121B67" w14:textId="77777777" w:rsidR="00916B52" w:rsidRDefault="00916B52">
            <w:pPr>
              <w:widowControl w:val="0"/>
              <w:spacing w:line="240" w:lineRule="auto"/>
              <w:jc w:val="both"/>
              <w:rPr>
                <w:rFonts w:ascii="Playfair Display" w:eastAsia="Playfair Display" w:hAnsi="Playfair Display" w:cs="Playfair Display"/>
              </w:rPr>
            </w:pPr>
          </w:p>
        </w:tc>
      </w:tr>
    </w:tbl>
    <w:p w14:paraId="415916A1" w14:textId="77777777" w:rsidR="00916B52" w:rsidRDefault="00916B52">
      <w:pPr>
        <w:jc w:val="both"/>
        <w:rPr>
          <w:rFonts w:ascii="Playfair Display" w:eastAsia="Playfair Display" w:hAnsi="Playfair Display" w:cs="Playfair Display"/>
          <w:b/>
          <w:sz w:val="24"/>
          <w:szCs w:val="24"/>
        </w:rPr>
      </w:pPr>
    </w:p>
    <w:p w14:paraId="11C5F33C" w14:textId="77777777" w:rsidR="00916B52" w:rsidRDefault="00916B52">
      <w:pPr>
        <w:jc w:val="both"/>
        <w:rPr>
          <w:rFonts w:ascii="Playfair Display" w:eastAsia="Playfair Display" w:hAnsi="Playfair Display" w:cs="Playfair Display"/>
          <w:b/>
          <w:sz w:val="24"/>
          <w:szCs w:val="24"/>
        </w:rPr>
      </w:pPr>
    </w:p>
    <w:p w14:paraId="721108FB" w14:textId="77777777" w:rsidR="00916B52" w:rsidRDefault="00916B52">
      <w:pPr>
        <w:jc w:val="both"/>
        <w:rPr>
          <w:rFonts w:ascii="Playfair Display" w:eastAsia="Playfair Display" w:hAnsi="Playfair Display" w:cs="Playfair Display"/>
          <w:b/>
          <w:sz w:val="24"/>
          <w:szCs w:val="24"/>
        </w:rPr>
      </w:pPr>
    </w:p>
    <w:p w14:paraId="12926A44" w14:textId="77777777" w:rsidR="00916B52" w:rsidRDefault="00916B52">
      <w:pPr>
        <w:jc w:val="both"/>
        <w:rPr>
          <w:rFonts w:ascii="Playfair Display" w:eastAsia="Playfair Display" w:hAnsi="Playfair Display" w:cs="Playfair Display"/>
          <w:b/>
          <w:sz w:val="24"/>
          <w:szCs w:val="24"/>
        </w:rPr>
      </w:pPr>
    </w:p>
    <w:p w14:paraId="16036788" w14:textId="77777777" w:rsidR="00916B52" w:rsidRDefault="00916B52">
      <w:pPr>
        <w:jc w:val="both"/>
        <w:rPr>
          <w:rFonts w:ascii="Playfair Display" w:eastAsia="Playfair Display" w:hAnsi="Playfair Display" w:cs="Playfair Display"/>
          <w:b/>
          <w:sz w:val="24"/>
          <w:szCs w:val="24"/>
        </w:rPr>
      </w:pPr>
    </w:p>
    <w:p w14:paraId="1BA7820F" w14:textId="77777777" w:rsidR="00916B52" w:rsidRDefault="00916B52">
      <w:pPr>
        <w:jc w:val="both"/>
        <w:rPr>
          <w:rFonts w:ascii="Playfair Display" w:eastAsia="Playfair Display" w:hAnsi="Playfair Display" w:cs="Playfair Display"/>
          <w:b/>
          <w:sz w:val="24"/>
          <w:szCs w:val="24"/>
        </w:rPr>
      </w:pPr>
    </w:p>
    <w:p w14:paraId="04352F07" w14:textId="77777777" w:rsidR="00916B52" w:rsidRDefault="00916B52">
      <w:pPr>
        <w:jc w:val="both"/>
        <w:rPr>
          <w:rFonts w:ascii="Playfair Display" w:eastAsia="Playfair Display" w:hAnsi="Playfair Display" w:cs="Playfair Display"/>
          <w:b/>
          <w:sz w:val="24"/>
          <w:szCs w:val="24"/>
        </w:rPr>
      </w:pPr>
    </w:p>
    <w:p w14:paraId="0759CE27" w14:textId="77777777" w:rsidR="00916B52" w:rsidRDefault="00916B52">
      <w:pPr>
        <w:jc w:val="both"/>
        <w:rPr>
          <w:rFonts w:ascii="Playfair Display" w:eastAsia="Playfair Display" w:hAnsi="Playfair Display" w:cs="Playfair Display"/>
          <w:b/>
          <w:sz w:val="24"/>
          <w:szCs w:val="24"/>
        </w:rPr>
      </w:pPr>
    </w:p>
    <w:p w14:paraId="1B4660E6" w14:textId="77777777" w:rsidR="00916B52" w:rsidRDefault="00000000">
      <w:pPr>
        <w:jc w:val="both"/>
        <w:rPr>
          <w:rFonts w:ascii="Playfair Display" w:eastAsia="Playfair Display" w:hAnsi="Playfair Display" w:cs="Playfair Display"/>
        </w:rPr>
      </w:pPr>
      <w:r>
        <w:rPr>
          <w:rFonts w:ascii="Playfair Display" w:eastAsia="Playfair Display" w:hAnsi="Playfair Display" w:cs="Playfair Display"/>
          <w:b/>
          <w:sz w:val="24"/>
          <w:szCs w:val="24"/>
        </w:rPr>
        <w:lastRenderedPageBreak/>
        <w:t>Ifylles endast av handledaren:</w:t>
      </w:r>
    </w:p>
    <w:p w14:paraId="760009E7" w14:textId="77777777" w:rsidR="00916B52" w:rsidRDefault="00000000">
      <w:pPr>
        <w:jc w:val="both"/>
        <w:rPr>
          <w:rFonts w:ascii="Playfair Display" w:eastAsia="Playfair Display" w:hAnsi="Playfair Display" w:cs="Playfair Display"/>
        </w:rPr>
      </w:pPr>
      <w:r>
        <w:rPr>
          <w:rFonts w:ascii="Playfair Display" w:eastAsia="Playfair Display" w:hAnsi="Playfair Display" w:cs="Playfair Display"/>
        </w:rPr>
        <w:t xml:space="preserve">Vi finns tillgängliga för frågor/handledning i genomsnitt </w:t>
      </w:r>
      <w:proofErr w:type="gramStart"/>
      <w:r>
        <w:rPr>
          <w:rFonts w:ascii="Playfair Display" w:eastAsia="Playfair Display" w:hAnsi="Playfair Display" w:cs="Playfair Display"/>
        </w:rPr>
        <w:t>3-10</w:t>
      </w:r>
      <w:proofErr w:type="gramEnd"/>
      <w:r>
        <w:rPr>
          <w:rFonts w:ascii="Playfair Display" w:eastAsia="Playfair Display" w:hAnsi="Playfair Display" w:cs="Playfair Display"/>
        </w:rPr>
        <w:t xml:space="preserve"> h per vecka: </w:t>
      </w:r>
      <w:r>
        <w:rPr>
          <w:rFonts w:ascii="Playfair Display" w:eastAsia="Playfair Display" w:hAnsi="Playfair Display" w:cs="Playfair Display"/>
          <w:sz w:val="24"/>
          <w:szCs w:val="24"/>
        </w:rPr>
        <w:t xml:space="preserve">JA </w:t>
      </w:r>
      <w:r>
        <w:rPr>
          <w:rFonts w:ascii="Playfair Display" w:eastAsia="Playfair Display" w:hAnsi="Playfair Display" w:cs="Playfair Display"/>
          <w:noProof/>
        </w:rPr>
        <mc:AlternateContent>
          <mc:Choice Requires="wpg">
            <w:drawing>
              <wp:inline distT="114300" distB="114300" distL="114300" distR="114300" wp14:anchorId="06FBC0E0" wp14:editId="0322F652">
                <wp:extent cx="304800" cy="342900"/>
                <wp:effectExtent l="0" t="0" r="0" b="0"/>
                <wp:docPr id="12" name="Rektangel 12"/>
                <wp:cNvGraphicFramePr/>
                <a:graphic xmlns:a="http://schemas.openxmlformats.org/drawingml/2006/main">
                  <a:graphicData uri="http://schemas.microsoft.com/office/word/2010/wordprocessingShape">
                    <wps:wsp>
                      <wps:cNvSpPr/>
                      <wps:spPr>
                        <a:xfrm>
                          <a:off x="5265000" y="3679951"/>
                          <a:ext cx="162000" cy="200099"/>
                        </a:xfrm>
                        <a:prstGeom prst="rect">
                          <a:avLst/>
                        </a:prstGeom>
                        <a:noFill/>
                        <a:ln w="19050" cap="flat" cmpd="sng">
                          <a:solidFill>
                            <a:srgbClr val="000000"/>
                          </a:solidFill>
                          <a:prstDash val="solid"/>
                          <a:round/>
                          <a:headEnd type="none" w="sm" len="sm"/>
                          <a:tailEnd type="none" w="sm" len="sm"/>
                        </a:ln>
                      </wps:spPr>
                      <wps:txbx>
                        <w:txbxContent>
                          <w:p w14:paraId="7404D4BE" w14:textId="77777777" w:rsidR="00916B52" w:rsidRDefault="00916B5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04800" cy="342900"/>
                <wp:effectExtent b="0" l="0" r="0" t="0"/>
                <wp:docPr id="1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04800" cy="342900"/>
                        </a:xfrm>
                        <a:prstGeom prst="rect"/>
                        <a:ln/>
                      </pic:spPr>
                    </pic:pic>
                  </a:graphicData>
                </a:graphic>
              </wp:inline>
            </w:drawing>
          </mc:Fallback>
        </mc:AlternateContent>
      </w:r>
      <w:r>
        <w:rPr>
          <w:rFonts w:ascii="Playfair Display" w:eastAsia="Playfair Display" w:hAnsi="Playfair Display" w:cs="Playfair Display"/>
          <w:sz w:val="24"/>
          <w:szCs w:val="24"/>
        </w:rPr>
        <w:t xml:space="preserve"> NEJ </w:t>
      </w:r>
      <w:r>
        <w:rPr>
          <w:rFonts w:ascii="Playfair Display" w:eastAsia="Playfair Display" w:hAnsi="Playfair Display" w:cs="Playfair Display"/>
          <w:noProof/>
        </w:rPr>
        <mc:AlternateContent>
          <mc:Choice Requires="wpg">
            <w:drawing>
              <wp:inline distT="114300" distB="114300" distL="114300" distR="114300" wp14:anchorId="6F5060F3" wp14:editId="79A42B90">
                <wp:extent cx="304800" cy="342900"/>
                <wp:effectExtent l="0" t="0" r="0" b="0"/>
                <wp:docPr id="11" name="Rektangel 11"/>
                <wp:cNvGraphicFramePr/>
                <a:graphic xmlns:a="http://schemas.openxmlformats.org/drawingml/2006/main">
                  <a:graphicData uri="http://schemas.microsoft.com/office/word/2010/wordprocessingShape">
                    <wps:wsp>
                      <wps:cNvSpPr/>
                      <wps:spPr>
                        <a:xfrm>
                          <a:off x="5265000" y="3679951"/>
                          <a:ext cx="162000" cy="200099"/>
                        </a:xfrm>
                        <a:prstGeom prst="rect">
                          <a:avLst/>
                        </a:prstGeom>
                        <a:noFill/>
                        <a:ln w="19050" cap="flat" cmpd="sng">
                          <a:solidFill>
                            <a:srgbClr val="000000"/>
                          </a:solidFill>
                          <a:prstDash val="solid"/>
                          <a:round/>
                          <a:headEnd type="none" w="sm" len="sm"/>
                          <a:tailEnd type="none" w="sm" len="sm"/>
                        </a:ln>
                      </wps:spPr>
                      <wps:txbx>
                        <w:txbxContent>
                          <w:p w14:paraId="73B03FBB" w14:textId="77777777" w:rsidR="00916B52" w:rsidRDefault="00916B5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04800" cy="342900"/>
                <wp:effectExtent b="0" l="0" r="0" t="0"/>
                <wp:docPr id="1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04800" cy="342900"/>
                        </a:xfrm>
                        <a:prstGeom prst="rect"/>
                        <a:ln/>
                      </pic:spPr>
                    </pic:pic>
                  </a:graphicData>
                </a:graphic>
              </wp:inline>
            </w:drawing>
          </mc:Fallback>
        </mc:AlternateContent>
      </w:r>
    </w:p>
    <w:p w14:paraId="7A88E584" w14:textId="77777777" w:rsidR="00916B52" w:rsidRDefault="00000000">
      <w:pPr>
        <w:jc w:val="both"/>
        <w:rPr>
          <w:rFonts w:ascii="Playfair Display" w:eastAsia="Playfair Display" w:hAnsi="Playfair Display" w:cs="Playfair Display"/>
        </w:rPr>
      </w:pPr>
      <w:r>
        <w:rPr>
          <w:rFonts w:ascii="Playfair Display" w:eastAsia="Playfair Display" w:hAnsi="Playfair Display" w:cs="Playfair Display"/>
        </w:rPr>
        <w:t>Samtliga kursmål kan uppfyllas genom arbetsuppgifter på LIA-platsen:</w:t>
      </w:r>
      <w:r>
        <w:rPr>
          <w:rFonts w:ascii="Playfair Display" w:eastAsia="Playfair Display" w:hAnsi="Playfair Display" w:cs="Playfair Display"/>
        </w:rPr>
        <w:tab/>
      </w:r>
      <w:r>
        <w:rPr>
          <w:rFonts w:ascii="Playfair Display" w:eastAsia="Playfair Display" w:hAnsi="Playfair Display" w:cs="Playfair Display"/>
          <w:sz w:val="24"/>
          <w:szCs w:val="24"/>
        </w:rPr>
        <w:t xml:space="preserve">JA </w:t>
      </w:r>
      <w:r>
        <w:rPr>
          <w:rFonts w:ascii="Playfair Display" w:eastAsia="Playfair Display" w:hAnsi="Playfair Display" w:cs="Playfair Display"/>
          <w:noProof/>
        </w:rPr>
        <mc:AlternateContent>
          <mc:Choice Requires="wpg">
            <w:drawing>
              <wp:inline distT="114300" distB="114300" distL="114300" distR="114300" wp14:anchorId="2A2822BC" wp14:editId="60C93DAB">
                <wp:extent cx="304800" cy="342900"/>
                <wp:effectExtent l="0" t="0" r="0" b="0"/>
                <wp:docPr id="14" name="Rektangel 14"/>
                <wp:cNvGraphicFramePr/>
                <a:graphic xmlns:a="http://schemas.openxmlformats.org/drawingml/2006/main">
                  <a:graphicData uri="http://schemas.microsoft.com/office/word/2010/wordprocessingShape">
                    <wps:wsp>
                      <wps:cNvSpPr/>
                      <wps:spPr>
                        <a:xfrm>
                          <a:off x="5265000" y="3679951"/>
                          <a:ext cx="162000" cy="200099"/>
                        </a:xfrm>
                        <a:prstGeom prst="rect">
                          <a:avLst/>
                        </a:prstGeom>
                        <a:noFill/>
                        <a:ln w="19050" cap="flat" cmpd="sng">
                          <a:solidFill>
                            <a:srgbClr val="000000"/>
                          </a:solidFill>
                          <a:prstDash val="solid"/>
                          <a:round/>
                          <a:headEnd type="none" w="sm" len="sm"/>
                          <a:tailEnd type="none" w="sm" len="sm"/>
                        </a:ln>
                      </wps:spPr>
                      <wps:txbx>
                        <w:txbxContent>
                          <w:p w14:paraId="031E0859" w14:textId="77777777" w:rsidR="00916B52" w:rsidRDefault="00916B5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04800" cy="342900"/>
                <wp:effectExtent b="0" l="0" r="0" t="0"/>
                <wp:docPr id="1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04800" cy="342900"/>
                        </a:xfrm>
                        <a:prstGeom prst="rect"/>
                        <a:ln/>
                      </pic:spPr>
                    </pic:pic>
                  </a:graphicData>
                </a:graphic>
              </wp:inline>
            </w:drawing>
          </mc:Fallback>
        </mc:AlternateContent>
      </w:r>
      <w:r>
        <w:rPr>
          <w:rFonts w:ascii="Playfair Display" w:eastAsia="Playfair Display" w:hAnsi="Playfair Display" w:cs="Playfair Display"/>
          <w:sz w:val="24"/>
          <w:szCs w:val="24"/>
        </w:rPr>
        <w:t xml:space="preserve"> NEJ </w:t>
      </w:r>
      <w:r>
        <w:rPr>
          <w:rFonts w:ascii="Playfair Display" w:eastAsia="Playfair Display" w:hAnsi="Playfair Display" w:cs="Playfair Display"/>
          <w:noProof/>
        </w:rPr>
        <mc:AlternateContent>
          <mc:Choice Requires="wpg">
            <w:drawing>
              <wp:inline distT="114300" distB="114300" distL="114300" distR="114300" wp14:anchorId="234FABE1" wp14:editId="428199A6">
                <wp:extent cx="304800" cy="342900"/>
                <wp:effectExtent l="0" t="0" r="0" b="0"/>
                <wp:docPr id="13" name="Rektangel 13"/>
                <wp:cNvGraphicFramePr/>
                <a:graphic xmlns:a="http://schemas.openxmlformats.org/drawingml/2006/main">
                  <a:graphicData uri="http://schemas.microsoft.com/office/word/2010/wordprocessingShape">
                    <wps:wsp>
                      <wps:cNvSpPr/>
                      <wps:spPr>
                        <a:xfrm>
                          <a:off x="5265000" y="3679951"/>
                          <a:ext cx="162000" cy="200099"/>
                        </a:xfrm>
                        <a:prstGeom prst="rect">
                          <a:avLst/>
                        </a:prstGeom>
                        <a:noFill/>
                        <a:ln w="19050" cap="flat" cmpd="sng">
                          <a:solidFill>
                            <a:srgbClr val="000000"/>
                          </a:solidFill>
                          <a:prstDash val="solid"/>
                          <a:round/>
                          <a:headEnd type="none" w="sm" len="sm"/>
                          <a:tailEnd type="none" w="sm" len="sm"/>
                        </a:ln>
                      </wps:spPr>
                      <wps:txbx>
                        <w:txbxContent>
                          <w:p w14:paraId="669BCD92" w14:textId="77777777" w:rsidR="00916B52" w:rsidRDefault="00916B5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04800" cy="342900"/>
                <wp:effectExtent b="0" l="0" r="0" t="0"/>
                <wp:docPr id="1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04800" cy="342900"/>
                        </a:xfrm>
                        <a:prstGeom prst="rect"/>
                        <a:ln/>
                      </pic:spPr>
                    </pic:pic>
                  </a:graphicData>
                </a:graphic>
              </wp:inline>
            </w:drawing>
          </mc:Fallback>
        </mc:AlternateContent>
      </w:r>
    </w:p>
    <w:p w14:paraId="70D9E9DE" w14:textId="77777777" w:rsidR="00916B52" w:rsidRDefault="00916B52">
      <w:pPr>
        <w:jc w:val="both"/>
        <w:rPr>
          <w:rFonts w:ascii="Playfair Display" w:eastAsia="Playfair Display" w:hAnsi="Playfair Display" w:cs="Playfair Display"/>
          <w:sz w:val="24"/>
          <w:szCs w:val="24"/>
        </w:rPr>
      </w:pPr>
    </w:p>
    <w:p w14:paraId="72EDDFA8" w14:textId="77777777" w:rsidR="00916B52" w:rsidRDefault="00916B52">
      <w:pPr>
        <w:jc w:val="both"/>
        <w:rPr>
          <w:rFonts w:ascii="Playfair Display" w:eastAsia="Playfair Display" w:hAnsi="Playfair Display" w:cs="Playfair Display"/>
          <w:sz w:val="24"/>
          <w:szCs w:val="24"/>
        </w:rPr>
      </w:pPr>
    </w:p>
    <w:p w14:paraId="2AAA3388" w14:textId="77777777" w:rsidR="00916B52" w:rsidRDefault="00000000">
      <w:pPr>
        <w:jc w:val="both"/>
        <w:rPr>
          <w:rFonts w:ascii="Playfair Display" w:eastAsia="Playfair Display" w:hAnsi="Playfair Display" w:cs="Playfair Display"/>
        </w:rPr>
      </w:pPr>
      <w:r>
        <w:rPr>
          <w:rFonts w:ascii="Playfair Display" w:eastAsia="Playfair Display" w:hAnsi="Playfair Display" w:cs="Playfair Display"/>
          <w:sz w:val="24"/>
          <w:szCs w:val="24"/>
        </w:rPr>
        <w:t>Om nej, vilka betygskriterier kan inte uppfyllas:</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16B52" w14:paraId="5B1F281F" w14:textId="77777777">
        <w:trPr>
          <w:trHeight w:val="2940"/>
        </w:trPr>
        <w:tc>
          <w:tcPr>
            <w:tcW w:w="9360" w:type="dxa"/>
            <w:tcMar>
              <w:top w:w="100" w:type="dxa"/>
              <w:left w:w="100" w:type="dxa"/>
              <w:bottom w:w="100" w:type="dxa"/>
              <w:right w:w="100" w:type="dxa"/>
            </w:tcMar>
          </w:tcPr>
          <w:p w14:paraId="5E87B9DA" w14:textId="77777777" w:rsidR="00916B52" w:rsidRDefault="00916B52">
            <w:pPr>
              <w:widowControl w:val="0"/>
              <w:spacing w:line="240" w:lineRule="auto"/>
              <w:jc w:val="both"/>
              <w:rPr>
                <w:rFonts w:ascii="Playfair Display" w:eastAsia="Playfair Display" w:hAnsi="Playfair Display" w:cs="Playfair Display"/>
              </w:rPr>
            </w:pPr>
          </w:p>
          <w:p w14:paraId="17F1CB0C" w14:textId="77777777" w:rsidR="00916B52" w:rsidRDefault="00916B52">
            <w:pPr>
              <w:widowControl w:val="0"/>
              <w:spacing w:line="240" w:lineRule="auto"/>
              <w:jc w:val="both"/>
              <w:rPr>
                <w:rFonts w:ascii="Playfair Display" w:eastAsia="Playfair Display" w:hAnsi="Playfair Display" w:cs="Playfair Display"/>
              </w:rPr>
            </w:pPr>
          </w:p>
          <w:p w14:paraId="32073F96" w14:textId="77777777" w:rsidR="00916B52" w:rsidRDefault="00916B52">
            <w:pPr>
              <w:widowControl w:val="0"/>
              <w:spacing w:line="240" w:lineRule="auto"/>
              <w:jc w:val="both"/>
              <w:rPr>
                <w:rFonts w:ascii="Playfair Display" w:eastAsia="Playfair Display" w:hAnsi="Playfair Display" w:cs="Playfair Display"/>
              </w:rPr>
            </w:pPr>
          </w:p>
        </w:tc>
      </w:tr>
    </w:tbl>
    <w:p w14:paraId="555303CE" w14:textId="77777777" w:rsidR="00916B52" w:rsidRDefault="00916B52">
      <w:pPr>
        <w:jc w:val="both"/>
        <w:rPr>
          <w:rFonts w:ascii="Playfair Display" w:eastAsia="Playfair Display" w:hAnsi="Playfair Display" w:cs="Playfair Display"/>
        </w:rPr>
      </w:pPr>
    </w:p>
    <w:p w14:paraId="6CC5C7CE" w14:textId="77777777" w:rsidR="00916B52" w:rsidRDefault="00916B52">
      <w:pPr>
        <w:jc w:val="both"/>
        <w:rPr>
          <w:rFonts w:ascii="Playfair Display" w:eastAsia="Playfair Display" w:hAnsi="Playfair Display" w:cs="Playfair Display"/>
        </w:rPr>
      </w:pPr>
    </w:p>
    <w:p w14:paraId="7A8F1F18" w14:textId="77777777" w:rsidR="00916B52" w:rsidRDefault="00000000">
      <w:pPr>
        <w:jc w:val="both"/>
        <w:rPr>
          <w:rFonts w:ascii="Playfair Display" w:eastAsia="Playfair Display" w:hAnsi="Playfair Display" w:cs="Playfair Display"/>
        </w:rPr>
      </w:pPr>
      <w:r>
        <w:rPr>
          <w:rFonts w:ascii="Playfair Display" w:eastAsia="Playfair Display" w:hAnsi="Playfair Display" w:cs="Playfair Display"/>
        </w:rPr>
        <w:t>________________________________</w:t>
      </w:r>
    </w:p>
    <w:p w14:paraId="5FA8E642" w14:textId="77777777" w:rsidR="00916B52" w:rsidRDefault="00000000">
      <w:pPr>
        <w:jc w:val="both"/>
        <w:rPr>
          <w:rFonts w:ascii="Playfair Display" w:eastAsia="Playfair Display" w:hAnsi="Playfair Display" w:cs="Playfair Display"/>
        </w:rPr>
      </w:pPr>
      <w:r>
        <w:rPr>
          <w:rFonts w:ascii="Playfair Display" w:eastAsia="Playfair Display" w:hAnsi="Playfair Display" w:cs="Playfair Display"/>
        </w:rPr>
        <w:t>Ort &amp; datum</w:t>
      </w:r>
    </w:p>
    <w:p w14:paraId="6D966CA2" w14:textId="77777777" w:rsidR="00916B52" w:rsidRDefault="00916B52">
      <w:pPr>
        <w:jc w:val="both"/>
        <w:rPr>
          <w:rFonts w:ascii="Playfair Display" w:eastAsia="Playfair Display" w:hAnsi="Playfair Display" w:cs="Playfair Display"/>
        </w:rPr>
      </w:pPr>
    </w:p>
    <w:p w14:paraId="3ED269F4" w14:textId="77777777" w:rsidR="00916B52" w:rsidRDefault="00000000">
      <w:pPr>
        <w:jc w:val="both"/>
        <w:rPr>
          <w:rFonts w:ascii="Playfair Display" w:eastAsia="Playfair Display" w:hAnsi="Playfair Display" w:cs="Playfair Display"/>
        </w:rPr>
      </w:pPr>
      <w:r>
        <w:rPr>
          <w:rFonts w:ascii="Playfair Display" w:eastAsia="Playfair Display" w:hAnsi="Playfair Display" w:cs="Playfair Display"/>
        </w:rPr>
        <w:t>________________________________</w:t>
      </w:r>
    </w:p>
    <w:p w14:paraId="29378D15" w14:textId="77777777" w:rsidR="00916B52" w:rsidRDefault="00000000">
      <w:pPr>
        <w:jc w:val="both"/>
        <w:rPr>
          <w:rFonts w:ascii="Playfair Display" w:eastAsia="Playfair Display" w:hAnsi="Playfair Display" w:cs="Playfair Display"/>
        </w:rPr>
      </w:pPr>
      <w:r>
        <w:rPr>
          <w:rFonts w:ascii="Playfair Display" w:eastAsia="Playfair Display" w:hAnsi="Playfair Display" w:cs="Playfair Display"/>
        </w:rPr>
        <w:t>Underskrift handledare</w:t>
      </w:r>
    </w:p>
    <w:p w14:paraId="532C377E" w14:textId="77777777" w:rsidR="00916B52" w:rsidRDefault="00916B52">
      <w:pPr>
        <w:rPr>
          <w:rFonts w:ascii="Playfair Display" w:eastAsia="Playfair Display" w:hAnsi="Playfair Display" w:cs="Playfair Display"/>
          <w:b/>
        </w:rPr>
      </w:pPr>
    </w:p>
    <w:p w14:paraId="6259C6F2" w14:textId="77777777" w:rsidR="00916B52" w:rsidRDefault="00916B52">
      <w:pPr>
        <w:jc w:val="both"/>
        <w:rPr>
          <w:rFonts w:ascii="Playfair Display" w:eastAsia="Playfair Display" w:hAnsi="Playfair Display" w:cs="Playfair Display"/>
        </w:rPr>
      </w:pPr>
    </w:p>
    <w:p w14:paraId="29321A84" w14:textId="77777777" w:rsidR="00916B52" w:rsidRDefault="00916B52">
      <w:pPr>
        <w:jc w:val="both"/>
        <w:rPr>
          <w:rFonts w:ascii="Playfair Display" w:eastAsia="Playfair Display" w:hAnsi="Playfair Display" w:cs="Playfair Display"/>
          <w:sz w:val="24"/>
          <w:szCs w:val="24"/>
        </w:rPr>
      </w:pPr>
    </w:p>
    <w:p w14:paraId="02300350" w14:textId="77777777" w:rsidR="00916B52" w:rsidRDefault="00000000">
      <w:pPr>
        <w:jc w:val="both"/>
        <w:rPr>
          <w:rFonts w:ascii="Playfair Display" w:eastAsia="Playfair Display" w:hAnsi="Playfair Display" w:cs="Playfair Display"/>
          <w:b/>
          <w:i/>
          <w:sz w:val="24"/>
          <w:szCs w:val="24"/>
        </w:rPr>
      </w:pPr>
      <w:r>
        <w:rPr>
          <w:rFonts w:ascii="Playfair Display" w:eastAsia="Playfair Display" w:hAnsi="Playfair Display" w:cs="Playfair Display"/>
          <w:b/>
          <w:i/>
          <w:sz w:val="24"/>
          <w:szCs w:val="24"/>
        </w:rPr>
        <w:t xml:space="preserve">Vänligen skriv ut, signera, scanna &amp; maila (alt. </w:t>
      </w:r>
      <w:proofErr w:type="gramStart"/>
      <w:r>
        <w:rPr>
          <w:rFonts w:ascii="Playfair Display" w:eastAsia="Playfair Display" w:hAnsi="Playfair Display" w:cs="Playfair Display"/>
          <w:b/>
          <w:i/>
          <w:sz w:val="24"/>
          <w:szCs w:val="24"/>
        </w:rPr>
        <w:t>fota)  ifyllt</w:t>
      </w:r>
      <w:proofErr w:type="gramEnd"/>
      <w:r>
        <w:rPr>
          <w:rFonts w:ascii="Playfair Display" w:eastAsia="Playfair Display" w:hAnsi="Playfair Display" w:cs="Playfair Display"/>
          <w:b/>
          <w:i/>
          <w:sz w:val="24"/>
          <w:szCs w:val="24"/>
        </w:rPr>
        <w:t xml:space="preserve"> dokument till den studerande som i sin tur laddar upp dokumentet på Jensen yrkeshögskolas </w:t>
      </w:r>
      <w:proofErr w:type="spellStart"/>
      <w:r>
        <w:rPr>
          <w:rFonts w:ascii="Playfair Display" w:eastAsia="Playfair Display" w:hAnsi="Playfair Display" w:cs="Playfair Display"/>
          <w:b/>
          <w:i/>
          <w:sz w:val="24"/>
          <w:szCs w:val="24"/>
        </w:rPr>
        <w:t>lärplattform</w:t>
      </w:r>
      <w:proofErr w:type="spellEnd"/>
      <w:r>
        <w:rPr>
          <w:rFonts w:ascii="Playfair Display" w:eastAsia="Playfair Display" w:hAnsi="Playfair Display" w:cs="Playfair Display"/>
          <w:b/>
          <w:i/>
          <w:sz w:val="24"/>
          <w:szCs w:val="24"/>
        </w:rPr>
        <w:t xml:space="preserve"> </w:t>
      </w:r>
      <w:proofErr w:type="spellStart"/>
      <w:r>
        <w:rPr>
          <w:rFonts w:ascii="Playfair Display" w:eastAsia="Playfair Display" w:hAnsi="Playfair Display" w:cs="Playfair Display"/>
          <w:b/>
          <w:i/>
          <w:sz w:val="24"/>
          <w:szCs w:val="24"/>
        </w:rPr>
        <w:t>LearnPoint</w:t>
      </w:r>
      <w:proofErr w:type="spellEnd"/>
      <w:r>
        <w:rPr>
          <w:rFonts w:ascii="Playfair Display" w:eastAsia="Playfair Display" w:hAnsi="Playfair Display" w:cs="Playfair Display"/>
          <w:b/>
          <w:i/>
          <w:sz w:val="24"/>
          <w:szCs w:val="24"/>
        </w:rPr>
        <w:t>.</w:t>
      </w:r>
    </w:p>
    <w:sectPr w:rsidR="00916B52">
      <w:headerReference w:type="default" r:id="rId12"/>
      <w:footerReference w:type="default" r:id="rId13"/>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88B6C" w14:textId="77777777" w:rsidR="00A9648B" w:rsidRDefault="00A9648B">
      <w:pPr>
        <w:spacing w:line="240" w:lineRule="auto"/>
      </w:pPr>
      <w:r>
        <w:separator/>
      </w:r>
    </w:p>
  </w:endnote>
  <w:endnote w:type="continuationSeparator" w:id="0">
    <w:p w14:paraId="57972C70" w14:textId="77777777" w:rsidR="00A9648B" w:rsidRDefault="00A964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layfair Display">
    <w:charset w:val="00"/>
    <w:family w:val="auto"/>
    <w:pitch w:val="variable"/>
    <w:sig w:usb0="20000207"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56651" w14:textId="77777777" w:rsidR="00916B52" w:rsidRDefault="00000000">
    <w:pPr>
      <w:pBdr>
        <w:top w:val="nil"/>
        <w:left w:val="nil"/>
        <w:bottom w:val="nil"/>
        <w:right w:val="nil"/>
        <w:between w:val="nil"/>
      </w:pBdr>
      <w:tabs>
        <w:tab w:val="center" w:pos="4536"/>
        <w:tab w:val="right" w:pos="9072"/>
      </w:tabs>
      <w:spacing w:line="240" w:lineRule="auto"/>
      <w:jc w:val="center"/>
      <w:rPr>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484A25">
      <w:rPr>
        <w:rFonts w:ascii="Calibri" w:eastAsia="Calibri" w:hAnsi="Calibri" w:cs="Calibri"/>
        <w:noProof/>
        <w:color w:val="000000"/>
      </w:rPr>
      <w:t>1</w:t>
    </w:r>
    <w:r>
      <w:rPr>
        <w:rFonts w:ascii="Calibri" w:eastAsia="Calibri" w:hAnsi="Calibri" w:cs="Calibri"/>
        <w:color w:val="000000"/>
      </w:rPr>
      <w:fldChar w:fldCharType="end"/>
    </w:r>
    <w:r>
      <w:rPr>
        <w:rFonts w:ascii="Calibri" w:eastAsia="Calibri" w:hAnsi="Calibri" w:cs="Calibri"/>
        <w:color w:val="000000"/>
      </w:rPr>
      <w:t xml:space="preserve"> (3)</w:t>
    </w:r>
  </w:p>
  <w:p w14:paraId="7E230797" w14:textId="77777777" w:rsidR="00916B52" w:rsidRDefault="00916B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98F89" w14:textId="77777777" w:rsidR="00A9648B" w:rsidRDefault="00A9648B">
      <w:pPr>
        <w:spacing w:line="240" w:lineRule="auto"/>
      </w:pPr>
      <w:r>
        <w:separator/>
      </w:r>
    </w:p>
  </w:footnote>
  <w:footnote w:type="continuationSeparator" w:id="0">
    <w:p w14:paraId="0C848264" w14:textId="77777777" w:rsidR="00A9648B" w:rsidRDefault="00A964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2B79" w14:textId="77777777" w:rsidR="00916B52" w:rsidRDefault="00916B52"/>
  <w:p w14:paraId="366D855E" w14:textId="77777777" w:rsidR="00916B52" w:rsidRDefault="00000000">
    <w:pPr>
      <w:tabs>
        <w:tab w:val="center" w:pos="4680"/>
        <w:tab w:val="right" w:pos="9360"/>
      </w:tabs>
      <w:spacing w:line="240" w:lineRule="auto"/>
      <w:ind w:right="576"/>
    </w:pPr>
    <w:r>
      <w:rPr>
        <w:rFonts w:ascii="Calibri" w:eastAsia="Calibri" w:hAnsi="Calibri" w:cs="Calibri"/>
        <w:noProof/>
        <w:color w:val="595959"/>
        <w:sz w:val="19"/>
        <w:szCs w:val="19"/>
      </w:rPr>
      <w:drawing>
        <wp:inline distT="0" distB="0" distL="0" distR="0" wp14:anchorId="051D19DE" wp14:editId="48760E06">
          <wp:extent cx="2936240" cy="49720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936240" cy="4972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4E5A"/>
    <w:multiLevelType w:val="multilevel"/>
    <w:tmpl w:val="335A5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F9255D"/>
    <w:multiLevelType w:val="multilevel"/>
    <w:tmpl w:val="4D9A7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262229"/>
    <w:multiLevelType w:val="multilevel"/>
    <w:tmpl w:val="6B1ED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6F7B65"/>
    <w:multiLevelType w:val="multilevel"/>
    <w:tmpl w:val="51AC92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E207DD"/>
    <w:multiLevelType w:val="multilevel"/>
    <w:tmpl w:val="9F04F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B57E4A"/>
    <w:multiLevelType w:val="multilevel"/>
    <w:tmpl w:val="6F8472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5826863">
    <w:abstractNumId w:val="3"/>
  </w:num>
  <w:num w:numId="2" w16cid:durableId="1606888262">
    <w:abstractNumId w:val="0"/>
  </w:num>
  <w:num w:numId="3" w16cid:durableId="258873242">
    <w:abstractNumId w:val="5"/>
  </w:num>
  <w:num w:numId="4" w16cid:durableId="1817065828">
    <w:abstractNumId w:val="1"/>
  </w:num>
  <w:num w:numId="5" w16cid:durableId="639651089">
    <w:abstractNumId w:val="4"/>
  </w:num>
  <w:num w:numId="6" w16cid:durableId="1164973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B52"/>
    <w:rsid w:val="00484A25"/>
    <w:rsid w:val="00916B52"/>
    <w:rsid w:val="00A964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80E9"/>
  <w15:docId w15:val="{7441EB2B-879C-4157-B453-982F84FC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SE"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Rubrik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Rubrik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Rubrik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Rubrik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Rubrik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pPr>
    <w:rPr>
      <w:rFonts w:ascii="Trebuchet MS" w:eastAsia="Trebuchet MS" w:hAnsi="Trebuchet MS" w:cs="Trebuchet MS"/>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Underrubrik">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paragraph" w:styleId="Normalwebb">
    <w:name w:val="Normal (Web)"/>
    <w:basedOn w:val="Normal"/>
    <w:uiPriority w:val="99"/>
    <w:unhideWhenUsed/>
    <w:rsid w:val="000E7DD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iyCXe5RObY9OWCfj9Z9FymvXjQ==">AMUW2mXGvI9MEA9Ns4t6XflyrmfXl7RbUwUiSMcLKUc+vE/3xCkQ55LZmF07uER/Q40gRmhqqBvo/7q/wLu0UFfEsK3xkHCeQ5nmnv1qnFftllG8us9shtCShAujn/5+LeAdCRN2gz4O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508</Words>
  <Characters>2694</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Mikael Vaihela</dc:creator>
  <cp:lastModifiedBy>Mikael Vaihela</cp:lastModifiedBy>
  <cp:revision>2</cp:revision>
  <dcterms:created xsi:type="dcterms:W3CDTF">2024-02-26T11:52:00Z</dcterms:created>
  <dcterms:modified xsi:type="dcterms:W3CDTF">2024-02-26T11:52:00Z</dcterms:modified>
</cp:coreProperties>
</file>